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1"/>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pPr>
    </w:p>
    <w:p>
      <w:pPr>
        <w:rPr>
          <w:rFonts w:hint="eastAsia"/>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1"/>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1"/>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和田地区</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审计</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局</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2022年</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政</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府</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1"/>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公开工作年度报告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微软雅黑" w:hAnsi="微软雅黑" w:eastAsia="微软雅黑" w:cs="微软雅黑"/>
          <w:i w:val="0"/>
          <w:iCs w:val="0"/>
          <w:caps w:val="0"/>
          <w:color w:val="00000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2022年，在和田地委、行署的正确领导下，和田地区审计局根据《中华人民共和国政府信息公开条例》（以下简称《条例》）规定编制本报告。本报告所列数据统计期限为2022年1月1日至2022年12月31日。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（一）主动公开政府信息方面。</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一是</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加强审计结果公告及整改情况公开，根据相关规定，及时向被审计单位公开审计结果，督促审计问题整改。</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二是</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认真梳理权力事项工作，形成32项权责事项并依法公开，接收社会全方位全过程监督。</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三是</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及时将行政执法人员名单、行政处罚流程进行更新，在和田地区行政服务和公共资源交易中心进行了公开。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（二）依申请公开办理情况。</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严格按照《条例》的要求，坚持以完善内部制度为抓手、以规范答复文书格式为重点，进一步规范受理、审查、征询、答复、归档等工作流程，全面提升政府信息公开申请办理工作质量，依法依规做好依申请公开工作，切实满足公众合理信息需求。2022年，和田地区审计局未收到政府信息公开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（三）政府信息管理方面</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。建立和田地区审计局规范性文件查询服务，推进行政权力公开透明运行。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（四）政府信息公开平台建设方面</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。和田地区审计局无独立信息公开平台，借助和田地区行政服务和公共资源交易中心负责管理的新疆政务服务网主动公开我局相关的政府信息。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（五）监督保障方面</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。明确提升主动公开质量、提高依申请公开质量、强化政策解读质量、优化公开工作基础、加强工作指导监督等五个方面具体举措，制定2022年政务公开工作责任清单，明确责任科室和完成时限。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20" w:lineRule="exact"/>
        <w:ind w:left="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二、主动公开政府信息情况</w:t>
      </w:r>
    </w:p>
    <w:tbl>
      <w:tblPr>
        <w:tblStyle w:val="8"/>
        <w:tblW w:w="9360"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948"/>
        <w:gridCol w:w="2379"/>
        <w:gridCol w:w="1996"/>
        <w:gridCol w:w="20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61" w:hRule="atLeast"/>
          <w:jc w:val="center"/>
        </w:trPr>
        <w:tc>
          <w:tcPr>
            <w:tcW w:w="9360"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6" w:hRule="atLeast"/>
          <w:jc w:val="center"/>
        </w:trPr>
        <w:tc>
          <w:tcPr>
            <w:tcW w:w="29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信息内容</w:t>
            </w:r>
          </w:p>
        </w:tc>
        <w:tc>
          <w:tcPr>
            <w:tcW w:w="237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本年制发件数</w:t>
            </w:r>
          </w:p>
        </w:tc>
        <w:tc>
          <w:tcPr>
            <w:tcW w:w="19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本年废止件数</w:t>
            </w:r>
          </w:p>
        </w:tc>
        <w:tc>
          <w:tcPr>
            <w:tcW w:w="20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1" w:hRule="atLeast"/>
          <w:jc w:val="center"/>
        </w:trPr>
        <w:tc>
          <w:tcPr>
            <w:tcW w:w="29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规章</w:t>
            </w:r>
          </w:p>
        </w:tc>
        <w:tc>
          <w:tcPr>
            <w:tcW w:w="2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19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20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1" w:hRule="atLeast"/>
          <w:jc w:val="center"/>
        </w:trPr>
        <w:tc>
          <w:tcPr>
            <w:tcW w:w="29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规范性文件</w:t>
            </w:r>
          </w:p>
        </w:tc>
        <w:tc>
          <w:tcPr>
            <w:tcW w:w="2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19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20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1" w:hRule="atLeast"/>
          <w:jc w:val="center"/>
        </w:trPr>
        <w:tc>
          <w:tcPr>
            <w:tcW w:w="936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1" w:hRule="atLeast"/>
          <w:jc w:val="center"/>
        </w:trPr>
        <w:tc>
          <w:tcPr>
            <w:tcW w:w="29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信息内容</w:t>
            </w:r>
          </w:p>
        </w:tc>
        <w:tc>
          <w:tcPr>
            <w:tcW w:w="641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1" w:hRule="atLeast"/>
          <w:jc w:val="center"/>
        </w:trPr>
        <w:tc>
          <w:tcPr>
            <w:tcW w:w="29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行政许可</w:t>
            </w:r>
          </w:p>
        </w:tc>
        <w:tc>
          <w:tcPr>
            <w:tcW w:w="641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1" w:hRule="atLeast"/>
          <w:jc w:val="center"/>
        </w:trPr>
        <w:tc>
          <w:tcPr>
            <w:tcW w:w="936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1" w:hRule="atLeast"/>
          <w:jc w:val="center"/>
        </w:trPr>
        <w:tc>
          <w:tcPr>
            <w:tcW w:w="29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信息内容</w:t>
            </w:r>
          </w:p>
        </w:tc>
        <w:tc>
          <w:tcPr>
            <w:tcW w:w="641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1" w:hRule="atLeast"/>
          <w:jc w:val="center"/>
        </w:trPr>
        <w:tc>
          <w:tcPr>
            <w:tcW w:w="29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行政处罚</w:t>
            </w:r>
          </w:p>
        </w:tc>
        <w:tc>
          <w:tcPr>
            <w:tcW w:w="641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1" w:hRule="atLeast"/>
          <w:jc w:val="center"/>
        </w:trPr>
        <w:tc>
          <w:tcPr>
            <w:tcW w:w="29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行政强制</w:t>
            </w:r>
          </w:p>
        </w:tc>
        <w:tc>
          <w:tcPr>
            <w:tcW w:w="641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1" w:hRule="atLeast"/>
          <w:jc w:val="center"/>
        </w:trPr>
        <w:tc>
          <w:tcPr>
            <w:tcW w:w="936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1" w:hRule="atLeast"/>
          <w:jc w:val="center"/>
        </w:trPr>
        <w:tc>
          <w:tcPr>
            <w:tcW w:w="29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信息内容</w:t>
            </w:r>
          </w:p>
        </w:tc>
        <w:tc>
          <w:tcPr>
            <w:tcW w:w="641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76" w:hRule="atLeast"/>
          <w:jc w:val="center"/>
        </w:trPr>
        <w:tc>
          <w:tcPr>
            <w:tcW w:w="29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行政事业性收费</w:t>
            </w:r>
          </w:p>
        </w:tc>
        <w:tc>
          <w:tcPr>
            <w:tcW w:w="641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黑体" w:hAnsi="宋体" w:eastAsia="黑体" w:cs="黑体"/>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640" w:firstLineChars="200"/>
        <w:jc w:val="both"/>
        <w:textAlignment w:val="auto"/>
        <w:rPr>
          <w:rFonts w:hint="eastAsia" w:ascii="微软雅黑" w:hAnsi="微软雅黑" w:eastAsia="微软雅黑" w:cs="微软雅黑"/>
          <w:sz w:val="28"/>
          <w:szCs w:val="28"/>
        </w:rPr>
      </w:pPr>
      <w:r>
        <w:rPr>
          <w:rFonts w:hint="eastAsia" w:ascii="黑体" w:hAnsi="宋体" w:eastAsia="黑体" w:cs="黑体"/>
          <w:i w:val="0"/>
          <w:iCs w:val="0"/>
          <w:caps w:val="0"/>
          <w:color w:val="000000"/>
          <w:spacing w:val="0"/>
          <w:kern w:val="0"/>
          <w:sz w:val="32"/>
          <w:szCs w:val="32"/>
          <w:shd w:val="clear" w:fill="FFFFFF"/>
          <w:lang w:val="en-US" w:eastAsia="zh-CN" w:bidi="ar"/>
        </w:rPr>
        <w:t>三、收到和处理政府信息公开申请情况</w:t>
      </w:r>
    </w:p>
    <w:tbl>
      <w:tblPr>
        <w:tblStyle w:val="8"/>
        <w:tblW w:w="9480"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84"/>
        <w:gridCol w:w="804"/>
        <w:gridCol w:w="3631"/>
        <w:gridCol w:w="510"/>
        <w:gridCol w:w="708"/>
        <w:gridCol w:w="708"/>
        <w:gridCol w:w="707"/>
        <w:gridCol w:w="707"/>
        <w:gridCol w:w="511"/>
        <w:gridCol w:w="5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262" w:hRule="atLeast"/>
          <w:jc w:val="center"/>
        </w:trPr>
        <w:tc>
          <w:tcPr>
            <w:tcW w:w="5119"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（本列数据的勾稽关系为：第一项加第二项之和，等于第三项加第四项之和）</w:t>
            </w:r>
          </w:p>
        </w:tc>
        <w:tc>
          <w:tcPr>
            <w:tcW w:w="4361"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51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5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自然人</w:t>
            </w:r>
          </w:p>
        </w:tc>
        <w:tc>
          <w:tcPr>
            <w:tcW w:w="3341"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法人或其他组织</w:t>
            </w:r>
          </w:p>
        </w:tc>
        <w:tc>
          <w:tcPr>
            <w:tcW w:w="51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58" w:hRule="atLeast"/>
          <w:jc w:val="center"/>
        </w:trPr>
        <w:tc>
          <w:tcPr>
            <w:tcW w:w="51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商业企业</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科研机构</w:t>
            </w:r>
          </w:p>
        </w:tc>
        <w:tc>
          <w:tcPr>
            <w:tcW w:w="7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社会公益组织</w:t>
            </w:r>
          </w:p>
        </w:tc>
        <w:tc>
          <w:tcPr>
            <w:tcW w:w="7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法律服务机构</w:t>
            </w:r>
          </w:p>
        </w:tc>
        <w:tc>
          <w:tcPr>
            <w:tcW w:w="5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其他</w:t>
            </w:r>
          </w:p>
        </w:tc>
        <w:tc>
          <w:tcPr>
            <w:tcW w:w="5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84" w:hRule="atLeast"/>
          <w:jc w:val="center"/>
        </w:trPr>
        <w:tc>
          <w:tcPr>
            <w:tcW w:w="51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一、本年新收政府信息公开申请数量</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51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二、上年结转政府信息公开申请数量</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0" w:hRule="atLeast"/>
          <w:jc w:val="center"/>
        </w:trPr>
        <w:tc>
          <w:tcPr>
            <w:tcW w:w="68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三、本年度办理结果</w:t>
            </w:r>
          </w:p>
        </w:tc>
        <w:tc>
          <w:tcPr>
            <w:tcW w:w="443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（一）予以公开</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05"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443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（二）部分公开（区分处理的，只计这一情形，不计其他情形）</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（三）不予公开</w:t>
            </w: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1.属于国家秘密</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05"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2.其他法律行政法规禁止公开</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3.危及“三安全一稳定”</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4.保护第三方合法权益</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5.属于三类内部事务信息</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6.属于四类过程性信息</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7.属于行政执法案卷</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8.属于行政查询事项</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05"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（四）无法提供</w:t>
            </w: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1.本机关不掌握相关政府信息</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05"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2.没有现成信息需要另行制作</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3.补正后申请内容仍不明确</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（五）不予处理</w:t>
            </w: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1.信访举报投诉类申请</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2.重复申请</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3.要求提供公开出版物</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4.无正当理由大量反复申请</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05"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5.要求行政机关确认或重新出具已获取信息</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47"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（六）其他处理</w:t>
            </w: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1.申请人无正当理由逾期不补正、行政机关不再处理其政府信息公开申请</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47"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2.申请人逾期未按收费通知要求缴纳费用、行政机关不再处理其政府信息公开申请</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8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3.其他</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68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443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（七）总计</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82" w:hRule="atLeast"/>
          <w:jc w:val="center"/>
        </w:trPr>
        <w:tc>
          <w:tcPr>
            <w:tcW w:w="51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四、结转下年度继续办理</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5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9"/>
        <w:rPr>
          <w:rFonts w:hint="eastAsia" w:ascii="微软雅黑" w:hAnsi="微软雅黑" w:eastAsia="微软雅黑" w:cs="微软雅黑"/>
          <w:sz w:val="28"/>
          <w:szCs w:val="28"/>
        </w:rPr>
      </w:pPr>
      <w:r>
        <w:rPr>
          <w:rFonts w:hint="eastAsia" w:ascii="黑体" w:hAnsi="宋体" w:eastAsia="黑体" w:cs="黑体"/>
          <w:i w:val="0"/>
          <w:iCs w:val="0"/>
          <w:caps w:val="0"/>
          <w:color w:val="000000"/>
          <w:spacing w:val="0"/>
          <w:kern w:val="0"/>
          <w:sz w:val="32"/>
          <w:szCs w:val="32"/>
          <w:shd w:val="clear" w:fill="FFFFFF"/>
          <w:lang w:val="en-US" w:eastAsia="zh-CN" w:bidi="ar"/>
        </w:rPr>
        <w:t>四、政府信息公开行政复议、行政诉讼情况</w:t>
      </w:r>
    </w:p>
    <w:tbl>
      <w:tblPr>
        <w:tblStyle w:val="8"/>
        <w:tblW w:w="9680"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06"/>
        <w:gridCol w:w="706"/>
        <w:gridCol w:w="706"/>
        <w:gridCol w:w="706"/>
        <w:gridCol w:w="336"/>
        <w:gridCol w:w="735"/>
        <w:gridCol w:w="735"/>
        <w:gridCol w:w="735"/>
        <w:gridCol w:w="735"/>
        <w:gridCol w:w="372"/>
        <w:gridCol w:w="693"/>
        <w:gridCol w:w="693"/>
        <w:gridCol w:w="693"/>
        <w:gridCol w:w="693"/>
        <w:gridCol w:w="4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235" w:hRule="atLeast"/>
          <w:jc w:val="center"/>
        </w:trPr>
        <w:tc>
          <w:tcPr>
            <w:tcW w:w="316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行政复议</w:t>
            </w:r>
          </w:p>
        </w:tc>
        <w:tc>
          <w:tcPr>
            <w:tcW w:w="6520"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35" w:hRule="atLeast"/>
          <w:jc w:val="center"/>
        </w:trPr>
        <w:tc>
          <w:tcPr>
            <w:tcW w:w="70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结果维持</w:t>
            </w:r>
          </w:p>
        </w:tc>
        <w:tc>
          <w:tcPr>
            <w:tcW w:w="70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结果纠正</w:t>
            </w:r>
          </w:p>
        </w:tc>
        <w:tc>
          <w:tcPr>
            <w:tcW w:w="706"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其他结果</w:t>
            </w:r>
          </w:p>
        </w:tc>
        <w:tc>
          <w:tcPr>
            <w:tcW w:w="706"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尚未审结</w:t>
            </w:r>
          </w:p>
        </w:tc>
        <w:tc>
          <w:tcPr>
            <w:tcW w:w="336"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总计</w:t>
            </w:r>
          </w:p>
        </w:tc>
        <w:tc>
          <w:tcPr>
            <w:tcW w:w="3312"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未经复议直接起诉</w:t>
            </w:r>
          </w:p>
        </w:tc>
        <w:tc>
          <w:tcPr>
            <w:tcW w:w="320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98" w:hRule="atLeast"/>
          <w:jc w:val="center"/>
        </w:trPr>
        <w:tc>
          <w:tcPr>
            <w:tcW w:w="70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7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706"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706"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336"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p>
        </w:tc>
        <w:tc>
          <w:tcPr>
            <w:tcW w:w="7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结果维持</w:t>
            </w:r>
          </w:p>
        </w:tc>
        <w:tc>
          <w:tcPr>
            <w:tcW w:w="7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结果纠正</w:t>
            </w:r>
          </w:p>
        </w:tc>
        <w:tc>
          <w:tcPr>
            <w:tcW w:w="7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其他结果</w:t>
            </w:r>
          </w:p>
        </w:tc>
        <w:tc>
          <w:tcPr>
            <w:tcW w:w="7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尚未审结</w:t>
            </w:r>
          </w:p>
        </w:tc>
        <w:tc>
          <w:tcPr>
            <w:tcW w:w="37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总计</w:t>
            </w:r>
          </w:p>
        </w:tc>
        <w:tc>
          <w:tcPr>
            <w:tcW w:w="6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结果维持</w:t>
            </w:r>
          </w:p>
        </w:tc>
        <w:tc>
          <w:tcPr>
            <w:tcW w:w="6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结果纠正</w:t>
            </w:r>
          </w:p>
        </w:tc>
        <w:tc>
          <w:tcPr>
            <w:tcW w:w="6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其他结果</w:t>
            </w:r>
          </w:p>
        </w:tc>
        <w:tc>
          <w:tcPr>
            <w:tcW w:w="6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尚未审结</w:t>
            </w:r>
          </w:p>
        </w:tc>
        <w:tc>
          <w:tcPr>
            <w:tcW w:w="4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9" w:hRule="atLeast"/>
          <w:jc w:val="center"/>
        </w:trPr>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3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7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3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4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outlineLvl w:val="9"/>
        <w:rPr>
          <w:rFonts w:hint="eastAsia" w:ascii="黑体" w:hAnsi="宋体" w:eastAsia="黑体" w:cs="黑体"/>
          <w:i w:val="0"/>
          <w:iCs w:val="0"/>
          <w:caps w:val="0"/>
          <w:color w:val="000000"/>
          <w:spacing w:val="0"/>
          <w:kern w:val="0"/>
          <w:sz w:val="32"/>
          <w:szCs w:val="32"/>
          <w:shd w:val="clear" w:fill="FFFFFF"/>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outlineLvl w:val="9"/>
        <w:rPr>
          <w:rFonts w:hint="eastAsia" w:ascii="微软雅黑" w:hAnsi="微软雅黑" w:eastAsia="微软雅黑" w:cs="微软雅黑"/>
          <w:sz w:val="28"/>
          <w:szCs w:val="28"/>
        </w:rPr>
      </w:pPr>
      <w:r>
        <w:rPr>
          <w:rFonts w:hint="eastAsia" w:ascii="黑体" w:hAnsi="宋体" w:eastAsia="黑体" w:cs="黑体"/>
          <w:i w:val="0"/>
          <w:iCs w:val="0"/>
          <w:caps w:val="0"/>
          <w:color w:val="000000"/>
          <w:spacing w:val="0"/>
          <w:kern w:val="0"/>
          <w:sz w:val="32"/>
          <w:szCs w:val="32"/>
          <w:shd w:val="clear" w:fill="FFFFFF"/>
          <w:lang w:val="en-US" w:eastAsia="zh-CN" w:bidi="ar"/>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2022年，</w:t>
      </w:r>
      <w:r>
        <w:rPr>
          <w:rFonts w:hint="eastAsia" w:ascii="仿宋_GB2312" w:hAnsi="仿宋_GB2312" w:eastAsia="仿宋_GB2312" w:cs="仿宋_GB2312"/>
          <w:i w:val="0"/>
          <w:iCs w:val="0"/>
          <w:caps w:val="0"/>
          <w:color w:val="000000"/>
          <w:spacing w:val="0"/>
          <w:sz w:val="32"/>
          <w:szCs w:val="32"/>
          <w:shd w:val="clear" w:fill="FFFFFF"/>
          <w:lang w:eastAsia="zh-CN"/>
        </w:rPr>
        <w:t>和田地区审计局</w:t>
      </w:r>
      <w:r>
        <w:rPr>
          <w:rFonts w:hint="eastAsia" w:ascii="仿宋_GB2312" w:hAnsi="仿宋_GB2312" w:eastAsia="仿宋_GB2312" w:cs="仿宋_GB2312"/>
          <w:i w:val="0"/>
          <w:iCs w:val="0"/>
          <w:caps w:val="0"/>
          <w:color w:val="000000"/>
          <w:spacing w:val="0"/>
          <w:sz w:val="32"/>
          <w:szCs w:val="32"/>
          <w:shd w:val="clear" w:fill="FFFFFF"/>
        </w:rPr>
        <w:t>在推动政务公开方面进行了一些创新和探索，取得了明显成效，但也存在一些问题，如主动公开意识有待增强，公开的内容有待丰富等。针对上述问题，2023年将进一步做好以下工作：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（一）坚持高位推动，强化组织保障</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始终将党的领导贯穿政务公开工作各方面、全过程，确保方向不偏、焦点不散。完善和田地区审计局党组、信访和政务公开领导小组协调指挥领导机制，进一步细化信息公开、内容审核、依申请公开、保密审查等内容，定期开展对照检查，力促政务公开优质高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（二）坚持内容至上，引导受众弄懂。</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主动加强与和田地区行政公署办公室沟通对接，对重点工作解读进行策划，有重点、多角度、深层次地引导被审计单位读懂、读深、读透审计信息。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（三）坚持法治思维，强化依申请办理。</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严格落实依申请公开办理相关要求，进一步规范接收、办理、答复、寄送、存档等工作环节，不断完善法律顾问会商机制，避免出现信息公开不作为、错作为问题，进一步提高信息公开答复规范性，切实做到及时回应社会关切，提升政府公信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六、其他需要报告的事项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2022</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eastAsia="zh-CN"/>
        </w:rPr>
        <w:t>，本</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lang w:eastAsia="zh-CN"/>
        </w:rPr>
        <w:t>机关</w:t>
      </w:r>
      <w:r>
        <w:rPr>
          <w:rFonts w:hint="eastAsia" w:ascii="仿宋_GB2312" w:hAnsi="仿宋_GB2312" w:eastAsia="仿宋_GB2312" w:cs="仿宋_GB2312"/>
          <w:i w:val="0"/>
          <w:iCs w:val="0"/>
          <w:caps w:val="0"/>
          <w:color w:val="000000"/>
          <w:spacing w:val="0"/>
          <w:sz w:val="32"/>
          <w:szCs w:val="32"/>
          <w:shd w:val="clear" w:fill="FFFFFF"/>
        </w:rPr>
        <w:t>无政府信息公开信息处理费收取情况。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480" w:firstLineChars="1400"/>
        <w:textAlignment w:val="auto"/>
        <w:outlineLvl w:val="9"/>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和田地区审计局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480" w:firstLineChars="14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2023年3月10日</w:t>
      </w:r>
    </w:p>
    <w:sectPr>
      <w:footerReference r:id="rId3" w:type="default"/>
      <w:pgSz w:w="11906" w:h="16838"/>
      <w:pgMar w:top="1531"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8271F"/>
    <w:rsid w:val="008D4240"/>
    <w:rsid w:val="038E1DAB"/>
    <w:rsid w:val="082C3FCB"/>
    <w:rsid w:val="08707F99"/>
    <w:rsid w:val="095F3747"/>
    <w:rsid w:val="17877D0B"/>
    <w:rsid w:val="18244DF6"/>
    <w:rsid w:val="2CF62B15"/>
    <w:rsid w:val="2F85786C"/>
    <w:rsid w:val="372C0F11"/>
    <w:rsid w:val="397E6F2A"/>
    <w:rsid w:val="3A7C096B"/>
    <w:rsid w:val="3D94710C"/>
    <w:rsid w:val="3EB86309"/>
    <w:rsid w:val="40CD4A52"/>
    <w:rsid w:val="44C8271F"/>
    <w:rsid w:val="4BB20955"/>
    <w:rsid w:val="55B97F43"/>
    <w:rsid w:val="688F1E17"/>
    <w:rsid w:val="727F1DF7"/>
    <w:rsid w:val="76E4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2023-03-16T04:11:00Z</dcterms:created>
  <dc:creator>sjj</dc:creator>
  <cp:lastModifiedBy>dzblh</cp:lastModifiedBy>
  <dcterms:modified xsi:type="dcterms:W3CDTF">2023-03-22T08:17:46Z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