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大标宋简体" w:eastAsia="方正小标宋简体" w:cs="方正大标宋简体"/>
          <w:sz w:val="44"/>
          <w:szCs w:val="44"/>
        </w:rPr>
      </w:pPr>
      <w:r>
        <w:rPr>
          <w:rFonts w:hint="eastAsia" w:ascii="方正小标宋简体" w:hAnsi="方正大标宋简体" w:eastAsia="方正小标宋简体" w:cs="方正大标宋简体"/>
          <w:sz w:val="44"/>
          <w:szCs w:val="44"/>
        </w:rPr>
        <w:t>和田地区机关事务管理局2022年政府信息</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大标宋简体" w:eastAsia="方正小标宋简体" w:cs="方正大标宋简体"/>
          <w:sz w:val="44"/>
          <w:szCs w:val="44"/>
        </w:rPr>
      </w:pPr>
      <w:r>
        <w:rPr>
          <w:rFonts w:hint="eastAsia" w:ascii="方正小标宋简体" w:hAnsi="方正大标宋简体" w:eastAsia="方正小标宋简体" w:cs="方正大标宋简体"/>
          <w:sz w:val="44"/>
          <w:szCs w:val="44"/>
        </w:rPr>
        <w:t>公开工作年度报告</w:t>
      </w:r>
    </w:p>
    <w:p>
      <w:pPr>
        <w:spacing w:line="560" w:lineRule="exact"/>
        <w:ind w:firstLine="640" w:firstLineChars="200"/>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
          <w:sz w:val="32"/>
          <w:szCs w:val="32"/>
        </w:rPr>
      </w:pPr>
      <w:r>
        <w:rPr>
          <w:rFonts w:hint="eastAsia" w:ascii="仿宋_GB2312" w:hAnsi="仿宋_GB2312" w:eastAsia="仿宋_GB2312" w:cs="仿宋"/>
          <w:sz w:val="32"/>
          <w:szCs w:val="32"/>
        </w:rPr>
        <w:t>根据《中华人民共和国政府信息公开条例》(以下简称《条例》)等规定，形成和田地区机关事务管理局2022年度政府信息公开工作年度报告。本报告由总体情况</w:t>
      </w:r>
      <w:r>
        <w:rPr>
          <w:rFonts w:hint="eastAsia" w:ascii="仿宋_GB2312" w:hAnsi="仿宋_GB2312" w:eastAsia="仿宋_GB2312" w:cs="仿宋"/>
          <w:sz w:val="32"/>
          <w:szCs w:val="32"/>
          <w:lang w:val="en-US" w:eastAsia="zh-CN"/>
        </w:rPr>
        <w:t>、</w:t>
      </w:r>
      <w:r>
        <w:rPr>
          <w:rFonts w:hint="eastAsia" w:ascii="仿宋_GB2312" w:hAnsi="仿宋_GB2312" w:eastAsia="仿宋_GB2312" w:cs="仿宋"/>
          <w:sz w:val="32"/>
          <w:szCs w:val="32"/>
        </w:rPr>
        <w:t>主动公开政府信息情况</w:t>
      </w:r>
      <w:r>
        <w:rPr>
          <w:rFonts w:hint="eastAsia" w:ascii="仿宋_GB2312" w:hAnsi="仿宋_GB2312" w:eastAsia="仿宋_GB2312" w:cs="仿宋"/>
          <w:sz w:val="32"/>
          <w:szCs w:val="32"/>
          <w:lang w:eastAsia="zh-CN"/>
        </w:rPr>
        <w:t>、</w:t>
      </w:r>
      <w:r>
        <w:rPr>
          <w:rFonts w:hint="eastAsia" w:ascii="仿宋_GB2312" w:hAnsi="仿宋_GB2312" w:eastAsia="仿宋_GB2312" w:cs="仿宋"/>
          <w:sz w:val="32"/>
          <w:szCs w:val="32"/>
        </w:rPr>
        <w:t>收到和处理政府信息公开申请情况</w:t>
      </w:r>
      <w:r>
        <w:rPr>
          <w:rFonts w:hint="eastAsia" w:ascii="仿宋_GB2312" w:hAnsi="仿宋_GB2312" w:eastAsia="仿宋_GB2312" w:cs="仿宋"/>
          <w:sz w:val="32"/>
          <w:szCs w:val="32"/>
          <w:lang w:eastAsia="zh-CN"/>
        </w:rPr>
        <w:t>、</w:t>
      </w:r>
      <w:r>
        <w:rPr>
          <w:rFonts w:hint="eastAsia" w:ascii="仿宋_GB2312" w:hAnsi="仿宋_GB2312" w:eastAsia="仿宋_GB2312" w:cs="仿宋"/>
          <w:sz w:val="32"/>
          <w:szCs w:val="32"/>
        </w:rPr>
        <w:t>政府信息公开行政复议</w:t>
      </w:r>
      <w:r>
        <w:rPr>
          <w:rFonts w:hint="eastAsia" w:ascii="仿宋_GB2312" w:hAnsi="仿宋_GB2312" w:eastAsia="仿宋_GB2312" w:cs="仿宋"/>
          <w:sz w:val="32"/>
          <w:szCs w:val="32"/>
          <w:lang w:eastAsia="zh-CN"/>
        </w:rPr>
        <w:t>、</w:t>
      </w:r>
      <w:r>
        <w:rPr>
          <w:rFonts w:hint="eastAsia" w:ascii="仿宋_GB2312" w:hAnsi="仿宋_GB2312" w:eastAsia="仿宋_GB2312" w:cs="仿宋"/>
          <w:sz w:val="32"/>
          <w:szCs w:val="32"/>
        </w:rPr>
        <w:t>行政诉讼情况</w:t>
      </w:r>
      <w:r>
        <w:rPr>
          <w:rFonts w:hint="eastAsia" w:ascii="仿宋_GB2312" w:hAnsi="仿宋_GB2312" w:eastAsia="仿宋_GB2312" w:cs="仿宋"/>
          <w:sz w:val="32"/>
          <w:szCs w:val="32"/>
          <w:lang w:eastAsia="zh-CN"/>
        </w:rPr>
        <w:t>、</w:t>
      </w:r>
      <w:r>
        <w:rPr>
          <w:rFonts w:hint="eastAsia" w:ascii="仿宋_GB2312" w:hAnsi="仿宋_GB2312" w:eastAsia="仿宋_GB2312" w:cs="仿宋"/>
          <w:sz w:val="32"/>
          <w:szCs w:val="32"/>
        </w:rPr>
        <w:t>存在的主要问题及改进情况等部分组成。本报告中所列数据的统计期限</w:t>
      </w:r>
      <w:r>
        <w:rPr>
          <w:rFonts w:hint="eastAsia" w:ascii="仿宋_GB2312" w:hAnsi="仿宋_GB2312" w:eastAsia="仿宋_GB2312" w:cs="仿宋"/>
          <w:sz w:val="32"/>
          <w:szCs w:val="32"/>
          <w:lang w:eastAsia="zh-CN"/>
        </w:rPr>
        <w:t>为</w:t>
      </w:r>
      <w:r>
        <w:rPr>
          <w:rFonts w:hint="eastAsia" w:ascii="仿宋_GB2312" w:hAnsi="仿宋_GB2312" w:eastAsia="仿宋_GB2312" w:cs="仿宋"/>
          <w:sz w:val="32"/>
          <w:szCs w:val="32"/>
        </w:rPr>
        <w:t>2022年1月1日至2022年12月31日，现将有关情况报告如下。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一、总体情况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
          <w:sz w:val="32"/>
          <w:szCs w:val="32"/>
        </w:rPr>
      </w:pPr>
      <w:r>
        <w:rPr>
          <w:rFonts w:hint="eastAsia" w:ascii="仿宋_GB2312" w:hAnsi="仿宋_GB2312" w:eastAsia="仿宋_GB2312" w:cs="仿宋"/>
          <w:sz w:val="32"/>
          <w:szCs w:val="32"/>
        </w:rPr>
        <w:t>2022年,在地委、行署的坚强领导下，地区机关事务管理局以习近平新时代中国特色社会主义思想为指导，深入学习贯彻党的二十大精神，结合工作实际，严格执行《中华人民共和国政府信息公开条例》，坚持围绕社会公众关注事项，以公开为常态、不公开为例外，加强政策解读回应，着力提高政务公开标准化、规范化水平，进一步提升政府信息工作透明度和公信力。</w:t>
      </w:r>
      <w:r>
        <w:rPr>
          <w:rFonts w:hint="eastAsia" w:ascii="仿宋_GB2312" w:hAnsi="仿宋_GB2312" w:eastAsia="仿宋_GB2312" w:cs="仿宋"/>
          <w:b w:val="0"/>
          <w:bCs w:val="0"/>
          <w:sz w:val="32"/>
          <w:szCs w:val="32"/>
        </w:rPr>
        <w:t>认真贯彻落实《2022年政务公开工作要点》。建立健全信息公开工作制度，依据《</w:t>
      </w:r>
      <w:r>
        <w:rPr>
          <w:rFonts w:hint="eastAsia" w:ascii="仿宋_GB2312" w:hAnsi="仿宋_GB2312" w:eastAsia="仿宋_GB2312" w:cs="仿宋"/>
          <w:b w:val="0"/>
          <w:bCs w:val="0"/>
          <w:sz w:val="32"/>
          <w:szCs w:val="32"/>
          <w:lang w:eastAsia="zh-CN"/>
        </w:rPr>
        <w:t>中华人民共和国</w:t>
      </w:r>
      <w:r>
        <w:rPr>
          <w:rFonts w:hint="eastAsia" w:ascii="仿宋_GB2312" w:hAnsi="仿宋_GB2312" w:eastAsia="仿宋_GB2312" w:cs="仿宋"/>
          <w:b w:val="0"/>
          <w:bCs w:val="0"/>
          <w:sz w:val="32"/>
          <w:szCs w:val="32"/>
        </w:rPr>
        <w:t>政府</w:t>
      </w:r>
      <w:r>
        <w:rPr>
          <w:rFonts w:hint="eastAsia" w:ascii="仿宋_GB2312" w:hAnsi="仿宋_GB2312" w:eastAsia="仿宋_GB2312" w:cs="仿宋"/>
          <w:sz w:val="32"/>
          <w:szCs w:val="32"/>
        </w:rPr>
        <w:t>信息公开条例》和</w:t>
      </w:r>
      <w:r>
        <w:rPr>
          <w:rFonts w:hint="eastAsia" w:ascii="仿宋_GB2312" w:hAnsi="仿宋_GB2312" w:eastAsia="仿宋_GB2312" w:cs="仿宋"/>
          <w:sz w:val="32"/>
          <w:szCs w:val="32"/>
          <w:lang w:eastAsia="zh-CN"/>
        </w:rPr>
        <w:t>地区</w:t>
      </w:r>
      <w:r>
        <w:rPr>
          <w:rFonts w:hint="eastAsia" w:ascii="仿宋_GB2312" w:hAnsi="仿宋_GB2312" w:eastAsia="仿宋_GB2312" w:cs="仿宋"/>
          <w:sz w:val="32"/>
          <w:szCs w:val="32"/>
        </w:rPr>
        <w:t>政务服务工作要求，抓好政务公开年度工作要点落实，确保各项工作有序推进。</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
          <w:sz w:val="32"/>
          <w:szCs w:val="32"/>
        </w:rPr>
      </w:pPr>
      <w:r>
        <w:rPr>
          <w:rFonts w:hint="eastAsia" w:ascii="楷体_GB2312" w:hAnsi="楷体_GB2312" w:eastAsia="楷体_GB2312" w:cs="仿宋"/>
          <w:b w:val="0"/>
          <w:bCs w:val="0"/>
          <w:sz w:val="32"/>
          <w:szCs w:val="32"/>
          <w:lang w:eastAsia="zh-CN"/>
        </w:rPr>
        <w:t>（一）</w:t>
      </w:r>
      <w:r>
        <w:rPr>
          <w:rFonts w:hint="eastAsia" w:ascii="楷体_GB2312" w:hAnsi="楷体_GB2312" w:eastAsia="楷体_GB2312" w:cs="仿宋"/>
          <w:b w:val="0"/>
          <w:bCs w:val="0"/>
          <w:sz w:val="32"/>
          <w:szCs w:val="32"/>
        </w:rPr>
        <w:t>主动公开方面。</w:t>
      </w:r>
      <w:r>
        <w:rPr>
          <w:rFonts w:hint="eastAsia" w:ascii="仿宋_GB2312" w:hAnsi="仿宋_GB2312" w:eastAsia="仿宋_GB2312" w:cs="仿宋"/>
          <w:sz w:val="32"/>
          <w:szCs w:val="32"/>
        </w:rPr>
        <w:t>截至2022年12月31日，主动公开各类政府信息13条，其中，概况类信息8条、工作动态2条、信息公开目录信息3条。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
          <w:sz w:val="32"/>
          <w:szCs w:val="32"/>
          <w:lang w:val="en-US" w:eastAsia="zh-CN"/>
        </w:rPr>
      </w:pPr>
      <w:r>
        <w:rPr>
          <w:rFonts w:hint="eastAsia" w:ascii="楷体_GB2312" w:hAnsi="楷体_GB2312" w:eastAsia="楷体_GB2312" w:cs="仿宋"/>
          <w:b w:val="0"/>
          <w:bCs w:val="0"/>
          <w:sz w:val="32"/>
          <w:szCs w:val="32"/>
          <w:lang w:eastAsia="zh-CN"/>
        </w:rPr>
        <w:t>（二）</w:t>
      </w:r>
      <w:r>
        <w:rPr>
          <w:rFonts w:hint="eastAsia" w:ascii="楷体_GB2312" w:hAnsi="楷体_GB2312" w:eastAsia="楷体_GB2312" w:cs="仿宋"/>
          <w:b w:val="0"/>
          <w:bCs w:val="0"/>
          <w:sz w:val="32"/>
          <w:szCs w:val="32"/>
        </w:rPr>
        <w:t>申请公开方面。</w:t>
      </w:r>
      <w:r>
        <w:rPr>
          <w:rFonts w:hint="eastAsia" w:ascii="仿宋_GB2312" w:hAnsi="仿宋_GB2312" w:eastAsia="仿宋_GB2312" w:cs="仿宋"/>
          <w:sz w:val="32"/>
          <w:szCs w:val="32"/>
        </w:rPr>
        <w:t>依申请办理流程更加规范，制度设置上更注重强化舆情应对。</w:t>
      </w:r>
      <w:r>
        <w:rPr>
          <w:rFonts w:hint="eastAsia" w:ascii="仿宋_GB2312" w:hAnsi="仿宋_GB2312" w:eastAsia="仿宋_GB2312" w:cs="仿宋"/>
          <w:sz w:val="32"/>
          <w:szCs w:val="32"/>
          <w:lang w:eastAsia="zh-CN"/>
        </w:rPr>
        <w:t>对政府信息公开申请社会度高、内容复杂敏感、涉及范围较大的研判舆情和法律风险，</w:t>
      </w:r>
      <w:r>
        <w:rPr>
          <w:rFonts w:hint="eastAsia" w:ascii="仿宋_GB2312" w:hAnsi="仿宋_GB2312" w:eastAsia="仿宋_GB2312" w:cs="仿宋"/>
          <w:sz w:val="32"/>
          <w:szCs w:val="32"/>
          <w:lang w:val="en-US" w:eastAsia="zh-CN"/>
        </w:rPr>
        <w:t>2022年未收到政府信息公开申请。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
          <w:sz w:val="32"/>
          <w:szCs w:val="32"/>
        </w:rPr>
      </w:pPr>
      <w:r>
        <w:rPr>
          <w:rFonts w:hint="eastAsia" w:ascii="楷体_GB2312" w:hAnsi="楷体_GB2312" w:eastAsia="楷体_GB2312" w:cs="仿宋"/>
          <w:b w:val="0"/>
          <w:bCs w:val="0"/>
          <w:sz w:val="32"/>
          <w:szCs w:val="32"/>
          <w:lang w:eastAsia="zh-CN"/>
        </w:rPr>
        <w:t>（三）</w:t>
      </w:r>
      <w:r>
        <w:rPr>
          <w:rFonts w:hint="eastAsia" w:ascii="楷体_GB2312" w:hAnsi="楷体_GB2312" w:eastAsia="楷体_GB2312" w:cs="仿宋"/>
          <w:b w:val="0"/>
          <w:bCs w:val="0"/>
          <w:sz w:val="32"/>
          <w:szCs w:val="32"/>
        </w:rPr>
        <w:t>政府信息管理方面。</w:t>
      </w:r>
      <w:r>
        <w:rPr>
          <w:rFonts w:hint="eastAsia" w:ascii="仿宋_GB2312" w:hAnsi="仿宋_GB2312" w:eastAsia="仿宋_GB2312" w:cs="仿宋"/>
          <w:sz w:val="32"/>
          <w:szCs w:val="32"/>
        </w:rPr>
        <w:t>强化组织领导和制度建设，明确职责和分工。严格落实政府信息公开保密审查，严格执行信息公开工作流程，层层把关，落实责任。严禁将涉及国家秘密和个人隐私及其他按规定不宜或不能公开的政府信息对外公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
          <w:sz w:val="32"/>
          <w:szCs w:val="32"/>
        </w:rPr>
      </w:pPr>
      <w:r>
        <w:rPr>
          <w:rFonts w:hint="eastAsia" w:ascii="楷体_GB2312" w:hAnsi="楷体_GB2312" w:eastAsia="楷体_GB2312" w:cs="仿宋"/>
          <w:b w:val="0"/>
          <w:bCs w:val="0"/>
          <w:sz w:val="32"/>
          <w:szCs w:val="32"/>
          <w:lang w:eastAsia="zh-CN"/>
        </w:rPr>
        <w:t>（四）</w:t>
      </w:r>
      <w:r>
        <w:rPr>
          <w:rFonts w:hint="eastAsia" w:ascii="楷体_GB2312" w:hAnsi="楷体_GB2312" w:eastAsia="楷体_GB2312" w:cs="仿宋"/>
          <w:b w:val="0"/>
          <w:bCs w:val="0"/>
          <w:sz w:val="32"/>
          <w:szCs w:val="32"/>
        </w:rPr>
        <w:t>平台建设方面。</w:t>
      </w:r>
      <w:r>
        <w:rPr>
          <w:rFonts w:hint="eastAsia" w:ascii="仿宋_GB2312" w:hAnsi="仿宋_GB2312" w:eastAsia="仿宋_GB2312" w:cs="仿宋"/>
          <w:sz w:val="32"/>
          <w:szCs w:val="32"/>
          <w:lang w:eastAsia="zh-CN"/>
        </w:rPr>
        <w:t>地区机关事务管理局政府信息公开主要通过地区行政公署网站进行公开</w:t>
      </w:r>
      <w:r>
        <w:rPr>
          <w:rFonts w:hint="eastAsia" w:ascii="仿宋_GB2312" w:hAnsi="仿宋_GB2312" w:eastAsia="仿宋_GB2312" w:cs="仿宋"/>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
          <w:sz w:val="32"/>
          <w:szCs w:val="32"/>
        </w:rPr>
      </w:pPr>
      <w:r>
        <w:rPr>
          <w:rFonts w:hint="eastAsia" w:ascii="楷体_GB2312" w:hAnsi="楷体_GB2312" w:eastAsia="楷体_GB2312" w:cs="仿宋"/>
          <w:b w:val="0"/>
          <w:bCs w:val="0"/>
          <w:sz w:val="32"/>
          <w:szCs w:val="32"/>
          <w:lang w:eastAsia="zh-CN"/>
        </w:rPr>
        <w:t>（五）</w:t>
      </w:r>
      <w:r>
        <w:rPr>
          <w:rFonts w:hint="eastAsia" w:ascii="楷体_GB2312" w:hAnsi="楷体_GB2312" w:eastAsia="楷体_GB2312" w:cs="仿宋"/>
          <w:b w:val="0"/>
          <w:bCs w:val="0"/>
          <w:sz w:val="32"/>
          <w:szCs w:val="32"/>
        </w:rPr>
        <w:t>监督保障方面。</w:t>
      </w:r>
      <w:r>
        <w:rPr>
          <w:rFonts w:hint="eastAsia" w:ascii="仿宋_GB2312" w:hAnsi="仿宋_GB2312" w:eastAsia="仿宋_GB2312" w:cs="仿宋"/>
          <w:sz w:val="32"/>
          <w:szCs w:val="32"/>
        </w:rPr>
        <w:t>持续完善工作机制，提高工作能力，依法接受人民群众的监督。对涉及公众利益的重要政策文件面向社会征集意见建议，切实维护公众合法权益。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二、主动公开政府信息情</w:t>
      </w:r>
      <w:r>
        <w:rPr>
          <w:rFonts w:hint="eastAsia" w:ascii="黑体" w:hAnsi="黑体" w:eastAsia="黑体" w:cs="黑体"/>
          <w:sz w:val="32"/>
          <w:szCs w:val="32"/>
          <w:lang w:eastAsia="zh-CN"/>
        </w:rPr>
        <w:t>况</w:t>
      </w:r>
      <w:bookmarkStart w:id="0" w:name="_GoBack"/>
      <w:bookmarkEnd w:id="0"/>
    </w:p>
    <w:tbl>
      <w:tblPr>
        <w:tblStyle w:val="8"/>
        <w:tblpPr w:leftFromText="180" w:rightFromText="180" w:vertAnchor="text" w:horzAnchor="page" w:tblpXSpec="center" w:tblpY="261"/>
        <w:tblOverlap w:val="never"/>
        <w:tblW w:w="916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36"/>
        <w:gridCol w:w="2524"/>
        <w:gridCol w:w="2169"/>
        <w:gridCol w:w="19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8" w:hRule="atLeast"/>
          <w:jc w:val="center"/>
        </w:trPr>
        <w:tc>
          <w:tcPr>
            <w:tcW w:w="916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ascii="宋体" w:hAnsi="宋体" w:eastAsia="宋体" w:cs="宋体"/>
                <w:sz w:val="21"/>
                <w:szCs w:val="21"/>
              </w:rPr>
            </w:pPr>
            <w:r>
              <w:rPr>
                <w:rFonts w:ascii="宋体" w:hAnsi="宋体" w:eastAsia="宋体" w:cs="宋体"/>
                <w:spacing w:val="2"/>
                <w:sz w:val="21"/>
                <w:szCs w:val="21"/>
              </w:rPr>
              <w:t>第二十条第(一)项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3" w:hRule="atLeast"/>
          <w:jc w:val="center"/>
        </w:trPr>
        <w:tc>
          <w:tcPr>
            <w:tcW w:w="253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ascii="宋体" w:hAnsi="宋体" w:eastAsia="宋体" w:cs="宋体"/>
                <w:sz w:val="21"/>
                <w:szCs w:val="21"/>
              </w:rPr>
            </w:pPr>
            <w:r>
              <w:rPr>
                <w:rFonts w:ascii="宋体" w:hAnsi="宋体" w:eastAsia="宋体" w:cs="宋体"/>
                <w:spacing w:val="3"/>
                <w:sz w:val="21"/>
                <w:szCs w:val="21"/>
              </w:rPr>
              <w:t>信息内容</w:t>
            </w:r>
          </w:p>
        </w:tc>
        <w:tc>
          <w:tcPr>
            <w:tcW w:w="25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ascii="宋体" w:hAnsi="宋体" w:eastAsia="宋体" w:cs="宋体"/>
                <w:sz w:val="21"/>
                <w:szCs w:val="21"/>
              </w:rPr>
            </w:pPr>
            <w:r>
              <w:rPr>
                <w:rFonts w:ascii="宋体" w:hAnsi="宋体" w:eastAsia="宋体" w:cs="宋体"/>
                <w:spacing w:val="1"/>
                <w:sz w:val="21"/>
                <w:szCs w:val="21"/>
              </w:rPr>
              <w:t>本年制发件数</w:t>
            </w:r>
          </w:p>
        </w:tc>
        <w:tc>
          <w:tcPr>
            <w:tcW w:w="216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ascii="宋体" w:hAnsi="宋体" w:eastAsia="宋体" w:cs="宋体"/>
                <w:sz w:val="21"/>
                <w:szCs w:val="21"/>
              </w:rPr>
            </w:pPr>
            <w:r>
              <w:rPr>
                <w:rFonts w:ascii="宋体" w:hAnsi="宋体" w:eastAsia="宋体" w:cs="宋体"/>
                <w:spacing w:val="1"/>
                <w:sz w:val="21"/>
                <w:szCs w:val="21"/>
              </w:rPr>
              <w:t>本年废止件数</w:t>
            </w:r>
          </w:p>
        </w:tc>
        <w:tc>
          <w:tcPr>
            <w:tcW w:w="193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ascii="宋体" w:hAnsi="宋体" w:eastAsia="宋体" w:cs="宋体"/>
                <w:sz w:val="21"/>
                <w:szCs w:val="21"/>
              </w:rPr>
            </w:pPr>
            <w:r>
              <w:rPr>
                <w:rFonts w:ascii="宋体" w:hAnsi="宋体" w:eastAsia="宋体" w:cs="宋体"/>
                <w:spacing w:val="1"/>
                <w:sz w:val="21"/>
                <w:szCs w:val="21"/>
              </w:rPr>
              <w:t>现行有效件数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2" w:hRule="atLeast"/>
          <w:jc w:val="center"/>
        </w:trPr>
        <w:tc>
          <w:tcPr>
            <w:tcW w:w="253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ascii="宋体" w:hAnsi="宋体" w:eastAsia="宋体" w:cs="宋体"/>
                <w:sz w:val="21"/>
                <w:szCs w:val="21"/>
              </w:rPr>
            </w:pPr>
            <w:r>
              <w:rPr>
                <w:rFonts w:ascii="宋体" w:hAnsi="宋体" w:eastAsia="宋体" w:cs="宋体"/>
                <w:spacing w:val="8"/>
                <w:sz w:val="21"/>
                <w:szCs w:val="21"/>
              </w:rPr>
              <w:t>规章</w:t>
            </w:r>
          </w:p>
        </w:tc>
        <w:tc>
          <w:tcPr>
            <w:tcW w:w="25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ascii="Arial"/>
                <w:sz w:val="21"/>
                <w:szCs w:val="21"/>
              </w:rPr>
            </w:pPr>
            <w:r>
              <w:rPr>
                <w:rFonts w:hint="eastAsia" w:ascii="Arial"/>
                <w:sz w:val="21"/>
                <w:szCs w:val="21"/>
              </w:rPr>
              <w:t>0</w:t>
            </w:r>
          </w:p>
        </w:tc>
        <w:tc>
          <w:tcPr>
            <w:tcW w:w="216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ascii="Arial"/>
                <w:sz w:val="21"/>
                <w:szCs w:val="21"/>
              </w:rPr>
            </w:pPr>
            <w:r>
              <w:rPr>
                <w:rFonts w:hint="eastAsia" w:ascii="Arial"/>
                <w:sz w:val="21"/>
                <w:szCs w:val="21"/>
              </w:rPr>
              <w:t>0</w:t>
            </w:r>
          </w:p>
        </w:tc>
        <w:tc>
          <w:tcPr>
            <w:tcW w:w="193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ascii="Arial"/>
                <w:sz w:val="21"/>
                <w:szCs w:val="21"/>
              </w:rPr>
            </w:pPr>
            <w:r>
              <w:rPr>
                <w:rFonts w:hint="eastAsia" w:ascii="Arial"/>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4" w:hRule="atLeast"/>
          <w:jc w:val="center"/>
        </w:trPr>
        <w:tc>
          <w:tcPr>
            <w:tcW w:w="253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ascii="宋体" w:hAnsi="宋体" w:eastAsia="宋体" w:cs="宋体"/>
                <w:sz w:val="21"/>
                <w:szCs w:val="21"/>
              </w:rPr>
            </w:pPr>
            <w:r>
              <w:rPr>
                <w:rFonts w:hint="eastAsia" w:ascii="宋体" w:hAnsi="宋体" w:eastAsia="宋体" w:cs="宋体"/>
                <w:spacing w:val="2"/>
                <w:sz w:val="21"/>
                <w:szCs w:val="21"/>
                <w:lang w:eastAsia="zh-CN"/>
              </w:rPr>
              <w:t>行政</w:t>
            </w:r>
            <w:r>
              <w:rPr>
                <w:rFonts w:ascii="宋体" w:hAnsi="宋体" w:eastAsia="宋体" w:cs="宋体"/>
                <w:spacing w:val="2"/>
                <w:sz w:val="21"/>
                <w:szCs w:val="21"/>
              </w:rPr>
              <w:t>规范性文件</w:t>
            </w:r>
          </w:p>
        </w:tc>
        <w:tc>
          <w:tcPr>
            <w:tcW w:w="25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ascii="Arial"/>
                <w:sz w:val="21"/>
                <w:szCs w:val="21"/>
              </w:rPr>
            </w:pPr>
            <w:r>
              <w:rPr>
                <w:rFonts w:hint="eastAsia" w:ascii="Arial"/>
                <w:sz w:val="21"/>
                <w:szCs w:val="21"/>
              </w:rPr>
              <w:t>0</w:t>
            </w:r>
          </w:p>
        </w:tc>
        <w:tc>
          <w:tcPr>
            <w:tcW w:w="216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ascii="Arial"/>
                <w:sz w:val="21"/>
                <w:szCs w:val="21"/>
              </w:rPr>
            </w:pPr>
            <w:r>
              <w:rPr>
                <w:rFonts w:hint="eastAsia" w:ascii="Arial"/>
                <w:sz w:val="21"/>
                <w:szCs w:val="21"/>
              </w:rPr>
              <w:t>0</w:t>
            </w:r>
          </w:p>
        </w:tc>
        <w:tc>
          <w:tcPr>
            <w:tcW w:w="193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ascii="Arial"/>
                <w:sz w:val="21"/>
                <w:szCs w:val="21"/>
              </w:rPr>
            </w:pPr>
            <w:r>
              <w:rPr>
                <w:rFonts w:hint="eastAsia" w:ascii="Arial"/>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1" w:hRule="atLeast"/>
          <w:jc w:val="center"/>
        </w:trPr>
        <w:tc>
          <w:tcPr>
            <w:tcW w:w="916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ascii="宋体" w:hAnsi="宋体" w:eastAsia="宋体" w:cs="宋体"/>
                <w:sz w:val="21"/>
                <w:szCs w:val="21"/>
              </w:rPr>
            </w:pPr>
            <w:r>
              <w:rPr>
                <w:rFonts w:ascii="宋体" w:hAnsi="宋体" w:eastAsia="宋体" w:cs="宋体"/>
                <w:spacing w:val="1"/>
                <w:sz w:val="21"/>
                <w:szCs w:val="21"/>
              </w:rPr>
              <w:t>第二十条第(五)项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3" w:hRule="atLeast"/>
          <w:jc w:val="center"/>
        </w:trPr>
        <w:tc>
          <w:tcPr>
            <w:tcW w:w="253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ascii="宋体" w:hAnsi="宋体" w:eastAsia="宋体" w:cs="宋体"/>
                <w:sz w:val="21"/>
                <w:szCs w:val="21"/>
              </w:rPr>
            </w:pPr>
            <w:r>
              <w:rPr>
                <w:rFonts w:ascii="宋体" w:hAnsi="宋体" w:eastAsia="宋体" w:cs="宋体"/>
                <w:spacing w:val="3"/>
                <w:sz w:val="21"/>
                <w:szCs w:val="21"/>
              </w:rPr>
              <w:t>信息内容</w:t>
            </w:r>
          </w:p>
        </w:tc>
        <w:tc>
          <w:tcPr>
            <w:tcW w:w="662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ascii="宋体" w:hAnsi="宋体" w:eastAsia="宋体" w:cs="宋体"/>
                <w:sz w:val="21"/>
                <w:szCs w:val="21"/>
              </w:rPr>
            </w:pPr>
            <w:r>
              <w:rPr>
                <w:rFonts w:ascii="宋体" w:hAnsi="宋体" w:eastAsia="宋体" w:cs="宋体"/>
                <w:spacing w:val="-2"/>
                <w:sz w:val="21"/>
                <w:szCs w:val="21"/>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9" w:hRule="atLeast"/>
          <w:jc w:val="center"/>
        </w:trPr>
        <w:tc>
          <w:tcPr>
            <w:tcW w:w="253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ascii="宋体" w:hAnsi="宋体" w:eastAsia="宋体" w:cs="宋体"/>
                <w:sz w:val="21"/>
                <w:szCs w:val="21"/>
              </w:rPr>
            </w:pPr>
            <w:r>
              <w:rPr>
                <w:rFonts w:ascii="宋体" w:hAnsi="宋体" w:eastAsia="宋体" w:cs="宋体"/>
                <w:spacing w:val="2"/>
                <w:sz w:val="21"/>
                <w:szCs w:val="21"/>
              </w:rPr>
              <w:t>行政许可</w:t>
            </w:r>
          </w:p>
        </w:tc>
        <w:tc>
          <w:tcPr>
            <w:tcW w:w="662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ascii="Arial"/>
                <w:sz w:val="21"/>
                <w:szCs w:val="21"/>
              </w:rPr>
            </w:pPr>
            <w:r>
              <w:rPr>
                <w:rFonts w:hint="eastAsia" w:ascii="Arial"/>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3" w:hRule="atLeast"/>
          <w:jc w:val="center"/>
        </w:trPr>
        <w:tc>
          <w:tcPr>
            <w:tcW w:w="916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ascii="宋体" w:hAnsi="宋体" w:eastAsia="宋体" w:cs="宋体"/>
                <w:sz w:val="21"/>
                <w:szCs w:val="21"/>
              </w:rPr>
            </w:pPr>
            <w:r>
              <w:rPr>
                <w:rFonts w:ascii="宋体" w:hAnsi="宋体" w:eastAsia="宋体" w:cs="宋体"/>
                <w:spacing w:val="1"/>
                <w:sz w:val="21"/>
                <w:szCs w:val="21"/>
              </w:rPr>
              <w:t>第二十条第(六)项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3" w:hRule="atLeast"/>
          <w:jc w:val="center"/>
        </w:trPr>
        <w:tc>
          <w:tcPr>
            <w:tcW w:w="253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ascii="宋体" w:hAnsi="宋体" w:eastAsia="宋体" w:cs="宋体"/>
                <w:sz w:val="21"/>
                <w:szCs w:val="21"/>
              </w:rPr>
            </w:pPr>
            <w:r>
              <w:rPr>
                <w:rFonts w:ascii="宋体" w:hAnsi="宋体" w:eastAsia="宋体" w:cs="宋体"/>
                <w:spacing w:val="3"/>
                <w:sz w:val="21"/>
                <w:szCs w:val="21"/>
              </w:rPr>
              <w:t>信息内容</w:t>
            </w:r>
          </w:p>
        </w:tc>
        <w:tc>
          <w:tcPr>
            <w:tcW w:w="662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ascii="宋体" w:hAnsi="宋体" w:eastAsia="宋体" w:cs="宋体"/>
                <w:sz w:val="21"/>
                <w:szCs w:val="21"/>
              </w:rPr>
            </w:pPr>
            <w:r>
              <w:rPr>
                <w:rFonts w:ascii="宋体" w:hAnsi="宋体" w:eastAsia="宋体" w:cs="宋体"/>
                <w:spacing w:val="-2"/>
                <w:sz w:val="21"/>
                <w:szCs w:val="21"/>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2" w:hRule="atLeast"/>
          <w:jc w:val="center"/>
        </w:trPr>
        <w:tc>
          <w:tcPr>
            <w:tcW w:w="253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ascii="宋体" w:hAnsi="宋体" w:eastAsia="宋体" w:cs="宋体"/>
                <w:sz w:val="21"/>
                <w:szCs w:val="21"/>
              </w:rPr>
            </w:pPr>
            <w:r>
              <w:rPr>
                <w:rFonts w:ascii="宋体" w:hAnsi="宋体" w:eastAsia="宋体" w:cs="宋体"/>
                <w:spacing w:val="7"/>
                <w:sz w:val="21"/>
                <w:szCs w:val="21"/>
              </w:rPr>
              <w:t>行政处罚</w:t>
            </w:r>
          </w:p>
        </w:tc>
        <w:tc>
          <w:tcPr>
            <w:tcW w:w="662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ascii="Arial"/>
                <w:sz w:val="21"/>
                <w:szCs w:val="21"/>
              </w:rPr>
            </w:pPr>
            <w:r>
              <w:rPr>
                <w:rFonts w:hint="eastAsia" w:ascii="Arial"/>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9" w:hRule="atLeast"/>
          <w:jc w:val="center"/>
        </w:trPr>
        <w:tc>
          <w:tcPr>
            <w:tcW w:w="253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ascii="宋体" w:hAnsi="宋体" w:eastAsia="宋体" w:cs="宋体"/>
                <w:sz w:val="21"/>
                <w:szCs w:val="21"/>
              </w:rPr>
            </w:pPr>
            <w:r>
              <w:rPr>
                <w:rFonts w:ascii="宋体" w:hAnsi="宋体" w:eastAsia="宋体" w:cs="宋体"/>
                <w:spacing w:val="5"/>
                <w:sz w:val="21"/>
                <w:szCs w:val="21"/>
              </w:rPr>
              <w:t>行政强制</w:t>
            </w:r>
          </w:p>
        </w:tc>
        <w:tc>
          <w:tcPr>
            <w:tcW w:w="662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ascii="Arial"/>
                <w:sz w:val="21"/>
                <w:szCs w:val="21"/>
              </w:rPr>
            </w:pPr>
            <w:r>
              <w:rPr>
                <w:rFonts w:hint="eastAsia" w:ascii="Arial"/>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1" w:hRule="atLeast"/>
          <w:jc w:val="center"/>
        </w:trPr>
        <w:tc>
          <w:tcPr>
            <w:tcW w:w="916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ascii="宋体" w:hAnsi="宋体" w:eastAsia="宋体" w:cs="宋体"/>
                <w:sz w:val="21"/>
                <w:szCs w:val="21"/>
              </w:rPr>
            </w:pPr>
            <w:r>
              <w:rPr>
                <w:rFonts w:ascii="宋体" w:hAnsi="宋体" w:eastAsia="宋体" w:cs="宋体"/>
                <w:spacing w:val="1"/>
                <w:sz w:val="21"/>
                <w:szCs w:val="21"/>
              </w:rPr>
              <w:t>第二十条第(八)项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9" w:hRule="atLeast"/>
          <w:jc w:val="center"/>
        </w:trPr>
        <w:tc>
          <w:tcPr>
            <w:tcW w:w="253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ascii="宋体" w:hAnsi="宋体" w:eastAsia="宋体" w:cs="宋体"/>
                <w:sz w:val="21"/>
                <w:szCs w:val="21"/>
              </w:rPr>
            </w:pPr>
            <w:r>
              <w:rPr>
                <w:rFonts w:ascii="宋体" w:hAnsi="宋体" w:eastAsia="宋体" w:cs="宋体"/>
                <w:spacing w:val="3"/>
                <w:sz w:val="21"/>
                <w:szCs w:val="21"/>
              </w:rPr>
              <w:t>信息内容</w:t>
            </w:r>
          </w:p>
        </w:tc>
        <w:tc>
          <w:tcPr>
            <w:tcW w:w="662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ascii="宋体" w:hAnsi="宋体" w:eastAsia="宋体" w:cs="宋体"/>
                <w:sz w:val="21"/>
                <w:szCs w:val="21"/>
              </w:rPr>
            </w:pPr>
            <w:r>
              <w:rPr>
                <w:rFonts w:ascii="宋体" w:hAnsi="宋体" w:eastAsia="宋体" w:cs="宋体"/>
                <w:spacing w:val="4"/>
                <w:sz w:val="21"/>
                <w:szCs w:val="21"/>
              </w:rPr>
              <w:t>本年收费金额(单位：万元)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2" w:hRule="atLeast"/>
          <w:jc w:val="center"/>
        </w:trPr>
        <w:tc>
          <w:tcPr>
            <w:tcW w:w="253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ascii="宋体" w:hAnsi="宋体" w:eastAsia="宋体" w:cs="宋体"/>
                <w:sz w:val="21"/>
                <w:szCs w:val="21"/>
              </w:rPr>
            </w:pPr>
            <w:r>
              <w:rPr>
                <w:rFonts w:ascii="宋体" w:hAnsi="宋体" w:eastAsia="宋体" w:cs="宋体"/>
                <w:spacing w:val="2"/>
                <w:sz w:val="21"/>
                <w:szCs w:val="21"/>
              </w:rPr>
              <w:t>行政事业性收费</w:t>
            </w:r>
          </w:p>
        </w:tc>
        <w:tc>
          <w:tcPr>
            <w:tcW w:w="662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ascii="Arial"/>
                <w:sz w:val="21"/>
                <w:szCs w:val="21"/>
              </w:rPr>
            </w:pPr>
            <w:r>
              <w:rPr>
                <w:rFonts w:hint="eastAsia" w:ascii="Arial"/>
                <w:sz w:val="21"/>
                <w:szCs w:val="21"/>
              </w:rPr>
              <w:t>0</w:t>
            </w:r>
          </w:p>
        </w:tc>
      </w:tr>
    </w:tbl>
    <w:p>
      <w:pPr>
        <w:keepNext w:val="0"/>
        <w:keepLines w:val="0"/>
        <w:pageBreakBefore w:val="0"/>
        <w:widowControl w:val="0"/>
        <w:kinsoku/>
        <w:wordWrap/>
        <w:overflowPunct/>
        <w:topLinePunct w:val="0"/>
        <w:autoSpaceDE/>
        <w:autoSpaceDN/>
        <w:bidi w:val="0"/>
        <w:adjustRightInd/>
        <w:snapToGrid/>
        <w:spacing w:line="540" w:lineRule="exact"/>
        <w:ind w:left="0" w:firstLine="632" w:firstLineChars="200"/>
        <w:textAlignment w:val="auto"/>
        <w:outlineLvl w:val="0"/>
        <w:rPr>
          <w:rFonts w:ascii="黑体" w:hAnsi="黑体" w:eastAsia="黑体" w:cs="黑体"/>
          <w:spacing w:val="-2"/>
          <w:sz w:val="32"/>
          <w:szCs w:val="32"/>
        </w:rPr>
      </w:pPr>
      <w:r>
        <w:rPr>
          <w:rFonts w:ascii="黑体" w:hAnsi="黑体" w:eastAsia="黑体" w:cs="黑体"/>
          <w:spacing w:val="-2"/>
          <w:sz w:val="32"/>
          <w:szCs w:val="32"/>
        </w:rPr>
        <w:t>三、收到和处理政府信息公开申请情况</w:t>
      </w:r>
    </w:p>
    <w:tbl>
      <w:tblPr>
        <w:tblStyle w:val="7"/>
        <w:tblpPr w:leftFromText="180" w:rightFromText="180" w:vertAnchor="text" w:horzAnchor="page" w:tblpX="1524" w:tblpY="6"/>
        <w:tblOverlap w:val="never"/>
        <w:tblW w:w="906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762"/>
        <w:gridCol w:w="3439"/>
        <w:gridCol w:w="456"/>
        <w:gridCol w:w="696"/>
        <w:gridCol w:w="697"/>
        <w:gridCol w:w="696"/>
        <w:gridCol w:w="697"/>
        <w:gridCol w:w="465"/>
        <w:gridCol w:w="45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279" w:hRule="atLeast"/>
        </w:trPr>
        <w:tc>
          <w:tcPr>
            <w:tcW w:w="4897" w:type="dxa"/>
            <w:gridSpan w:val="3"/>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（本列数据的勾稽关系为：第一项加第二项之和，等于第三项加第四项之和）</w:t>
            </w:r>
          </w:p>
        </w:tc>
        <w:tc>
          <w:tcPr>
            <w:tcW w:w="4163" w:type="dxa"/>
            <w:gridSpan w:val="7"/>
            <w:tcBorders>
              <w:top w:val="single" w:color="auto" w:sz="8" w:space="0"/>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223" w:hRule="atLeast"/>
        </w:trPr>
        <w:tc>
          <w:tcPr>
            <w:tcW w:w="4897" w:type="dxa"/>
            <w:gridSpan w:val="3"/>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456" w:type="dxa"/>
            <w:vMerge w:val="restart"/>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自然人</w:t>
            </w:r>
          </w:p>
        </w:tc>
        <w:tc>
          <w:tcPr>
            <w:tcW w:w="3251" w:type="dxa"/>
            <w:gridSpan w:val="5"/>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法人或其他组织</w:t>
            </w:r>
          </w:p>
        </w:tc>
        <w:tc>
          <w:tcPr>
            <w:tcW w:w="456" w:type="dxa"/>
            <w:vMerge w:val="restart"/>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33" w:hRule="atLeast"/>
        </w:trPr>
        <w:tc>
          <w:tcPr>
            <w:tcW w:w="4897" w:type="dxa"/>
            <w:gridSpan w:val="3"/>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456" w:type="dxa"/>
            <w:vMerge w:val="continue"/>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商业企业</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科研机构</w:t>
            </w: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社会公益组织</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法律服务机构</w:t>
            </w:r>
          </w:p>
        </w:tc>
        <w:tc>
          <w:tcPr>
            <w:tcW w:w="465"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其他</w:t>
            </w:r>
          </w:p>
        </w:tc>
        <w:tc>
          <w:tcPr>
            <w:tcW w:w="456" w:type="dxa"/>
            <w:vMerge w:val="continue"/>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261" w:hRule="atLeast"/>
        </w:trPr>
        <w:tc>
          <w:tcPr>
            <w:tcW w:w="4897" w:type="dxa"/>
            <w:gridSpan w:val="3"/>
            <w:tcBorders>
              <w:top w:val="nil"/>
              <w:left w:val="single" w:color="auto" w:sz="8" w:space="0"/>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一、本年新收政府信息公开申请数量</w:t>
            </w:r>
          </w:p>
        </w:tc>
        <w:tc>
          <w:tcPr>
            <w:tcW w:w="45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465"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45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2" w:hRule="atLeast"/>
        </w:trPr>
        <w:tc>
          <w:tcPr>
            <w:tcW w:w="4897" w:type="dxa"/>
            <w:gridSpan w:val="3"/>
            <w:tcBorders>
              <w:top w:val="nil"/>
              <w:left w:val="single" w:color="auto" w:sz="8" w:space="0"/>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二、上年结转政府信息公开申请数量</w:t>
            </w:r>
          </w:p>
        </w:tc>
        <w:tc>
          <w:tcPr>
            <w:tcW w:w="45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465"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45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696"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三、本年度办理结果</w:t>
            </w:r>
          </w:p>
        </w:tc>
        <w:tc>
          <w:tcPr>
            <w:tcW w:w="4201" w:type="dxa"/>
            <w:gridSpan w:val="2"/>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9"/>
              <w:rPr>
                <w:rFonts w:hint="eastAsia" w:ascii="仿宋_GB2312" w:hAnsi="仿宋_GB2312" w:eastAsia="仿宋_GB2312" w:cs="Calibri"/>
                <w:sz w:val="21"/>
                <w:szCs w:val="21"/>
              </w:rPr>
            </w:pPr>
            <w:r>
              <w:rPr>
                <w:rFonts w:hint="eastAsia" w:ascii="仿宋_GB2312" w:hAnsi="仿宋_GB2312" w:eastAsia="仿宋_GB2312" w:cs="楷体"/>
                <w:color w:val="000000"/>
                <w:sz w:val="21"/>
                <w:szCs w:val="21"/>
              </w:rPr>
              <w:t>（一）予以公开</w:t>
            </w:r>
          </w:p>
        </w:tc>
        <w:tc>
          <w:tcPr>
            <w:tcW w:w="45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465"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45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rPr>
        <w:tc>
          <w:tcPr>
            <w:tcW w:w="69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4201" w:type="dxa"/>
            <w:gridSpan w:val="2"/>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9"/>
              <w:rPr>
                <w:rFonts w:hint="eastAsia" w:ascii="仿宋_GB2312" w:hAnsi="仿宋_GB2312" w:eastAsia="仿宋_GB2312" w:cs="Calibri"/>
                <w:sz w:val="21"/>
                <w:szCs w:val="21"/>
              </w:rPr>
            </w:pPr>
            <w:r>
              <w:rPr>
                <w:rFonts w:hint="eastAsia" w:ascii="仿宋_GB2312" w:hAnsi="仿宋_GB2312" w:eastAsia="仿宋_GB2312" w:cs="楷体"/>
                <w:color w:val="000000"/>
                <w:sz w:val="21"/>
                <w:szCs w:val="21"/>
              </w:rPr>
              <w:t>（二）部分公开（区分处理的，只计这一情形，不计其他情形）</w:t>
            </w:r>
          </w:p>
        </w:tc>
        <w:tc>
          <w:tcPr>
            <w:tcW w:w="45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465"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45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69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762" w:type="dxa"/>
            <w:vMerge w:val="restart"/>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9"/>
              <w:rPr>
                <w:rFonts w:hint="eastAsia" w:ascii="仿宋_GB2312" w:hAnsi="仿宋_GB2312" w:eastAsia="仿宋_GB2312" w:cs="Calibri"/>
                <w:sz w:val="21"/>
                <w:szCs w:val="21"/>
              </w:rPr>
            </w:pPr>
            <w:r>
              <w:rPr>
                <w:rFonts w:hint="eastAsia" w:ascii="仿宋_GB2312" w:hAnsi="仿宋_GB2312" w:eastAsia="仿宋_GB2312" w:cs="楷体"/>
                <w:color w:val="000000"/>
                <w:sz w:val="21"/>
                <w:szCs w:val="21"/>
              </w:rPr>
              <w:t>（三）不予公开</w:t>
            </w:r>
          </w:p>
        </w:tc>
        <w:tc>
          <w:tcPr>
            <w:tcW w:w="3439"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9"/>
              <w:rPr>
                <w:rFonts w:hint="eastAsia" w:ascii="仿宋_GB2312" w:hAnsi="仿宋_GB2312" w:eastAsia="仿宋_GB2312" w:cs="Calibri"/>
                <w:sz w:val="21"/>
                <w:szCs w:val="21"/>
              </w:rPr>
            </w:pPr>
            <w:r>
              <w:rPr>
                <w:rFonts w:hint="eastAsia" w:ascii="仿宋_GB2312" w:hAnsi="仿宋_GB2312" w:eastAsia="仿宋_GB2312" w:cs="楷体"/>
                <w:color w:val="000000"/>
                <w:sz w:val="21"/>
                <w:szCs w:val="21"/>
              </w:rPr>
              <w:t>1.属于国家秘密</w:t>
            </w:r>
          </w:p>
        </w:tc>
        <w:tc>
          <w:tcPr>
            <w:tcW w:w="45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465"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45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23" w:hRule="atLeast"/>
        </w:trPr>
        <w:tc>
          <w:tcPr>
            <w:tcW w:w="69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762" w:type="dxa"/>
            <w:vMerge w:val="continue"/>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3439"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9"/>
              <w:rPr>
                <w:rFonts w:hint="eastAsia" w:ascii="仿宋_GB2312" w:hAnsi="仿宋_GB2312" w:eastAsia="仿宋_GB2312" w:cs="Calibri"/>
                <w:sz w:val="21"/>
                <w:szCs w:val="21"/>
              </w:rPr>
            </w:pPr>
            <w:r>
              <w:rPr>
                <w:rFonts w:hint="eastAsia" w:ascii="仿宋_GB2312" w:hAnsi="仿宋_GB2312" w:eastAsia="仿宋_GB2312" w:cs="楷体"/>
                <w:color w:val="000000"/>
                <w:sz w:val="21"/>
                <w:szCs w:val="21"/>
              </w:rPr>
              <w:t>2.其他法律行政法规禁止公开</w:t>
            </w:r>
          </w:p>
        </w:tc>
        <w:tc>
          <w:tcPr>
            <w:tcW w:w="45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465"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45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69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762" w:type="dxa"/>
            <w:vMerge w:val="continue"/>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3439"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9"/>
              <w:rPr>
                <w:rFonts w:hint="eastAsia" w:ascii="仿宋_GB2312" w:hAnsi="仿宋_GB2312" w:eastAsia="仿宋_GB2312" w:cs="Calibri"/>
                <w:sz w:val="21"/>
                <w:szCs w:val="21"/>
              </w:rPr>
            </w:pPr>
            <w:r>
              <w:rPr>
                <w:rFonts w:hint="eastAsia" w:ascii="仿宋_GB2312" w:hAnsi="仿宋_GB2312" w:eastAsia="仿宋_GB2312" w:cs="楷体"/>
                <w:color w:val="000000"/>
                <w:sz w:val="21"/>
                <w:szCs w:val="21"/>
              </w:rPr>
              <w:t>3.危及“三安全一稳定”</w:t>
            </w:r>
          </w:p>
        </w:tc>
        <w:tc>
          <w:tcPr>
            <w:tcW w:w="45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465"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45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37" w:hRule="atLeast"/>
        </w:trPr>
        <w:tc>
          <w:tcPr>
            <w:tcW w:w="69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762" w:type="dxa"/>
            <w:vMerge w:val="continue"/>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3439"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9"/>
              <w:rPr>
                <w:rFonts w:hint="eastAsia" w:ascii="仿宋_GB2312" w:hAnsi="仿宋_GB2312" w:eastAsia="仿宋_GB2312" w:cs="Calibri"/>
                <w:sz w:val="21"/>
                <w:szCs w:val="21"/>
              </w:rPr>
            </w:pPr>
            <w:r>
              <w:rPr>
                <w:rFonts w:hint="eastAsia" w:ascii="仿宋_GB2312" w:hAnsi="仿宋_GB2312" w:eastAsia="仿宋_GB2312" w:cs="楷体"/>
                <w:color w:val="000000"/>
                <w:sz w:val="21"/>
                <w:szCs w:val="21"/>
              </w:rPr>
              <w:t>4.保护第三方合法权益</w:t>
            </w:r>
          </w:p>
        </w:tc>
        <w:tc>
          <w:tcPr>
            <w:tcW w:w="45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465"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45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69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762" w:type="dxa"/>
            <w:vMerge w:val="continue"/>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3439"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9"/>
              <w:rPr>
                <w:rFonts w:hint="eastAsia" w:ascii="仿宋_GB2312" w:hAnsi="仿宋_GB2312" w:eastAsia="仿宋_GB2312" w:cs="Calibri"/>
                <w:sz w:val="21"/>
                <w:szCs w:val="21"/>
              </w:rPr>
            </w:pPr>
            <w:r>
              <w:rPr>
                <w:rFonts w:hint="eastAsia" w:ascii="仿宋_GB2312" w:hAnsi="仿宋_GB2312" w:eastAsia="仿宋_GB2312" w:cs="楷体"/>
                <w:color w:val="000000"/>
                <w:sz w:val="21"/>
                <w:szCs w:val="21"/>
              </w:rPr>
              <w:t>5.属于三类内部事务信息</w:t>
            </w:r>
          </w:p>
        </w:tc>
        <w:tc>
          <w:tcPr>
            <w:tcW w:w="45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465"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45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69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762" w:type="dxa"/>
            <w:vMerge w:val="continue"/>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3439"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9"/>
              <w:rPr>
                <w:rFonts w:hint="eastAsia" w:ascii="仿宋_GB2312" w:hAnsi="仿宋_GB2312" w:eastAsia="仿宋_GB2312" w:cs="Calibri"/>
                <w:sz w:val="21"/>
                <w:szCs w:val="21"/>
              </w:rPr>
            </w:pPr>
            <w:r>
              <w:rPr>
                <w:rFonts w:hint="eastAsia" w:ascii="仿宋_GB2312" w:hAnsi="仿宋_GB2312" w:eastAsia="仿宋_GB2312" w:cs="楷体"/>
                <w:color w:val="000000"/>
                <w:sz w:val="21"/>
                <w:szCs w:val="21"/>
              </w:rPr>
              <w:t>6.属于四类过程性信息</w:t>
            </w:r>
          </w:p>
        </w:tc>
        <w:tc>
          <w:tcPr>
            <w:tcW w:w="45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465"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45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69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762" w:type="dxa"/>
            <w:vMerge w:val="continue"/>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3439"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9"/>
              <w:rPr>
                <w:rFonts w:hint="eastAsia" w:ascii="仿宋_GB2312" w:hAnsi="仿宋_GB2312" w:eastAsia="仿宋_GB2312" w:cs="Calibri"/>
                <w:sz w:val="21"/>
                <w:szCs w:val="21"/>
              </w:rPr>
            </w:pPr>
            <w:r>
              <w:rPr>
                <w:rFonts w:hint="eastAsia" w:ascii="仿宋_GB2312" w:hAnsi="仿宋_GB2312" w:eastAsia="仿宋_GB2312" w:cs="楷体"/>
                <w:color w:val="000000"/>
                <w:sz w:val="21"/>
                <w:szCs w:val="21"/>
              </w:rPr>
              <w:t>7.属于行政执法案卷</w:t>
            </w:r>
          </w:p>
        </w:tc>
        <w:tc>
          <w:tcPr>
            <w:tcW w:w="45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465"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45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50" w:hRule="atLeast"/>
        </w:trPr>
        <w:tc>
          <w:tcPr>
            <w:tcW w:w="69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762" w:type="dxa"/>
            <w:vMerge w:val="continue"/>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3439"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9"/>
              <w:rPr>
                <w:rFonts w:hint="eastAsia" w:ascii="仿宋_GB2312" w:hAnsi="仿宋_GB2312" w:eastAsia="仿宋_GB2312" w:cs="Calibri"/>
                <w:sz w:val="21"/>
                <w:szCs w:val="21"/>
              </w:rPr>
            </w:pPr>
            <w:r>
              <w:rPr>
                <w:rFonts w:hint="eastAsia" w:ascii="仿宋_GB2312" w:hAnsi="仿宋_GB2312" w:eastAsia="仿宋_GB2312" w:cs="楷体"/>
                <w:color w:val="000000"/>
                <w:sz w:val="21"/>
                <w:szCs w:val="21"/>
              </w:rPr>
              <w:t>8.属于行政查询事项</w:t>
            </w:r>
          </w:p>
        </w:tc>
        <w:tc>
          <w:tcPr>
            <w:tcW w:w="45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465"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45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297" w:hRule="atLeast"/>
        </w:trPr>
        <w:tc>
          <w:tcPr>
            <w:tcW w:w="69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762" w:type="dxa"/>
            <w:vMerge w:val="restart"/>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9"/>
              <w:rPr>
                <w:rFonts w:hint="eastAsia" w:ascii="仿宋_GB2312" w:hAnsi="仿宋_GB2312" w:eastAsia="仿宋_GB2312" w:cs="Calibri"/>
                <w:sz w:val="21"/>
                <w:szCs w:val="21"/>
              </w:rPr>
            </w:pPr>
            <w:r>
              <w:rPr>
                <w:rFonts w:hint="eastAsia" w:ascii="仿宋_GB2312" w:hAnsi="仿宋_GB2312" w:eastAsia="仿宋_GB2312" w:cs="楷体"/>
                <w:color w:val="000000"/>
                <w:sz w:val="21"/>
                <w:szCs w:val="21"/>
              </w:rPr>
              <w:t>（四）无法提供</w:t>
            </w:r>
          </w:p>
        </w:tc>
        <w:tc>
          <w:tcPr>
            <w:tcW w:w="3439"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9"/>
              <w:rPr>
                <w:rFonts w:hint="eastAsia" w:ascii="仿宋_GB2312" w:hAnsi="仿宋_GB2312" w:eastAsia="仿宋_GB2312" w:cs="Calibri"/>
                <w:sz w:val="21"/>
                <w:szCs w:val="21"/>
              </w:rPr>
            </w:pPr>
            <w:r>
              <w:rPr>
                <w:rFonts w:hint="eastAsia" w:ascii="仿宋_GB2312" w:hAnsi="仿宋_GB2312" w:eastAsia="仿宋_GB2312" w:cs="楷体"/>
                <w:color w:val="000000"/>
                <w:sz w:val="21"/>
                <w:szCs w:val="21"/>
              </w:rPr>
              <w:t>1.本机关不掌握相关政府信息</w:t>
            </w:r>
          </w:p>
        </w:tc>
        <w:tc>
          <w:tcPr>
            <w:tcW w:w="45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465"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45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69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762" w:type="dxa"/>
            <w:vMerge w:val="continue"/>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3439"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9"/>
              <w:rPr>
                <w:rFonts w:hint="eastAsia" w:ascii="仿宋_GB2312" w:hAnsi="仿宋_GB2312" w:eastAsia="仿宋_GB2312" w:cs="Calibri"/>
                <w:sz w:val="21"/>
                <w:szCs w:val="21"/>
              </w:rPr>
            </w:pPr>
            <w:r>
              <w:rPr>
                <w:rFonts w:hint="eastAsia" w:ascii="仿宋_GB2312" w:hAnsi="仿宋_GB2312" w:eastAsia="仿宋_GB2312" w:cs="楷体"/>
                <w:color w:val="000000"/>
                <w:sz w:val="21"/>
                <w:szCs w:val="21"/>
              </w:rPr>
              <w:t>2.没有现成信息需要另行制作</w:t>
            </w:r>
          </w:p>
        </w:tc>
        <w:tc>
          <w:tcPr>
            <w:tcW w:w="45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465"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45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2" w:hRule="atLeast"/>
        </w:trPr>
        <w:tc>
          <w:tcPr>
            <w:tcW w:w="69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762" w:type="dxa"/>
            <w:vMerge w:val="continue"/>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3439"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9"/>
              <w:rPr>
                <w:rFonts w:hint="eastAsia" w:ascii="仿宋_GB2312" w:hAnsi="仿宋_GB2312" w:eastAsia="仿宋_GB2312" w:cs="Calibri"/>
                <w:sz w:val="21"/>
                <w:szCs w:val="21"/>
              </w:rPr>
            </w:pPr>
            <w:r>
              <w:rPr>
                <w:rFonts w:hint="eastAsia" w:ascii="仿宋_GB2312" w:hAnsi="仿宋_GB2312" w:eastAsia="仿宋_GB2312" w:cs="楷体"/>
                <w:color w:val="000000"/>
                <w:sz w:val="21"/>
                <w:szCs w:val="21"/>
              </w:rPr>
              <w:t>3.补正后申请内容仍不明确</w:t>
            </w:r>
          </w:p>
        </w:tc>
        <w:tc>
          <w:tcPr>
            <w:tcW w:w="45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465"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45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69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762" w:type="dxa"/>
            <w:vMerge w:val="restart"/>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9"/>
              <w:rPr>
                <w:rFonts w:hint="eastAsia" w:ascii="仿宋_GB2312" w:hAnsi="仿宋_GB2312" w:eastAsia="仿宋_GB2312" w:cs="Calibri"/>
                <w:sz w:val="21"/>
                <w:szCs w:val="21"/>
              </w:rPr>
            </w:pPr>
            <w:r>
              <w:rPr>
                <w:rFonts w:hint="eastAsia" w:ascii="仿宋_GB2312" w:hAnsi="仿宋_GB2312" w:eastAsia="仿宋_GB2312" w:cs="楷体"/>
                <w:color w:val="000000"/>
                <w:sz w:val="21"/>
                <w:szCs w:val="21"/>
              </w:rPr>
              <w:t>（五）不予处理</w:t>
            </w:r>
          </w:p>
        </w:tc>
        <w:tc>
          <w:tcPr>
            <w:tcW w:w="3439"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9"/>
              <w:rPr>
                <w:rFonts w:hint="eastAsia" w:ascii="仿宋_GB2312" w:hAnsi="仿宋_GB2312" w:eastAsia="仿宋_GB2312" w:cs="Calibri"/>
                <w:sz w:val="21"/>
                <w:szCs w:val="21"/>
              </w:rPr>
            </w:pPr>
            <w:r>
              <w:rPr>
                <w:rFonts w:hint="eastAsia" w:ascii="仿宋_GB2312" w:hAnsi="仿宋_GB2312" w:eastAsia="仿宋_GB2312" w:cs="楷体"/>
                <w:color w:val="000000"/>
                <w:sz w:val="21"/>
                <w:szCs w:val="21"/>
              </w:rPr>
              <w:t>1.信访举报投诉类申请</w:t>
            </w:r>
          </w:p>
        </w:tc>
        <w:tc>
          <w:tcPr>
            <w:tcW w:w="45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465"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45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69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762" w:type="dxa"/>
            <w:vMerge w:val="continue"/>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3439"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9"/>
              <w:rPr>
                <w:rFonts w:hint="eastAsia" w:ascii="仿宋_GB2312" w:hAnsi="仿宋_GB2312" w:eastAsia="仿宋_GB2312" w:cs="Calibri"/>
                <w:sz w:val="21"/>
                <w:szCs w:val="21"/>
              </w:rPr>
            </w:pPr>
            <w:r>
              <w:rPr>
                <w:rFonts w:hint="eastAsia" w:ascii="仿宋_GB2312" w:hAnsi="仿宋_GB2312" w:eastAsia="仿宋_GB2312" w:cs="楷体"/>
                <w:color w:val="000000"/>
                <w:sz w:val="21"/>
                <w:szCs w:val="21"/>
              </w:rPr>
              <w:t>2.重复申请</w:t>
            </w:r>
          </w:p>
        </w:tc>
        <w:tc>
          <w:tcPr>
            <w:tcW w:w="45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465"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45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69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762" w:type="dxa"/>
            <w:vMerge w:val="continue"/>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3439"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9"/>
              <w:rPr>
                <w:rFonts w:hint="eastAsia" w:ascii="仿宋_GB2312" w:hAnsi="仿宋_GB2312" w:eastAsia="仿宋_GB2312" w:cs="Calibri"/>
                <w:sz w:val="21"/>
                <w:szCs w:val="21"/>
              </w:rPr>
            </w:pPr>
            <w:r>
              <w:rPr>
                <w:rFonts w:hint="eastAsia" w:ascii="仿宋_GB2312" w:hAnsi="仿宋_GB2312" w:eastAsia="仿宋_GB2312" w:cs="楷体"/>
                <w:color w:val="000000"/>
                <w:sz w:val="21"/>
                <w:szCs w:val="21"/>
              </w:rPr>
              <w:t>3.要求提供公开出版物</w:t>
            </w:r>
          </w:p>
        </w:tc>
        <w:tc>
          <w:tcPr>
            <w:tcW w:w="45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465"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45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69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762" w:type="dxa"/>
            <w:vMerge w:val="continue"/>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3439"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9"/>
              <w:rPr>
                <w:rFonts w:hint="eastAsia" w:ascii="仿宋_GB2312" w:hAnsi="仿宋_GB2312" w:eastAsia="仿宋_GB2312" w:cs="Calibri"/>
                <w:sz w:val="21"/>
                <w:szCs w:val="21"/>
              </w:rPr>
            </w:pPr>
            <w:r>
              <w:rPr>
                <w:rFonts w:hint="eastAsia" w:ascii="仿宋_GB2312" w:hAnsi="仿宋_GB2312" w:eastAsia="仿宋_GB2312" w:cs="楷体"/>
                <w:color w:val="000000"/>
                <w:sz w:val="21"/>
                <w:szCs w:val="21"/>
              </w:rPr>
              <w:t>4.无正当理由大量反复申请</w:t>
            </w:r>
          </w:p>
        </w:tc>
        <w:tc>
          <w:tcPr>
            <w:tcW w:w="45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465"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45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30" w:hRule="atLeast"/>
        </w:trPr>
        <w:tc>
          <w:tcPr>
            <w:tcW w:w="69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762" w:type="dxa"/>
            <w:vMerge w:val="continue"/>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3439"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9"/>
              <w:rPr>
                <w:rFonts w:hint="eastAsia" w:ascii="仿宋_GB2312" w:hAnsi="仿宋_GB2312" w:eastAsia="仿宋_GB2312" w:cs="Calibri"/>
                <w:sz w:val="21"/>
                <w:szCs w:val="21"/>
              </w:rPr>
            </w:pPr>
            <w:r>
              <w:rPr>
                <w:rFonts w:hint="eastAsia" w:ascii="仿宋_GB2312" w:hAnsi="仿宋_GB2312" w:eastAsia="仿宋_GB2312" w:cs="楷体"/>
                <w:color w:val="000000"/>
                <w:sz w:val="21"/>
                <w:szCs w:val="21"/>
              </w:rPr>
              <w:t>5.要求行政机关确认或重新出具已获取信息</w:t>
            </w:r>
          </w:p>
        </w:tc>
        <w:tc>
          <w:tcPr>
            <w:tcW w:w="45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465"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45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trPr>
        <w:tc>
          <w:tcPr>
            <w:tcW w:w="69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762" w:type="dxa"/>
            <w:vMerge w:val="restart"/>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9"/>
              <w:rPr>
                <w:rFonts w:hint="eastAsia" w:ascii="仿宋_GB2312" w:hAnsi="仿宋_GB2312" w:eastAsia="仿宋_GB2312" w:cs="Calibri"/>
                <w:sz w:val="21"/>
                <w:szCs w:val="21"/>
              </w:rPr>
            </w:pPr>
            <w:r>
              <w:rPr>
                <w:rFonts w:hint="eastAsia" w:ascii="仿宋_GB2312" w:hAnsi="仿宋_GB2312" w:eastAsia="仿宋_GB2312" w:cs="楷体"/>
                <w:color w:val="000000"/>
                <w:sz w:val="21"/>
                <w:szCs w:val="21"/>
              </w:rPr>
              <w:t>（六）其他处理</w:t>
            </w:r>
          </w:p>
        </w:tc>
        <w:tc>
          <w:tcPr>
            <w:tcW w:w="3439"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9"/>
              <w:rPr>
                <w:rFonts w:hint="eastAsia" w:ascii="仿宋_GB2312" w:hAnsi="仿宋_GB2312" w:eastAsia="仿宋_GB2312" w:cs="Calibri"/>
                <w:sz w:val="21"/>
                <w:szCs w:val="21"/>
              </w:rPr>
            </w:pPr>
            <w:r>
              <w:rPr>
                <w:rFonts w:hint="eastAsia" w:ascii="仿宋_GB2312" w:hAnsi="仿宋_GB2312" w:eastAsia="仿宋_GB2312" w:cs="楷体"/>
                <w:color w:val="000000"/>
                <w:sz w:val="21"/>
                <w:szCs w:val="21"/>
              </w:rPr>
              <w:t>1.申请人无正当理由逾期不补正、行政机关不再处理其政府信息公开申请</w:t>
            </w:r>
          </w:p>
        </w:tc>
        <w:tc>
          <w:tcPr>
            <w:tcW w:w="45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465"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45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69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762" w:type="dxa"/>
            <w:vMerge w:val="continue"/>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3439"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9"/>
              <w:rPr>
                <w:rFonts w:hint="eastAsia" w:ascii="仿宋_GB2312" w:hAnsi="仿宋_GB2312" w:eastAsia="仿宋_GB2312" w:cs="Calibri"/>
                <w:sz w:val="21"/>
                <w:szCs w:val="21"/>
              </w:rPr>
            </w:pPr>
            <w:r>
              <w:rPr>
                <w:rFonts w:hint="eastAsia" w:ascii="仿宋_GB2312" w:hAnsi="仿宋_GB2312" w:eastAsia="仿宋_GB2312" w:cs="楷体"/>
                <w:color w:val="000000"/>
                <w:sz w:val="21"/>
                <w:szCs w:val="21"/>
              </w:rPr>
              <w:t>2.申请人逾期未按收费通知要求缴纳费用、行政机关不再处理其政府信息公开申请</w:t>
            </w:r>
          </w:p>
        </w:tc>
        <w:tc>
          <w:tcPr>
            <w:tcW w:w="45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465"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45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69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762" w:type="dxa"/>
            <w:vMerge w:val="continue"/>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3439"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9"/>
              <w:rPr>
                <w:rFonts w:hint="eastAsia" w:ascii="仿宋_GB2312" w:hAnsi="仿宋_GB2312" w:eastAsia="仿宋_GB2312" w:cs="Calibri"/>
                <w:sz w:val="21"/>
                <w:szCs w:val="21"/>
              </w:rPr>
            </w:pPr>
            <w:r>
              <w:rPr>
                <w:rFonts w:hint="eastAsia" w:ascii="仿宋_GB2312" w:hAnsi="仿宋_GB2312" w:eastAsia="仿宋_GB2312" w:cs="楷体"/>
                <w:color w:val="000000"/>
                <w:sz w:val="21"/>
                <w:szCs w:val="21"/>
              </w:rPr>
              <w:t>3.其他</w:t>
            </w:r>
          </w:p>
        </w:tc>
        <w:tc>
          <w:tcPr>
            <w:tcW w:w="45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465"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45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16" w:hRule="atLeast"/>
        </w:trPr>
        <w:tc>
          <w:tcPr>
            <w:tcW w:w="696"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sz w:val="21"/>
                <w:szCs w:val="21"/>
              </w:rPr>
            </w:pPr>
          </w:p>
        </w:tc>
        <w:tc>
          <w:tcPr>
            <w:tcW w:w="4201" w:type="dxa"/>
            <w:gridSpan w:val="2"/>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9"/>
              <w:rPr>
                <w:rFonts w:hint="eastAsia" w:ascii="仿宋_GB2312" w:hAnsi="仿宋_GB2312" w:eastAsia="仿宋_GB2312" w:cs="Calibri"/>
                <w:sz w:val="21"/>
                <w:szCs w:val="21"/>
              </w:rPr>
            </w:pPr>
            <w:r>
              <w:rPr>
                <w:rFonts w:hint="eastAsia" w:ascii="仿宋_GB2312" w:hAnsi="仿宋_GB2312" w:eastAsia="仿宋_GB2312" w:cs="楷体"/>
                <w:color w:val="000000"/>
                <w:sz w:val="21"/>
                <w:szCs w:val="21"/>
              </w:rPr>
              <w:t>（七）总计</w:t>
            </w:r>
          </w:p>
        </w:tc>
        <w:tc>
          <w:tcPr>
            <w:tcW w:w="45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465"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45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897" w:type="dxa"/>
            <w:gridSpan w:val="3"/>
            <w:tcBorders>
              <w:top w:val="nil"/>
              <w:left w:val="single" w:color="auto" w:sz="8" w:space="0"/>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四、结转下年度继续办理</w:t>
            </w:r>
          </w:p>
        </w:tc>
        <w:tc>
          <w:tcPr>
            <w:tcW w:w="45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697"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465"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c>
          <w:tcPr>
            <w:tcW w:w="456" w:type="dxa"/>
            <w:tcBorders>
              <w:top w:val="nil"/>
              <w:left w:val="nil"/>
              <w:bottom w:val="single" w:color="auto" w:sz="8" w:space="0"/>
              <w:right w:val="single" w:color="auto" w:sz="8" w:space="0"/>
            </w:tcBorders>
            <w:tcMar>
              <w:left w:w="108" w:type="dxa"/>
              <w:right w:w="108" w:type="dxa"/>
            </w:tcMar>
            <w:vAlign w:val="center"/>
          </w:tcPr>
          <w:p>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仿宋_GB2312" w:hAnsi="仿宋_GB2312" w:eastAsia="仿宋_GB2312" w:cs="Calibri"/>
                <w:sz w:val="21"/>
                <w:szCs w:val="21"/>
              </w:rPr>
            </w:pPr>
            <w:r>
              <w:rPr>
                <w:rFonts w:hint="eastAsia" w:ascii="仿宋_GB2312" w:hAnsi="仿宋_GB2312" w:eastAsia="仿宋_GB2312" w:cs="等线"/>
                <w:color w:val="000000"/>
                <w:sz w:val="21"/>
                <w:szCs w:val="21"/>
              </w:rPr>
              <w:t>0</w:t>
            </w:r>
          </w:p>
        </w:tc>
      </w:tr>
    </w:tbl>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outlineLvl w:val="0"/>
        <w:rPr>
          <w:rFonts w:ascii="黑体" w:hAnsi="黑体" w:eastAsia="黑体" w:cs="黑体"/>
          <w:sz w:val="32"/>
          <w:szCs w:val="32"/>
        </w:rPr>
      </w:pPr>
      <w:r>
        <w:rPr>
          <w:rFonts w:ascii="黑体" w:hAnsi="黑体" w:eastAsia="黑体" w:cs="黑体"/>
          <w:b w:val="0"/>
          <w:bCs w:val="0"/>
          <w:sz w:val="32"/>
          <w:szCs w:val="32"/>
        </w:rPr>
        <w:t>四、政府信息公开行政复议、行政诉讼情况</w:t>
      </w:r>
    </w:p>
    <w:tbl>
      <w:tblPr>
        <w:tblStyle w:val="8"/>
        <w:tblW w:w="9500" w:type="dxa"/>
        <w:jc w:val="center"/>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8"/>
        <w:gridCol w:w="668"/>
        <w:gridCol w:w="668"/>
        <w:gridCol w:w="668"/>
        <w:gridCol w:w="504"/>
        <w:gridCol w:w="726"/>
        <w:gridCol w:w="726"/>
        <w:gridCol w:w="726"/>
        <w:gridCol w:w="726"/>
        <w:gridCol w:w="456"/>
        <w:gridCol w:w="636"/>
        <w:gridCol w:w="636"/>
        <w:gridCol w:w="636"/>
        <w:gridCol w:w="636"/>
        <w:gridCol w:w="4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4" w:hRule="atLeast"/>
          <w:jc w:val="center"/>
        </w:trPr>
        <w:tc>
          <w:tcPr>
            <w:tcW w:w="3176" w:type="dxa"/>
            <w:gridSpan w:val="5"/>
          </w:tcPr>
          <w:p>
            <w:pPr>
              <w:keepNext w:val="0"/>
              <w:keepLines w:val="0"/>
              <w:pageBreakBefore w:val="0"/>
              <w:widowControl w:val="0"/>
              <w:kinsoku/>
              <w:wordWrap/>
              <w:overflowPunct/>
              <w:topLinePunct w:val="0"/>
              <w:autoSpaceDE/>
              <w:autoSpaceDN/>
              <w:bidi w:val="0"/>
              <w:adjustRightInd/>
              <w:snapToGrid/>
              <w:spacing w:line="240" w:lineRule="atLeast"/>
              <w:ind w:left="1355"/>
              <w:textAlignment w:val="auto"/>
              <w:outlineLvl w:val="9"/>
              <w:rPr>
                <w:rFonts w:ascii="宋体" w:hAnsi="宋体" w:eastAsia="宋体" w:cs="宋体"/>
                <w:sz w:val="22"/>
                <w:szCs w:val="22"/>
              </w:rPr>
            </w:pPr>
            <w:r>
              <w:rPr>
                <w:rFonts w:ascii="宋体" w:hAnsi="宋体" w:eastAsia="宋体" w:cs="宋体"/>
                <w:spacing w:val="22"/>
                <w:sz w:val="22"/>
                <w:szCs w:val="22"/>
              </w:rPr>
              <w:t>行政复议</w:t>
            </w:r>
          </w:p>
        </w:tc>
        <w:tc>
          <w:tcPr>
            <w:tcW w:w="6324" w:type="dxa"/>
            <w:gridSpan w:val="10"/>
          </w:tcPr>
          <w:p>
            <w:pPr>
              <w:keepNext w:val="0"/>
              <w:keepLines w:val="0"/>
              <w:pageBreakBefore w:val="0"/>
              <w:widowControl w:val="0"/>
              <w:kinsoku/>
              <w:wordWrap/>
              <w:overflowPunct/>
              <w:topLinePunct w:val="0"/>
              <w:autoSpaceDE/>
              <w:autoSpaceDN/>
              <w:bidi w:val="0"/>
              <w:adjustRightInd/>
              <w:snapToGrid/>
              <w:spacing w:line="240" w:lineRule="atLeast"/>
              <w:ind w:left="2373"/>
              <w:textAlignment w:val="auto"/>
              <w:outlineLvl w:val="9"/>
              <w:rPr>
                <w:rFonts w:ascii="宋体" w:hAnsi="宋体" w:eastAsia="宋体" w:cs="宋体"/>
                <w:sz w:val="23"/>
                <w:szCs w:val="23"/>
              </w:rPr>
            </w:pPr>
            <w:r>
              <w:rPr>
                <w:rFonts w:ascii="宋体" w:hAnsi="宋体" w:eastAsia="宋体" w:cs="宋体"/>
                <w:spacing w:val="12"/>
                <w:sz w:val="23"/>
                <w:szCs w:val="23"/>
              </w:rPr>
              <w:t>行政诉讼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8" w:hRule="atLeast"/>
          <w:jc w:val="center"/>
        </w:trPr>
        <w:tc>
          <w:tcPr>
            <w:tcW w:w="668"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85"/>
              <w:jc w:val="center"/>
              <w:textAlignment w:val="auto"/>
              <w:outlineLvl w:val="9"/>
              <w:rPr>
                <w:rFonts w:ascii="宋体" w:hAnsi="宋体" w:eastAsia="宋体" w:cs="宋体"/>
                <w:sz w:val="24"/>
              </w:rPr>
            </w:pPr>
            <w:r>
              <w:rPr>
                <w:rFonts w:ascii="宋体" w:hAnsi="宋体" w:eastAsia="宋体" w:cs="宋体"/>
                <w:spacing w:val="7"/>
                <w:sz w:val="24"/>
              </w:rPr>
              <w:t>结果</w:t>
            </w:r>
          </w:p>
          <w:p>
            <w:pPr>
              <w:keepNext w:val="0"/>
              <w:keepLines w:val="0"/>
              <w:pageBreakBefore w:val="0"/>
              <w:widowControl w:val="0"/>
              <w:kinsoku/>
              <w:wordWrap/>
              <w:overflowPunct/>
              <w:topLinePunct w:val="0"/>
              <w:autoSpaceDE/>
              <w:autoSpaceDN/>
              <w:bidi w:val="0"/>
              <w:adjustRightInd/>
              <w:snapToGrid/>
              <w:spacing w:line="240" w:lineRule="atLeast"/>
              <w:ind w:left="85"/>
              <w:jc w:val="center"/>
              <w:textAlignment w:val="auto"/>
              <w:outlineLvl w:val="9"/>
              <w:rPr>
                <w:rFonts w:ascii="宋体" w:hAnsi="宋体" w:eastAsia="宋体" w:cs="宋体"/>
                <w:sz w:val="24"/>
              </w:rPr>
            </w:pPr>
            <w:r>
              <w:rPr>
                <w:rFonts w:ascii="宋体" w:hAnsi="宋体" w:eastAsia="宋体" w:cs="宋体"/>
                <w:spacing w:val="4"/>
                <w:sz w:val="24"/>
              </w:rPr>
              <w:t>维持</w:t>
            </w:r>
          </w:p>
        </w:tc>
        <w:tc>
          <w:tcPr>
            <w:tcW w:w="668"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1"/>
              <w:jc w:val="center"/>
              <w:textAlignment w:val="auto"/>
              <w:outlineLvl w:val="9"/>
              <w:rPr>
                <w:rFonts w:ascii="宋体" w:hAnsi="宋体" w:eastAsia="宋体" w:cs="宋体"/>
                <w:sz w:val="24"/>
              </w:rPr>
            </w:pPr>
            <w:r>
              <w:rPr>
                <w:rFonts w:ascii="宋体" w:hAnsi="宋体" w:eastAsia="宋体" w:cs="宋体"/>
                <w:spacing w:val="7"/>
                <w:sz w:val="24"/>
              </w:rPr>
              <w:t>结果</w:t>
            </w:r>
          </w:p>
          <w:p>
            <w:pPr>
              <w:keepNext w:val="0"/>
              <w:keepLines w:val="0"/>
              <w:pageBreakBefore w:val="0"/>
              <w:widowControl w:val="0"/>
              <w:kinsoku/>
              <w:wordWrap/>
              <w:overflowPunct/>
              <w:topLinePunct w:val="0"/>
              <w:autoSpaceDE/>
              <w:autoSpaceDN/>
              <w:bidi w:val="0"/>
              <w:adjustRightInd/>
              <w:snapToGrid/>
              <w:spacing w:line="240" w:lineRule="atLeast"/>
              <w:ind w:left="101"/>
              <w:jc w:val="center"/>
              <w:textAlignment w:val="auto"/>
              <w:outlineLvl w:val="9"/>
              <w:rPr>
                <w:rFonts w:ascii="宋体" w:hAnsi="宋体" w:eastAsia="宋体" w:cs="宋体"/>
                <w:sz w:val="24"/>
              </w:rPr>
            </w:pPr>
            <w:r>
              <w:rPr>
                <w:rFonts w:ascii="宋体" w:hAnsi="宋体" w:eastAsia="宋体" w:cs="宋体"/>
                <w:spacing w:val="7"/>
                <w:sz w:val="24"/>
              </w:rPr>
              <w:t>纠正</w:t>
            </w:r>
          </w:p>
        </w:tc>
        <w:tc>
          <w:tcPr>
            <w:tcW w:w="668"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2"/>
              <w:jc w:val="center"/>
              <w:textAlignment w:val="auto"/>
              <w:outlineLvl w:val="9"/>
              <w:rPr>
                <w:rFonts w:ascii="宋体" w:hAnsi="宋体" w:eastAsia="宋体" w:cs="宋体"/>
                <w:sz w:val="24"/>
              </w:rPr>
            </w:pPr>
            <w:r>
              <w:rPr>
                <w:rFonts w:ascii="宋体" w:hAnsi="宋体" w:eastAsia="宋体" w:cs="宋体"/>
                <w:spacing w:val="-3"/>
                <w:sz w:val="24"/>
              </w:rPr>
              <w:t>其他</w:t>
            </w:r>
          </w:p>
          <w:p>
            <w:pPr>
              <w:keepNext w:val="0"/>
              <w:keepLines w:val="0"/>
              <w:pageBreakBefore w:val="0"/>
              <w:widowControl w:val="0"/>
              <w:kinsoku/>
              <w:wordWrap/>
              <w:overflowPunct/>
              <w:topLinePunct w:val="0"/>
              <w:autoSpaceDE/>
              <w:autoSpaceDN/>
              <w:bidi w:val="0"/>
              <w:adjustRightInd/>
              <w:snapToGrid/>
              <w:spacing w:line="240" w:lineRule="atLeast"/>
              <w:ind w:left="102"/>
              <w:jc w:val="center"/>
              <w:textAlignment w:val="auto"/>
              <w:outlineLvl w:val="9"/>
              <w:rPr>
                <w:rFonts w:ascii="宋体" w:hAnsi="宋体" w:eastAsia="宋体" w:cs="宋体"/>
                <w:sz w:val="24"/>
              </w:rPr>
            </w:pPr>
            <w:r>
              <w:rPr>
                <w:rFonts w:ascii="宋体" w:hAnsi="宋体" w:eastAsia="宋体" w:cs="宋体"/>
                <w:spacing w:val="7"/>
                <w:sz w:val="24"/>
              </w:rPr>
              <w:t>结果</w:t>
            </w:r>
          </w:p>
        </w:tc>
        <w:tc>
          <w:tcPr>
            <w:tcW w:w="668"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right="101"/>
              <w:jc w:val="center"/>
              <w:textAlignment w:val="auto"/>
              <w:outlineLvl w:val="9"/>
              <w:rPr>
                <w:rFonts w:ascii="宋体" w:hAnsi="宋体" w:eastAsia="宋体" w:cs="宋体"/>
                <w:sz w:val="24"/>
              </w:rPr>
            </w:pPr>
            <w:r>
              <w:rPr>
                <w:rFonts w:ascii="宋体" w:hAnsi="宋体" w:eastAsia="宋体" w:cs="宋体"/>
                <w:spacing w:val="-3"/>
                <w:sz w:val="24"/>
              </w:rPr>
              <w:t>尚未审结</w:t>
            </w:r>
          </w:p>
        </w:tc>
        <w:tc>
          <w:tcPr>
            <w:tcW w:w="504"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ascii="宋体" w:hAnsi="宋体" w:eastAsia="宋体" w:cs="宋体"/>
                <w:sz w:val="24"/>
              </w:rPr>
            </w:pPr>
            <w:r>
              <w:rPr>
                <w:rFonts w:ascii="宋体" w:hAnsi="宋体" w:eastAsia="宋体" w:cs="宋体"/>
                <w:spacing w:val="-3"/>
                <w:sz w:val="24"/>
              </w:rPr>
              <w:t>总计</w:t>
            </w:r>
          </w:p>
        </w:tc>
        <w:tc>
          <w:tcPr>
            <w:tcW w:w="3360" w:type="dxa"/>
            <w:gridSpan w:val="5"/>
          </w:tcPr>
          <w:p>
            <w:pPr>
              <w:keepNext w:val="0"/>
              <w:keepLines w:val="0"/>
              <w:pageBreakBefore w:val="0"/>
              <w:widowControl w:val="0"/>
              <w:kinsoku/>
              <w:wordWrap/>
              <w:overflowPunct/>
              <w:topLinePunct w:val="0"/>
              <w:autoSpaceDE/>
              <w:autoSpaceDN/>
              <w:bidi w:val="0"/>
              <w:adjustRightInd/>
              <w:snapToGrid/>
              <w:spacing w:line="240" w:lineRule="atLeast"/>
              <w:ind w:left="713"/>
              <w:textAlignment w:val="auto"/>
              <w:outlineLvl w:val="9"/>
              <w:rPr>
                <w:rFonts w:ascii="宋体" w:hAnsi="宋体" w:eastAsia="宋体" w:cs="宋体"/>
                <w:sz w:val="24"/>
              </w:rPr>
            </w:pPr>
            <w:r>
              <w:rPr>
                <w:rFonts w:ascii="宋体" w:hAnsi="宋体" w:eastAsia="宋体" w:cs="宋体"/>
                <w:spacing w:val="1"/>
                <w:sz w:val="24"/>
              </w:rPr>
              <w:t>未经复议直接起诉</w:t>
            </w:r>
          </w:p>
        </w:tc>
        <w:tc>
          <w:tcPr>
            <w:tcW w:w="2964" w:type="dxa"/>
            <w:gridSpan w:val="5"/>
          </w:tcPr>
          <w:p>
            <w:pPr>
              <w:keepNext w:val="0"/>
              <w:keepLines w:val="0"/>
              <w:pageBreakBefore w:val="0"/>
              <w:widowControl w:val="0"/>
              <w:kinsoku/>
              <w:wordWrap/>
              <w:overflowPunct/>
              <w:topLinePunct w:val="0"/>
              <w:autoSpaceDE/>
              <w:autoSpaceDN/>
              <w:bidi w:val="0"/>
              <w:adjustRightInd/>
              <w:snapToGrid/>
              <w:spacing w:line="240" w:lineRule="atLeast"/>
              <w:ind w:left="578"/>
              <w:textAlignment w:val="auto"/>
              <w:outlineLvl w:val="9"/>
              <w:rPr>
                <w:rFonts w:ascii="宋体" w:hAnsi="宋体" w:eastAsia="宋体" w:cs="宋体"/>
                <w:sz w:val="24"/>
              </w:rPr>
            </w:pPr>
            <w:r>
              <w:rPr>
                <w:rFonts w:ascii="宋体" w:hAnsi="宋体" w:eastAsia="宋体" w:cs="宋体"/>
                <w:spacing w:val="2"/>
                <w:sz w:val="24"/>
              </w:rPr>
              <w:t>复议后起诉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4" w:hRule="atLeast"/>
          <w:jc w:val="center"/>
        </w:trPr>
        <w:tc>
          <w:tcPr>
            <w:tcW w:w="668"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9"/>
              <w:rPr>
                <w:rFonts w:ascii="Arial"/>
              </w:rPr>
            </w:pPr>
          </w:p>
        </w:tc>
        <w:tc>
          <w:tcPr>
            <w:tcW w:w="668"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9"/>
              <w:rPr>
                <w:rFonts w:ascii="Arial"/>
              </w:rPr>
            </w:pPr>
          </w:p>
        </w:tc>
        <w:tc>
          <w:tcPr>
            <w:tcW w:w="668"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9"/>
              <w:rPr>
                <w:rFonts w:ascii="Arial"/>
              </w:rPr>
            </w:pPr>
          </w:p>
        </w:tc>
        <w:tc>
          <w:tcPr>
            <w:tcW w:w="668"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9"/>
              <w:rPr>
                <w:rFonts w:ascii="Arial"/>
              </w:rPr>
            </w:pPr>
          </w:p>
        </w:tc>
        <w:tc>
          <w:tcPr>
            <w:tcW w:w="504" w:type="dxa"/>
            <w:vMerge w:val="continue"/>
            <w:tcBorders>
              <w:top w:val="nil"/>
            </w:tcBorders>
            <w:textDirection w:val="tbRlV"/>
          </w:tcPr>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9"/>
              <w:rPr>
                <w:rFonts w:ascii="Arial"/>
              </w:rPr>
            </w:pPr>
          </w:p>
        </w:tc>
        <w:tc>
          <w:tcPr>
            <w:tcW w:w="726"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104" w:right="90"/>
              <w:jc w:val="center"/>
              <w:textAlignment w:val="auto"/>
              <w:outlineLvl w:val="9"/>
              <w:rPr>
                <w:rFonts w:ascii="宋体" w:hAnsi="宋体" w:eastAsia="宋体" w:cs="宋体"/>
                <w:sz w:val="24"/>
              </w:rPr>
            </w:pPr>
            <w:r>
              <w:rPr>
                <w:rFonts w:ascii="宋体" w:hAnsi="宋体" w:eastAsia="宋体" w:cs="宋体"/>
                <w:spacing w:val="7"/>
                <w:sz w:val="24"/>
              </w:rPr>
              <w:t>结果</w:t>
            </w:r>
            <w:r>
              <w:rPr>
                <w:rFonts w:ascii="宋体" w:hAnsi="宋体" w:eastAsia="宋体" w:cs="宋体"/>
                <w:spacing w:val="4"/>
                <w:sz w:val="24"/>
              </w:rPr>
              <w:t>维持</w:t>
            </w:r>
          </w:p>
        </w:tc>
        <w:tc>
          <w:tcPr>
            <w:tcW w:w="726"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right="89"/>
              <w:jc w:val="center"/>
              <w:textAlignment w:val="auto"/>
              <w:outlineLvl w:val="9"/>
              <w:rPr>
                <w:rFonts w:ascii="宋体" w:hAnsi="宋体" w:eastAsia="宋体" w:cs="宋体"/>
                <w:sz w:val="24"/>
              </w:rPr>
            </w:pPr>
            <w:r>
              <w:rPr>
                <w:rFonts w:ascii="宋体" w:hAnsi="宋体" w:eastAsia="宋体" w:cs="宋体"/>
                <w:spacing w:val="7"/>
                <w:sz w:val="24"/>
              </w:rPr>
              <w:t>结果纠正</w:t>
            </w:r>
          </w:p>
        </w:tc>
        <w:tc>
          <w:tcPr>
            <w:tcW w:w="726"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106" w:right="98"/>
              <w:jc w:val="center"/>
              <w:textAlignment w:val="auto"/>
              <w:outlineLvl w:val="9"/>
              <w:rPr>
                <w:rFonts w:ascii="宋体" w:hAnsi="宋体" w:eastAsia="宋体" w:cs="宋体"/>
                <w:sz w:val="24"/>
              </w:rPr>
            </w:pPr>
            <w:r>
              <w:rPr>
                <w:rFonts w:ascii="宋体" w:hAnsi="宋体" w:eastAsia="宋体" w:cs="宋体"/>
                <w:spacing w:val="-6"/>
                <w:sz w:val="24"/>
              </w:rPr>
              <w:t>其他</w:t>
            </w:r>
            <w:r>
              <w:rPr>
                <w:rFonts w:ascii="宋体" w:hAnsi="宋体" w:eastAsia="宋体" w:cs="宋体"/>
                <w:spacing w:val="7"/>
                <w:sz w:val="24"/>
              </w:rPr>
              <w:t>结果</w:t>
            </w:r>
          </w:p>
        </w:tc>
        <w:tc>
          <w:tcPr>
            <w:tcW w:w="726"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97"/>
              <w:jc w:val="center"/>
              <w:textAlignment w:val="auto"/>
              <w:outlineLvl w:val="9"/>
              <w:rPr>
                <w:rFonts w:ascii="宋体" w:hAnsi="宋体" w:eastAsia="宋体" w:cs="宋体"/>
                <w:sz w:val="24"/>
              </w:rPr>
            </w:pPr>
            <w:r>
              <w:rPr>
                <w:rFonts w:ascii="宋体" w:hAnsi="宋体" w:eastAsia="宋体" w:cs="宋体"/>
                <w:spacing w:val="6"/>
                <w:sz w:val="24"/>
              </w:rPr>
              <w:t>尚未</w:t>
            </w:r>
          </w:p>
          <w:p>
            <w:pPr>
              <w:keepNext w:val="0"/>
              <w:keepLines w:val="0"/>
              <w:pageBreakBefore w:val="0"/>
              <w:widowControl w:val="0"/>
              <w:kinsoku/>
              <w:wordWrap/>
              <w:overflowPunct/>
              <w:topLinePunct w:val="0"/>
              <w:autoSpaceDE/>
              <w:autoSpaceDN/>
              <w:bidi w:val="0"/>
              <w:adjustRightInd/>
              <w:snapToGrid/>
              <w:spacing w:line="240" w:lineRule="atLeast"/>
              <w:ind w:left="97"/>
              <w:jc w:val="center"/>
              <w:textAlignment w:val="auto"/>
              <w:outlineLvl w:val="9"/>
              <w:rPr>
                <w:rFonts w:ascii="宋体" w:hAnsi="宋体" w:eastAsia="宋体" w:cs="宋体"/>
                <w:sz w:val="24"/>
              </w:rPr>
            </w:pPr>
            <w:r>
              <w:rPr>
                <w:rFonts w:ascii="宋体" w:hAnsi="宋体" w:eastAsia="宋体" w:cs="宋体"/>
                <w:spacing w:val="7"/>
                <w:sz w:val="24"/>
              </w:rPr>
              <w:t>审结</w:t>
            </w:r>
          </w:p>
        </w:tc>
        <w:tc>
          <w:tcPr>
            <w:tcW w:w="45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hAnsi="宋体" w:eastAsia="宋体" w:cs="宋体"/>
                <w:sz w:val="24"/>
              </w:rPr>
            </w:pPr>
            <w:r>
              <w:rPr>
                <w:rFonts w:ascii="宋体" w:hAnsi="宋体" w:eastAsia="宋体" w:cs="宋体"/>
                <w:sz w:val="24"/>
              </w:rPr>
              <w:t>总计</w:t>
            </w:r>
          </w:p>
        </w:tc>
        <w:tc>
          <w:tcPr>
            <w:tcW w:w="63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ascii="宋体" w:hAnsi="宋体" w:eastAsia="宋体" w:cs="宋体"/>
                <w:sz w:val="23"/>
                <w:szCs w:val="23"/>
              </w:rPr>
            </w:pPr>
            <w:r>
              <w:rPr>
                <w:rFonts w:ascii="宋体" w:hAnsi="宋体" w:eastAsia="宋体" w:cs="宋体"/>
                <w:spacing w:val="7"/>
                <w:sz w:val="23"/>
                <w:szCs w:val="23"/>
              </w:rPr>
              <w:t>结果维持</w:t>
            </w:r>
          </w:p>
        </w:tc>
        <w:tc>
          <w:tcPr>
            <w:tcW w:w="63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ascii="宋体" w:hAnsi="宋体" w:eastAsia="宋体" w:cs="宋体"/>
                <w:sz w:val="23"/>
                <w:szCs w:val="23"/>
              </w:rPr>
            </w:pPr>
            <w:r>
              <w:rPr>
                <w:rFonts w:ascii="宋体" w:hAnsi="宋体" w:eastAsia="宋体" w:cs="宋体"/>
                <w:spacing w:val="16"/>
                <w:sz w:val="23"/>
                <w:szCs w:val="23"/>
              </w:rPr>
              <w:t>结果纠正</w:t>
            </w:r>
          </w:p>
        </w:tc>
        <w:tc>
          <w:tcPr>
            <w:tcW w:w="63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ascii="宋体" w:hAnsi="宋体" w:eastAsia="宋体" w:cs="宋体"/>
                <w:sz w:val="24"/>
              </w:rPr>
            </w:pPr>
            <w:r>
              <w:rPr>
                <w:rFonts w:ascii="宋体" w:hAnsi="宋体" w:eastAsia="宋体" w:cs="宋体"/>
                <w:sz w:val="24"/>
              </w:rPr>
              <w:t>其他结果</w:t>
            </w:r>
          </w:p>
        </w:tc>
        <w:tc>
          <w:tcPr>
            <w:tcW w:w="63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ascii="宋体" w:hAnsi="宋体" w:eastAsia="宋体" w:cs="宋体"/>
                <w:sz w:val="24"/>
              </w:rPr>
            </w:pPr>
            <w:r>
              <w:rPr>
                <w:rFonts w:ascii="宋体" w:hAnsi="宋体" w:eastAsia="宋体" w:cs="宋体"/>
                <w:sz w:val="24"/>
              </w:rPr>
              <w:t>尚未审结</w:t>
            </w:r>
          </w:p>
        </w:tc>
        <w:tc>
          <w:tcPr>
            <w:tcW w:w="4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ascii="宋体" w:hAnsi="宋体" w:eastAsia="宋体" w:cs="宋体"/>
                <w:sz w:val="24"/>
              </w:rPr>
            </w:pPr>
            <w:r>
              <w:rPr>
                <w:rFonts w:ascii="宋体" w:hAnsi="宋体" w:eastAsia="宋体" w:cs="宋体"/>
                <w:sz w:val="24"/>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4" w:hRule="atLeast"/>
          <w:jc w:val="center"/>
        </w:trPr>
        <w:tc>
          <w:tcPr>
            <w:tcW w:w="668"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ascii="Arial"/>
              </w:rPr>
            </w:pPr>
            <w:r>
              <w:rPr>
                <w:rFonts w:hint="eastAsia" w:ascii="Arial"/>
              </w:rPr>
              <w:t>0</w:t>
            </w:r>
          </w:p>
        </w:tc>
        <w:tc>
          <w:tcPr>
            <w:tcW w:w="668"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ascii="Arial"/>
              </w:rPr>
            </w:pPr>
            <w:r>
              <w:rPr>
                <w:rFonts w:hint="eastAsia" w:ascii="Arial"/>
              </w:rPr>
              <w:t>0</w:t>
            </w:r>
          </w:p>
        </w:tc>
        <w:tc>
          <w:tcPr>
            <w:tcW w:w="668"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ascii="Arial"/>
              </w:rPr>
            </w:pPr>
            <w:r>
              <w:rPr>
                <w:rFonts w:hint="eastAsia" w:ascii="Arial"/>
              </w:rPr>
              <w:t>0</w:t>
            </w:r>
          </w:p>
        </w:tc>
        <w:tc>
          <w:tcPr>
            <w:tcW w:w="668"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ascii="Arial"/>
              </w:rPr>
            </w:pPr>
            <w:r>
              <w:rPr>
                <w:rFonts w:hint="eastAsia" w:ascii="Arial"/>
              </w:rPr>
              <w:t>0</w:t>
            </w:r>
          </w:p>
        </w:tc>
        <w:tc>
          <w:tcPr>
            <w:tcW w:w="504"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ascii="Arial"/>
              </w:rPr>
            </w:pPr>
            <w:r>
              <w:rPr>
                <w:rFonts w:hint="eastAsia" w:ascii="Arial"/>
              </w:rPr>
              <w:t>0</w:t>
            </w:r>
          </w:p>
        </w:tc>
        <w:tc>
          <w:tcPr>
            <w:tcW w:w="726"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ascii="Arial"/>
              </w:rPr>
            </w:pPr>
            <w:r>
              <w:rPr>
                <w:rFonts w:hint="eastAsia" w:ascii="Arial"/>
              </w:rPr>
              <w:t>0</w:t>
            </w:r>
          </w:p>
        </w:tc>
        <w:tc>
          <w:tcPr>
            <w:tcW w:w="726"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ascii="Arial"/>
              </w:rPr>
            </w:pPr>
            <w:r>
              <w:rPr>
                <w:rFonts w:hint="eastAsia" w:ascii="Arial"/>
              </w:rPr>
              <w:t>0</w:t>
            </w:r>
          </w:p>
        </w:tc>
        <w:tc>
          <w:tcPr>
            <w:tcW w:w="726"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ascii="Arial"/>
              </w:rPr>
            </w:pPr>
            <w:r>
              <w:rPr>
                <w:rFonts w:hint="eastAsia" w:ascii="Arial"/>
              </w:rPr>
              <w:t>0</w:t>
            </w:r>
          </w:p>
        </w:tc>
        <w:tc>
          <w:tcPr>
            <w:tcW w:w="726"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ascii="Arial"/>
              </w:rPr>
            </w:pPr>
            <w:r>
              <w:rPr>
                <w:rFonts w:hint="eastAsia" w:ascii="Arial"/>
              </w:rPr>
              <w:t>0</w:t>
            </w:r>
          </w:p>
        </w:tc>
        <w:tc>
          <w:tcPr>
            <w:tcW w:w="456"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ascii="Arial"/>
              </w:rPr>
            </w:pPr>
            <w:r>
              <w:rPr>
                <w:rFonts w:hint="eastAsia" w:ascii="Arial"/>
              </w:rPr>
              <w:t>0</w:t>
            </w:r>
          </w:p>
        </w:tc>
        <w:tc>
          <w:tcPr>
            <w:tcW w:w="636" w:type="dxa"/>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ascii="Arial"/>
              </w:rPr>
            </w:pPr>
            <w:r>
              <w:rPr>
                <w:rFonts w:hint="eastAsia" w:ascii="Arial"/>
              </w:rPr>
              <w:t>0</w:t>
            </w:r>
          </w:p>
        </w:tc>
        <w:tc>
          <w:tcPr>
            <w:tcW w:w="636" w:type="dxa"/>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ascii="Arial"/>
              </w:rPr>
            </w:pPr>
            <w:r>
              <w:rPr>
                <w:rFonts w:hint="eastAsia" w:ascii="Arial"/>
              </w:rPr>
              <w:t>0</w:t>
            </w:r>
          </w:p>
        </w:tc>
        <w:tc>
          <w:tcPr>
            <w:tcW w:w="636" w:type="dxa"/>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ascii="Arial"/>
              </w:rPr>
            </w:pPr>
            <w:r>
              <w:rPr>
                <w:rFonts w:hint="eastAsia" w:ascii="Arial"/>
              </w:rPr>
              <w:t>0</w:t>
            </w:r>
          </w:p>
        </w:tc>
        <w:tc>
          <w:tcPr>
            <w:tcW w:w="636" w:type="dxa"/>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ascii="Arial"/>
              </w:rPr>
            </w:pPr>
            <w:r>
              <w:rPr>
                <w:rFonts w:hint="eastAsia" w:ascii="Arial"/>
              </w:rPr>
              <w:t>0</w:t>
            </w:r>
          </w:p>
        </w:tc>
        <w:tc>
          <w:tcPr>
            <w:tcW w:w="420"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ascii="Arial"/>
              </w:rPr>
            </w:pPr>
            <w:r>
              <w:rPr>
                <w:rFonts w:hint="eastAsia" w:ascii="Arial"/>
              </w:rPr>
              <w:t>0</w:t>
            </w:r>
          </w:p>
        </w:tc>
      </w:tr>
    </w:tbl>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
          <w:sz w:val="32"/>
          <w:szCs w:val="32"/>
        </w:rPr>
      </w:pPr>
      <w:r>
        <w:rPr>
          <w:rFonts w:hint="eastAsia" w:ascii="仿宋_GB2312" w:hAnsi="仿宋_GB2312" w:eastAsia="仿宋_GB2312" w:cs="仿宋"/>
          <w:sz w:val="32"/>
          <w:szCs w:val="32"/>
        </w:rPr>
        <w:t>2022年我局政府信息公开工作顺利开展，但还存在一些问题</w:t>
      </w:r>
      <w:r>
        <w:rPr>
          <w:rFonts w:hint="eastAsia" w:ascii="仿宋_GB2312" w:hAnsi="仿宋_GB2312" w:eastAsia="仿宋_GB2312" w:cs="仿宋"/>
          <w:b/>
          <w:bCs/>
          <w:sz w:val="32"/>
          <w:szCs w:val="32"/>
        </w:rPr>
        <w:t>:一是</w:t>
      </w:r>
      <w:r>
        <w:rPr>
          <w:rFonts w:hint="eastAsia" w:ascii="仿宋_GB2312" w:hAnsi="仿宋_GB2312" w:eastAsia="仿宋_GB2312" w:cs="仿宋"/>
          <w:sz w:val="32"/>
          <w:szCs w:val="32"/>
        </w:rPr>
        <w:t>信息公开不够及时，内容不够全面，分类不够清晰。</w:t>
      </w:r>
      <w:r>
        <w:rPr>
          <w:rFonts w:hint="eastAsia" w:ascii="仿宋_GB2312" w:hAnsi="仿宋_GB2312" w:eastAsia="仿宋_GB2312" w:cs="仿宋"/>
          <w:b/>
          <w:bCs/>
          <w:sz w:val="32"/>
          <w:szCs w:val="32"/>
        </w:rPr>
        <w:t>二是</w:t>
      </w:r>
      <w:r>
        <w:rPr>
          <w:rFonts w:hint="eastAsia" w:ascii="仿宋_GB2312" w:hAnsi="仿宋_GB2312" w:eastAsia="仿宋_GB2312" w:cs="仿宋"/>
          <w:sz w:val="32"/>
          <w:szCs w:val="32"/>
        </w:rPr>
        <w:t>政策解读工作较弱，重大政策解读质量有待提高。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
          <w:sz w:val="32"/>
          <w:szCs w:val="32"/>
        </w:rPr>
      </w:pPr>
      <w:r>
        <w:rPr>
          <w:rFonts w:hint="eastAsia" w:ascii="仿宋_GB2312" w:hAnsi="仿宋_GB2312" w:eastAsia="仿宋_GB2312" w:cs="仿宋"/>
          <w:sz w:val="32"/>
          <w:szCs w:val="32"/>
        </w:rPr>
        <w:t>针对以上问题，2023年本单位将继续创新工作思路，建立分工明确的协调联动机制，健全信息公开制度，强化制度刚性，做好统筹督促。把握新闻宣传主动性，及时回应社会关切，最大程度地满足广大人民群众的知情权、参与权和监督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六、其他需要报告的事项</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outlineLvl w:val="9"/>
        <w:rPr>
          <w:rFonts w:hint="eastAsia" w:ascii="仿宋_GB2312" w:hAnsi="仿宋_GB2312" w:eastAsia="仿宋_GB2312" w:cs="仿宋"/>
          <w:color w:val="auto"/>
          <w:sz w:val="32"/>
          <w:szCs w:val="32"/>
        </w:rPr>
      </w:pPr>
      <w:r>
        <w:rPr>
          <w:rFonts w:hint="eastAsia" w:ascii="仿宋_GB2312" w:hAnsi="仿宋_GB2312" w:eastAsia="仿宋_GB2312" w:cs="仿宋"/>
          <w:color w:val="auto"/>
          <w:sz w:val="32"/>
          <w:szCs w:val="32"/>
        </w:rPr>
        <w:t>2022年度本机关未收取信息处理费</w:t>
      </w:r>
      <w:r>
        <w:rPr>
          <w:rFonts w:hint="eastAsia" w:ascii="仿宋_GB2312" w:hAnsi="仿宋_GB2312" w:eastAsia="仿宋_GB2312" w:cs="仿宋"/>
          <w:color w:val="auto"/>
          <w:sz w:val="32"/>
          <w:szCs w:val="32"/>
          <w:lang w:eastAsia="zh-CN"/>
        </w:rPr>
        <w:t>，未</w:t>
      </w:r>
      <w:r>
        <w:rPr>
          <w:rFonts w:hint="eastAsia" w:ascii="仿宋_GB2312" w:hAnsi="仿宋_GB2312" w:eastAsia="仿宋_GB2312" w:cs="仿宋"/>
          <w:color w:val="auto"/>
          <w:sz w:val="32"/>
          <w:szCs w:val="32"/>
        </w:rPr>
        <w:t>发出收费通知。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 w:hAnsi="仿宋" w:eastAsia="仿宋" w:cs="仿宋"/>
          <w:sz w:val="32"/>
          <w:szCs w:val="32"/>
        </w:rPr>
      </w:pPr>
    </w:p>
    <w:p>
      <w:pPr>
        <w:spacing w:line="540" w:lineRule="exact"/>
        <w:ind w:firstLine="3840" w:firstLineChars="1200"/>
        <w:rPr>
          <w:rFonts w:ascii="仿宋" w:hAnsi="仿宋" w:eastAsia="仿宋" w:cs="仿宋"/>
          <w:sz w:val="32"/>
          <w:szCs w:val="32"/>
        </w:rPr>
      </w:pPr>
      <w:r>
        <w:rPr>
          <w:rFonts w:hint="eastAsia" w:ascii="仿宋" w:hAnsi="仿宋" w:eastAsia="仿宋" w:cs="仿宋"/>
          <w:sz w:val="32"/>
          <w:szCs w:val="32"/>
        </w:rPr>
        <w:t xml:space="preserve">和田地区机关事务管理局 </w:t>
      </w:r>
    </w:p>
    <w:p>
      <w:pPr>
        <w:spacing w:line="540" w:lineRule="exact"/>
        <w:ind w:firstLine="4480" w:firstLineChars="1400"/>
        <w:rPr>
          <w:rFonts w:ascii="仿宋" w:hAnsi="仿宋" w:eastAsia="仿宋" w:cs="仿宋"/>
          <w:sz w:val="32"/>
          <w:szCs w:val="32"/>
        </w:rPr>
      </w:pPr>
      <w:r>
        <w:rPr>
          <w:rFonts w:hint="eastAsia" w:ascii="仿宋" w:hAnsi="仿宋" w:eastAsia="仿宋" w:cs="仿宋"/>
          <w:sz w:val="32"/>
          <w:szCs w:val="32"/>
        </w:rPr>
        <w:t>2023年1月29日</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452697"/>
    <w:rsid w:val="0001685A"/>
    <w:rsid w:val="00073498"/>
    <w:rsid w:val="003452AE"/>
    <w:rsid w:val="003B0838"/>
    <w:rsid w:val="005A74F4"/>
    <w:rsid w:val="00742D16"/>
    <w:rsid w:val="00DE1D74"/>
    <w:rsid w:val="00E80DBB"/>
    <w:rsid w:val="0D1D54D0"/>
    <w:rsid w:val="158B6D9A"/>
    <w:rsid w:val="18E343B3"/>
    <w:rsid w:val="19C52B1F"/>
    <w:rsid w:val="1F143F19"/>
    <w:rsid w:val="29CD3D56"/>
    <w:rsid w:val="33CF0E39"/>
    <w:rsid w:val="34585F22"/>
    <w:rsid w:val="34C55389"/>
    <w:rsid w:val="35FB0AF0"/>
    <w:rsid w:val="3D5F424B"/>
    <w:rsid w:val="4392187D"/>
    <w:rsid w:val="4D484664"/>
    <w:rsid w:val="4DEC586D"/>
    <w:rsid w:val="4F646EAC"/>
    <w:rsid w:val="6434608A"/>
    <w:rsid w:val="64737A7F"/>
    <w:rsid w:val="679A228D"/>
    <w:rsid w:val="6B452697"/>
    <w:rsid w:val="70475432"/>
    <w:rsid w:val="718C2C71"/>
    <w:rsid w:val="7DC363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样式1"/>
    <w:basedOn w:val="1"/>
    <w:qFormat/>
    <w:uiPriority w:val="0"/>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customStyle="1" w:styleId="8">
    <w:name w:val="Table Normal"/>
    <w:unhideWhenUsed/>
    <w:qFormat/>
    <w:uiPriority w:val="0"/>
    <w:tblPr>
      <w:tblLayout w:type="fixed"/>
      <w:tblCellMar>
        <w:top w:w="0" w:type="dxa"/>
        <w:left w:w="0" w:type="dxa"/>
        <w:bottom w:w="0" w:type="dxa"/>
        <w:right w:w="0" w:type="dxa"/>
      </w:tblCellMar>
    </w:tblPr>
  </w:style>
  <w:style w:type="character" w:customStyle="1" w:styleId="9">
    <w:name w:val="页眉 Char"/>
    <w:basedOn w:val="6"/>
    <w:link w:val="4"/>
    <w:qFormat/>
    <w:uiPriority w:val="0"/>
    <w:rPr>
      <w:rFonts w:asciiTheme="minorHAnsi" w:hAnsiTheme="minorHAnsi" w:eastAsiaTheme="minorEastAsia" w:cstheme="minorBidi"/>
      <w:kern w:val="2"/>
      <w:sz w:val="18"/>
      <w:szCs w:val="18"/>
    </w:rPr>
  </w:style>
  <w:style w:type="character" w:customStyle="1" w:styleId="10">
    <w:name w:val="页脚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374</Words>
  <Characters>2134</Characters>
  <Lines>17</Lines>
  <Paragraphs>5</Paragraphs>
  <TotalTime>1</TotalTime>
  <ScaleCrop>false</ScaleCrop>
  <LinksUpToDate>false</LinksUpToDate>
  <CharactersWithSpaces>2503</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2023-01-31T02:43:00Z</dcterms:created>
  <dc:creator>Administrator</dc:creator>
  <cp:lastModifiedBy>dzblh</cp:lastModifiedBy>
  <cp:lastPrinted>2023-03-17T09:06:00Z</cp:lastPrinted>
  <dcterms:modified xsi:type="dcterms:W3CDTF">2023-03-22T13:16:09Z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