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和田地区公安局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公开工作年度报告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根据《中华人民共和国政府信息公开条例》要求，结合和田地区公安局工作实际形成本报告。和田地区公安局2022年政府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报告内容，严格按照《中华人民共和国政府信息公开条例》第二十条的规定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撰写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，确保完整全面无遗漏。报告中所列数据的统计期限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2022年1月1日至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年，和田地区公安局坚持以习近平新时代中国特色社会主义思想为指导，坚定坚决贯彻落实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国务院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、公安部、自治区、和田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政务公开工作要求和深化公安改革的重大决策部署，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以“喜迎二十大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忠诚保平安”主题实践活动为载体，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聚焦总目标，主动作为、综合施策，稳步推进政府信息公开工作，重点强化信息发布、政策解读和警民互动回应工作，严格按照依申请公开办理时限予以公开，不断加强和优化服务管理职能，有效提升公安机关行政管理水平，使人民群众幸福感、获得感明显增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（一）主动公开方面。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和田地区公安局以微博等新媒体平台为载体，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紧紧围绕本机关重点工作，精心谋划政府信息公开工作，通过各级传统媒体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本单位运维的政务新媒体账号发布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各类政府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380余篇。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依托微博、微信公众号、抖音等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运营的新媒体账号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转发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正面宣传政法队伍文章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1400余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公开本级行政许可处理决定数量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15起（其中，金融业营业场所安全防范许可9起，保安服务公司设立许可6起），公开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行政处罚2起。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依申请公开工作情况。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2022年，和田地区公安局未收到政府信息公开申请。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政府信息管理工作情况。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和田地区公安局严格落实对外信息发布审查要求，严格落实“三审三校”制度，对日常发布转发的信息建立电子发文台账，强化新媒体账号安全巡查工作。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政府信息公开平台建设情况。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和田地区公安局按照上级公安机关的要求，对互联网网站进行关停。主要依托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微博、微信公众号、抖音等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新媒体账号开展信息公开和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政府信息公开监督保障机制建设情况。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田地区公安局积极与同级宣传、网信部门沟通联系，严格落实“三同步”要求，制定并下发《和田地区公安机关涉警舆情处置工作实施方案》、《和田地区公安局对外信息发布管理办法》和《和田地区公安局新闻信息发布审核审批表》等安全管理、保密审查和应急预案等制度，规范信息编辑、审核、发布流程，严格落实“先审后发”原则，并指定专人负责创办的各新媒体账号权限管理设置、数据加密、访问控制等工作，切实加强公安新媒体的运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二、主动公开政府信息情况</w:t>
      </w:r>
    </w:p>
    <w:tbl>
      <w:tblPr>
        <w:tblStyle w:val="6"/>
        <w:tblW w:w="852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8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第二十条第（一）项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制发件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数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废止件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数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现行有效件数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规章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规范性文件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8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第二十条第（五）项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信息内容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本年度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处理决定数量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行政许可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8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第二十条第（六）项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信息内容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本年度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处理决定数量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处罚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行政强制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第二十条第（八）项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信息内容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行政事业性收费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三、收到和处理政府信息公开申请情况</w:t>
      </w:r>
    </w:p>
    <w:tbl>
      <w:tblPr>
        <w:tblStyle w:val="6"/>
        <w:tblpPr w:leftFromText="180" w:rightFromText="180" w:vertAnchor="text" w:horzAnchor="page" w:tblpX="1524" w:tblpY="6"/>
        <w:tblOverlap w:val="never"/>
        <w:tblW w:w="90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762"/>
        <w:gridCol w:w="3439"/>
        <w:gridCol w:w="456"/>
        <w:gridCol w:w="696"/>
        <w:gridCol w:w="697"/>
        <w:gridCol w:w="696"/>
        <w:gridCol w:w="697"/>
        <w:gridCol w:w="465"/>
        <w:gridCol w:w="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8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16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8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自然人</w:t>
            </w:r>
          </w:p>
        </w:tc>
        <w:tc>
          <w:tcPr>
            <w:tcW w:w="32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法人或其他组织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8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商业企业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科研机构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社会公益组织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法律服务机构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8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8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三、本年度办理结果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（一）予以公开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（三）不予公开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1.属于国家秘密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2.其他法律行政法规禁止公开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3.危及“三安全一稳定”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4.保护第三方合法权益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5.属于三类内部事务信息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6.属于四类过程性信息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7.属于行政执法案卷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8.属于行政查询事项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（四）无法提供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1.本机关不掌握相关政府信息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2.没有现成信息需要另行制作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3.补正后申请内容仍不明确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（五）不予处理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1.信访举报投诉类申请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2.重复申请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3.要求提供公开出版物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4.无正当理由大量反复申请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（六）其他处理</w:t>
            </w:r>
          </w:p>
        </w:tc>
        <w:tc>
          <w:tcPr>
            <w:tcW w:w="34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3.其他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楷体"/>
                <w:color w:val="000000"/>
                <w:sz w:val="21"/>
                <w:szCs w:val="21"/>
              </w:rPr>
              <w:t>（七）总计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四、结转下年度继续办理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等线"/>
                <w:color w:val="00000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四、政府信息公开行政复议、行政诉讼情况</w:t>
      </w:r>
    </w:p>
    <w:tbl>
      <w:tblPr>
        <w:tblStyle w:val="6"/>
        <w:tblW w:w="877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85"/>
        <w:gridCol w:w="585"/>
        <w:gridCol w:w="585"/>
        <w:gridCol w:w="586"/>
        <w:gridCol w:w="585"/>
        <w:gridCol w:w="585"/>
        <w:gridCol w:w="585"/>
        <w:gridCol w:w="585"/>
        <w:gridCol w:w="586"/>
        <w:gridCol w:w="585"/>
        <w:gridCol w:w="585"/>
        <w:gridCol w:w="585"/>
        <w:gridCol w:w="585"/>
        <w:gridCol w:w="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9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  <w:t>行政复议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8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  <w:t>行政诉讼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结果纠正</w:t>
            </w:r>
          </w:p>
        </w:tc>
        <w:tc>
          <w:tcPr>
            <w:tcW w:w="5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其他结果</w:t>
            </w:r>
          </w:p>
        </w:tc>
        <w:tc>
          <w:tcPr>
            <w:tcW w:w="5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尚未审结</w:t>
            </w:r>
          </w:p>
        </w:tc>
        <w:tc>
          <w:tcPr>
            <w:tcW w:w="5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总计</w:t>
            </w:r>
          </w:p>
        </w:tc>
        <w:tc>
          <w:tcPr>
            <w:tcW w:w="29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未经复议直接起诉</w:t>
            </w:r>
          </w:p>
        </w:tc>
        <w:tc>
          <w:tcPr>
            <w:tcW w:w="2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结果维持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结果纠正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其他结果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尚未审结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总计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结果维持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结果纠正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其他结果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尚未审结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五、存在的问题及改进情况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（一）存在的问题：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信息公开范围与人民群众的需求有一定差距，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统筹一体推进、信息公开的广度和深度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（二）改进情况。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及时发布动态，进一步充实和完善信息公开内容质量。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加大公开力度，进一步做好政府信息公开工作，规范依法申请公开工作流程。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最大程度方便群众“一站式”办理各类事项，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为强化政府信息公开不懈努力。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2022年，和田地区公安局无收取信息处理费情况。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1897" w:firstLineChars="593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和田地区公安局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1897" w:firstLineChars="593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2023年3月18日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43084"/>
    <w:rsid w:val="0D043084"/>
    <w:rsid w:val="1131241E"/>
    <w:rsid w:val="286D4354"/>
    <w:rsid w:val="290E78BA"/>
    <w:rsid w:val="2B6C0EF5"/>
    <w:rsid w:val="2DD160FD"/>
    <w:rsid w:val="41371412"/>
    <w:rsid w:val="425D4B88"/>
    <w:rsid w:val="50D0032D"/>
    <w:rsid w:val="52F04394"/>
    <w:rsid w:val="57C234C7"/>
    <w:rsid w:val="57F8FCA4"/>
    <w:rsid w:val="5D51396D"/>
    <w:rsid w:val="6F5C4983"/>
    <w:rsid w:val="74BB43EB"/>
    <w:rsid w:val="7509706A"/>
    <w:rsid w:val="7A74186C"/>
    <w:rsid w:val="7D5DDD26"/>
    <w:rsid w:val="7E79AC61"/>
    <w:rsid w:val="E79F4A15"/>
    <w:rsid w:val="FF9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2023-03-19T13:12:00Z</dcterms:created>
  <dc:creator>胡锐</dc:creator>
  <cp:lastModifiedBy>dzblh</cp:lastModifiedBy>
  <dcterms:modified xsi:type="dcterms:W3CDTF">2023-03-22T13:39:14Z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