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p>
    <w:p>
      <w:pPr>
        <w:keepNext w:val="0"/>
        <w:keepLines w:val="0"/>
        <w:pageBreakBefore w:val="0"/>
        <w:widowControl/>
        <w:kinsoku/>
        <w:wordWrap w:val="0"/>
        <w:overflowPunct/>
        <w:topLinePunct w:val="0"/>
        <w:autoSpaceDE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333333"/>
          <w:kern w:val="0"/>
          <w:sz w:val="44"/>
          <w:szCs w:val="44"/>
          <w:shd w:val="clear" w:color="auto" w:fill="FFFFFF"/>
        </w:rPr>
      </w:pPr>
      <w:r>
        <w:rPr>
          <w:rFonts w:hint="eastAsia" w:ascii="方正小标宋简体" w:hAnsi="方正小标宋简体" w:eastAsia="方正小标宋简体" w:cs="方正小标宋简体"/>
          <w:color w:val="333333"/>
          <w:kern w:val="0"/>
          <w:sz w:val="44"/>
          <w:szCs w:val="44"/>
          <w:shd w:val="clear" w:color="auto" w:fill="FFFFFF"/>
        </w:rPr>
        <w:t>和田地区信访局202</w:t>
      </w:r>
      <w:r>
        <w:rPr>
          <w:rFonts w:hint="eastAsia" w:ascii="方正小标宋简体" w:hAnsi="方正小标宋简体" w:eastAsia="方正小标宋简体" w:cs="方正小标宋简体"/>
          <w:color w:val="333333"/>
          <w:kern w:val="0"/>
          <w:sz w:val="44"/>
          <w:szCs w:val="44"/>
          <w:shd w:val="clear" w:color="auto" w:fill="FFFFFF"/>
          <w:lang w:val="en-US" w:eastAsia="zh-CN"/>
        </w:rPr>
        <w:t>3</w:t>
      </w:r>
      <w:r>
        <w:rPr>
          <w:rFonts w:hint="eastAsia" w:ascii="方正小标宋简体" w:hAnsi="方正小标宋简体" w:eastAsia="方正小标宋简体" w:cs="方正小标宋简体"/>
          <w:color w:val="333333"/>
          <w:kern w:val="0"/>
          <w:sz w:val="44"/>
          <w:szCs w:val="44"/>
          <w:shd w:val="clear" w:color="auto" w:fill="FFFFFF"/>
        </w:rPr>
        <w:t>年政府信息</w:t>
      </w:r>
    </w:p>
    <w:p>
      <w:pPr>
        <w:keepNext w:val="0"/>
        <w:keepLines w:val="0"/>
        <w:pageBreakBefore w:val="0"/>
        <w:widowControl/>
        <w:kinsoku/>
        <w:wordWrap w:val="0"/>
        <w:overflowPunct/>
        <w:topLinePunct w:val="0"/>
        <w:autoSpaceDE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333333"/>
          <w:kern w:val="0"/>
          <w:sz w:val="44"/>
          <w:szCs w:val="44"/>
          <w:shd w:val="clear" w:color="auto" w:fill="FFFFFF"/>
        </w:rPr>
      </w:pPr>
      <w:r>
        <w:rPr>
          <w:rFonts w:hint="eastAsia" w:ascii="方正小标宋简体" w:hAnsi="方正小标宋简体" w:eastAsia="方正小标宋简体" w:cs="方正小标宋简体"/>
          <w:color w:val="333333"/>
          <w:kern w:val="0"/>
          <w:sz w:val="44"/>
          <w:szCs w:val="44"/>
          <w:shd w:val="clear" w:color="auto" w:fill="FFFFFF"/>
        </w:rPr>
        <w:t>公开工作年度报告</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仿宋_GB2312" w:hAnsi="仿宋_GB2312" w:eastAsia="仿宋_GB2312" w:cs="宋体"/>
          <w:color w:val="333333"/>
          <w:kern w:val="0"/>
          <w:sz w:val="32"/>
          <w:szCs w:val="32"/>
          <w:shd w:val="clear" w:color="auto" w:fill="FFFFFF"/>
          <w:lang w:eastAsia="zh-CN"/>
        </w:rPr>
        <w:t>按照</w:t>
      </w:r>
      <w:r>
        <w:rPr>
          <w:rFonts w:hint="eastAsia" w:ascii="仿宋_GB2312" w:hAnsi="仿宋_GB2312" w:eastAsia="仿宋_GB2312" w:cs="宋体"/>
          <w:color w:val="333333"/>
          <w:kern w:val="0"/>
          <w:sz w:val="32"/>
          <w:szCs w:val="32"/>
          <w:shd w:val="clear" w:color="auto" w:fill="FFFFFF"/>
        </w:rPr>
        <w:t>《中华人民共和国政府信息公开条例》</w:t>
      </w:r>
      <w:r>
        <w:rPr>
          <w:rFonts w:hint="eastAsia" w:ascii="仿宋_GB2312" w:hAnsi="仿宋_GB2312" w:eastAsia="仿宋_GB2312" w:cs="宋体"/>
          <w:color w:val="333333"/>
          <w:kern w:val="0"/>
          <w:sz w:val="32"/>
          <w:szCs w:val="32"/>
          <w:shd w:val="clear" w:color="auto" w:fill="FFFFFF"/>
          <w:lang w:eastAsia="zh-CN"/>
        </w:rPr>
        <w:t>的相关规定</w:t>
      </w:r>
      <w:r>
        <w:rPr>
          <w:rFonts w:hint="eastAsia" w:ascii="仿宋_GB2312" w:hAnsi="仿宋_GB2312" w:eastAsia="仿宋_GB2312" w:cs="宋体"/>
          <w:color w:val="333333"/>
          <w:kern w:val="0"/>
          <w:sz w:val="32"/>
          <w:szCs w:val="32"/>
          <w:shd w:val="clear" w:color="auto" w:fill="FFFFFF"/>
        </w:rPr>
        <w:t>，</w:t>
      </w:r>
      <w:r>
        <w:rPr>
          <w:rFonts w:hint="eastAsia" w:ascii="仿宋_GB2312" w:hAnsi="仿宋_GB2312" w:eastAsia="仿宋_GB2312" w:cs="宋体"/>
          <w:color w:val="333333"/>
          <w:kern w:val="0"/>
          <w:sz w:val="32"/>
          <w:szCs w:val="32"/>
          <w:shd w:val="clear" w:color="auto" w:fill="FFFFFF"/>
          <w:lang w:eastAsia="zh-CN"/>
        </w:rPr>
        <w:t>我局进一步加强政府信息公开建设，加大了《信访工作条例》宣传力度，增进了与群众的沟通交流，有效拓宽了社会各界的监督，更好地服务社会。</w:t>
      </w:r>
      <w:r>
        <w:rPr>
          <w:rFonts w:hint="eastAsia" w:ascii="仿宋_GB2312" w:hAnsi="仿宋_GB2312" w:eastAsia="仿宋_GB2312" w:cs="宋体"/>
          <w:color w:val="333333"/>
          <w:kern w:val="0"/>
          <w:sz w:val="32"/>
          <w:szCs w:val="32"/>
          <w:shd w:val="clear" w:color="auto" w:fill="FFFFFF"/>
        </w:rPr>
        <w:t>现将地区信访局202</w:t>
      </w:r>
      <w:r>
        <w:rPr>
          <w:rFonts w:hint="eastAsia" w:ascii="仿宋_GB2312" w:hAnsi="仿宋_GB2312" w:eastAsia="仿宋_GB2312" w:cs="宋体"/>
          <w:color w:val="333333"/>
          <w:kern w:val="0"/>
          <w:sz w:val="32"/>
          <w:szCs w:val="32"/>
          <w:shd w:val="clear" w:color="auto" w:fill="FFFFFF"/>
          <w:lang w:val="en-US" w:eastAsia="zh-CN"/>
        </w:rPr>
        <w:t>3</w:t>
      </w:r>
      <w:r>
        <w:rPr>
          <w:rFonts w:hint="eastAsia" w:ascii="仿宋_GB2312" w:hAnsi="仿宋_GB2312" w:eastAsia="仿宋_GB2312" w:cs="宋体"/>
          <w:color w:val="333333"/>
          <w:kern w:val="0"/>
          <w:sz w:val="32"/>
          <w:szCs w:val="32"/>
          <w:shd w:val="clear" w:color="auto" w:fill="FFFFFF"/>
        </w:rPr>
        <w:t>年政府信息公开工作年度报告如下：</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rPr>
        <w:t>一、总体情况</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仿宋_GB2312" w:hAnsi="仿宋_GB2312" w:eastAsia="仿宋_GB2312" w:cs="宋体"/>
          <w:color w:val="333333"/>
          <w:kern w:val="0"/>
          <w:sz w:val="32"/>
          <w:szCs w:val="32"/>
          <w:shd w:val="clear" w:color="auto" w:fill="FFFFFF"/>
        </w:rPr>
        <w:t>和田地区信访局</w:t>
      </w:r>
      <w:r>
        <w:rPr>
          <w:rFonts w:hint="eastAsia" w:ascii="仿宋_GB2312" w:hAnsi="仿宋_GB2312" w:eastAsia="仿宋_GB2312" w:cs="宋体"/>
          <w:color w:val="333333"/>
          <w:kern w:val="0"/>
          <w:sz w:val="32"/>
          <w:szCs w:val="32"/>
          <w:shd w:val="clear" w:color="auto" w:fill="FFFFFF"/>
          <w:lang w:eastAsia="zh-CN"/>
        </w:rPr>
        <w:t>始终</w:t>
      </w:r>
      <w:r>
        <w:rPr>
          <w:rFonts w:hint="eastAsia" w:ascii="仿宋_GB2312" w:hAnsi="仿宋_GB2312" w:eastAsia="仿宋_GB2312" w:cs="宋体"/>
          <w:color w:val="333333"/>
          <w:kern w:val="0"/>
          <w:sz w:val="32"/>
          <w:szCs w:val="32"/>
          <w:shd w:val="clear" w:color="auto" w:fill="FFFFFF"/>
        </w:rPr>
        <w:t>坚持以习近平新时代中国特色社会主义思想为指导，</w:t>
      </w:r>
      <w:r>
        <w:rPr>
          <w:rFonts w:hint="eastAsia" w:ascii="仿宋_GB2312" w:hAnsi="仿宋_GB2312" w:eastAsia="仿宋_GB2312" w:cs="宋体"/>
          <w:color w:val="333333"/>
          <w:kern w:val="0"/>
          <w:sz w:val="32"/>
          <w:szCs w:val="32"/>
          <w:shd w:val="clear" w:color="auto" w:fill="FFFFFF"/>
          <w:lang w:eastAsia="zh-CN"/>
        </w:rPr>
        <w:t>深入学习贯彻党的二十大</w:t>
      </w:r>
      <w:bookmarkStart w:id="0" w:name="_GoBack"/>
      <w:bookmarkEnd w:id="0"/>
      <w:r>
        <w:rPr>
          <w:rFonts w:hint="eastAsia" w:ascii="仿宋_GB2312" w:hAnsi="仿宋_GB2312" w:eastAsia="仿宋_GB2312" w:cs="宋体"/>
          <w:color w:val="333333"/>
          <w:kern w:val="0"/>
          <w:sz w:val="32"/>
          <w:szCs w:val="32"/>
          <w:shd w:val="clear" w:color="auto" w:fill="FFFFFF"/>
          <w:lang w:eastAsia="zh-CN"/>
        </w:rPr>
        <w:t>精神、习近平总书记关于加强和改进人民信访工作的重要思想等内容</w:t>
      </w:r>
      <w:r>
        <w:rPr>
          <w:rFonts w:hint="eastAsia" w:ascii="仿宋_GB2312" w:hAnsi="仿宋_GB2312" w:eastAsia="仿宋_GB2312" w:cs="宋体"/>
          <w:color w:val="333333"/>
          <w:kern w:val="0"/>
          <w:sz w:val="32"/>
          <w:szCs w:val="32"/>
          <w:shd w:val="clear" w:color="auto" w:fill="FFFFFF"/>
        </w:rPr>
        <w:t>，</w:t>
      </w:r>
      <w:r>
        <w:rPr>
          <w:rFonts w:hint="eastAsia" w:ascii="仿宋_GB2312" w:hAnsi="仿宋_GB2312" w:eastAsia="仿宋_GB2312" w:cs="宋体"/>
          <w:color w:val="333333"/>
          <w:kern w:val="0"/>
          <w:sz w:val="32"/>
          <w:szCs w:val="32"/>
          <w:shd w:val="clear" w:color="auto" w:fill="FFFFFF"/>
          <w:lang w:eastAsia="zh-CN"/>
        </w:rPr>
        <w:t>紧紧围绕中央、自治区党委决策部署和地委工作要求，贯彻执行中共中央、国务院《信访工作条例》，依法及时就地协调化解群众合法合理诉求，以政府门户网站为平台，</w:t>
      </w:r>
      <w:r>
        <w:rPr>
          <w:rFonts w:hint="eastAsia" w:ascii="仿宋_GB2312" w:hAnsi="仿宋_GB2312" w:eastAsia="仿宋_GB2312" w:cs="宋体"/>
          <w:color w:val="333333"/>
          <w:kern w:val="0"/>
          <w:sz w:val="32"/>
          <w:szCs w:val="32"/>
          <w:shd w:val="clear" w:color="auto" w:fill="FFFFFF"/>
        </w:rPr>
        <w:t>进一步规范和完善政府信息公开工作，推进信访工作更加阳光透明，有效保障了群众知情权。</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（一）做好主动公开工作。</w:t>
      </w:r>
      <w:r>
        <w:rPr>
          <w:rFonts w:hint="eastAsia" w:ascii="仿宋_GB2312" w:hAnsi="仿宋_GB2312" w:eastAsia="仿宋_GB2312" w:cs="宋体"/>
          <w:color w:val="333333"/>
          <w:kern w:val="0"/>
          <w:sz w:val="32"/>
          <w:szCs w:val="32"/>
          <w:shd w:val="clear" w:color="auto" w:fill="FFFFFF"/>
        </w:rPr>
        <w:t>地区信访局结合实际，</w:t>
      </w:r>
      <w:r>
        <w:rPr>
          <w:rFonts w:hint="eastAsia" w:ascii="仿宋_GB2312" w:hAnsi="仿宋_GB2312" w:eastAsia="仿宋_GB2312" w:cs="宋体"/>
          <w:color w:val="333333"/>
          <w:kern w:val="0"/>
          <w:sz w:val="32"/>
          <w:szCs w:val="32"/>
          <w:shd w:val="clear" w:color="auto" w:fill="FFFFFF"/>
          <w:lang w:eastAsia="zh-CN"/>
        </w:rPr>
        <w:t>对照</w:t>
      </w:r>
      <w:r>
        <w:rPr>
          <w:rFonts w:hint="eastAsia" w:ascii="仿宋_GB2312" w:hAnsi="仿宋_GB2312" w:eastAsia="仿宋_GB2312" w:cs="宋体"/>
          <w:color w:val="333333"/>
          <w:kern w:val="0"/>
          <w:sz w:val="32"/>
          <w:szCs w:val="32"/>
          <w:shd w:val="clear" w:color="auto" w:fill="FFFFFF"/>
        </w:rPr>
        <w:t>《信访工作条例》</w:t>
      </w:r>
      <w:r>
        <w:rPr>
          <w:rFonts w:hint="eastAsia" w:ascii="仿宋_GB2312" w:hAnsi="仿宋_GB2312" w:eastAsia="仿宋_GB2312" w:cs="宋体"/>
          <w:color w:val="333333"/>
          <w:kern w:val="0"/>
          <w:sz w:val="32"/>
          <w:szCs w:val="32"/>
          <w:shd w:val="clear" w:color="auto" w:fill="FFFFFF"/>
          <w:lang w:eastAsia="zh-CN"/>
        </w:rPr>
        <w:t>规定公开内容，聚焦涉及群众切身利益的重点工作，</w:t>
      </w:r>
      <w:r>
        <w:rPr>
          <w:rFonts w:hint="eastAsia" w:ascii="仿宋_GB2312" w:hAnsi="仿宋_GB2312" w:eastAsia="仿宋_GB2312" w:cs="宋体"/>
          <w:color w:val="333333"/>
          <w:kern w:val="0"/>
          <w:sz w:val="32"/>
          <w:szCs w:val="32"/>
          <w:shd w:val="clear" w:color="auto" w:fill="FFFFFF"/>
        </w:rPr>
        <w:t>依法主动公开了机构设置情况及其职能、《信访工作条例》、信访接待中心</w:t>
      </w:r>
      <w:r>
        <w:rPr>
          <w:rFonts w:hint="eastAsia" w:ascii="仿宋_GB2312" w:hAnsi="仿宋_GB2312" w:eastAsia="仿宋_GB2312" w:cs="宋体"/>
          <w:color w:val="333333"/>
          <w:kern w:val="0"/>
          <w:sz w:val="32"/>
          <w:szCs w:val="32"/>
          <w:shd w:val="clear" w:color="auto" w:fill="FFFFFF"/>
          <w:lang w:eastAsia="zh-CN"/>
        </w:rPr>
        <w:t>办公</w:t>
      </w:r>
      <w:r>
        <w:rPr>
          <w:rFonts w:hint="eastAsia" w:ascii="仿宋_GB2312" w:hAnsi="仿宋_GB2312" w:eastAsia="仿宋_GB2312" w:cs="宋体"/>
          <w:color w:val="333333"/>
          <w:kern w:val="0"/>
          <w:sz w:val="32"/>
          <w:szCs w:val="32"/>
          <w:shd w:val="clear" w:color="auto" w:fill="FFFFFF"/>
        </w:rPr>
        <w:t>地址、</w:t>
      </w:r>
      <w:r>
        <w:rPr>
          <w:rFonts w:hint="eastAsia" w:ascii="仿宋_GB2312" w:hAnsi="仿宋_GB2312" w:eastAsia="仿宋_GB2312" w:cs="宋体"/>
          <w:color w:val="333333"/>
          <w:kern w:val="0"/>
          <w:sz w:val="32"/>
          <w:szCs w:val="32"/>
          <w:shd w:val="clear" w:color="auto" w:fill="FFFFFF"/>
          <w:lang w:eastAsia="zh-CN"/>
        </w:rPr>
        <w:t>工作时间、</w:t>
      </w:r>
      <w:r>
        <w:rPr>
          <w:rFonts w:hint="eastAsia" w:ascii="仿宋_GB2312" w:hAnsi="仿宋_GB2312" w:eastAsia="仿宋_GB2312" w:cs="宋体"/>
          <w:color w:val="333333"/>
          <w:kern w:val="0"/>
          <w:sz w:val="32"/>
          <w:szCs w:val="32"/>
          <w:shd w:val="clear" w:color="auto" w:fill="FFFFFF"/>
        </w:rPr>
        <w:t>信访热线电话号码、</w:t>
      </w:r>
      <w:r>
        <w:rPr>
          <w:rFonts w:hint="eastAsia" w:ascii="仿宋_GB2312" w:hAnsi="仿宋_GB2312" w:eastAsia="仿宋_GB2312" w:cs="宋体"/>
          <w:color w:val="333333"/>
          <w:kern w:val="0"/>
          <w:sz w:val="32"/>
          <w:szCs w:val="32"/>
          <w:shd w:val="clear" w:color="auto" w:fill="FFFFFF"/>
          <w:lang w:eastAsia="zh-CN"/>
        </w:rPr>
        <w:t>电子邮箱、</w:t>
      </w:r>
      <w:r>
        <w:rPr>
          <w:rFonts w:hint="eastAsia" w:ascii="仿宋_GB2312" w:hAnsi="仿宋_GB2312" w:eastAsia="仿宋_GB2312" w:cs="宋体"/>
          <w:color w:val="333333"/>
          <w:kern w:val="0"/>
          <w:sz w:val="32"/>
          <w:szCs w:val="32"/>
          <w:shd w:val="clear" w:color="auto" w:fill="FFFFFF"/>
        </w:rPr>
        <w:t>“和田地区网上信访大厅”二维码，为群众及时获取主动公开信息、了解政策法规、及时就地反映问题提供便利，自觉主动接受群众监督，依法保障人民群众的知情权、参与权、监督权。</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（二）做好依申请公开工作。</w:t>
      </w:r>
      <w:r>
        <w:rPr>
          <w:rFonts w:hint="eastAsia" w:ascii="仿宋_GB2312" w:hAnsi="仿宋_GB2312" w:eastAsia="仿宋_GB2312" w:cs="宋体"/>
          <w:color w:val="333333"/>
          <w:kern w:val="0"/>
          <w:sz w:val="32"/>
          <w:szCs w:val="32"/>
          <w:shd w:val="clear" w:color="auto" w:fill="FFFFFF"/>
        </w:rPr>
        <w:t>严格按照《政府信息公开条例》办理依申请公开信息，进一步理顺和完善政府信息公开申请渠道，规范答复行为，规范登记、审核、办理、答复、归档的工作制度，做好《政府信息公开条例》的宣传和解释工作。202</w:t>
      </w:r>
      <w:r>
        <w:rPr>
          <w:rFonts w:hint="eastAsia" w:ascii="仿宋_GB2312" w:hAnsi="仿宋_GB2312" w:eastAsia="仿宋_GB2312" w:cs="宋体"/>
          <w:color w:val="333333"/>
          <w:kern w:val="0"/>
          <w:sz w:val="32"/>
          <w:szCs w:val="32"/>
          <w:shd w:val="clear" w:color="auto" w:fill="FFFFFF"/>
          <w:lang w:val="en-US" w:eastAsia="zh-CN"/>
        </w:rPr>
        <w:t>3</w:t>
      </w:r>
      <w:r>
        <w:rPr>
          <w:rFonts w:hint="eastAsia" w:ascii="仿宋_GB2312" w:hAnsi="仿宋_GB2312" w:eastAsia="仿宋_GB2312" w:cs="宋体"/>
          <w:color w:val="333333"/>
          <w:kern w:val="0"/>
          <w:sz w:val="32"/>
          <w:szCs w:val="32"/>
          <w:shd w:val="clear" w:color="auto" w:fill="FFFFFF"/>
        </w:rPr>
        <w:t>年，和田地区信访局未收到政府信息公开申请。</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（三）规范政府信息管理。</w:t>
      </w:r>
      <w:r>
        <w:rPr>
          <w:rFonts w:hint="eastAsia" w:ascii="仿宋_GB2312" w:eastAsia="仿宋_GB2312" w:cs="仿宋_GB2312"/>
          <w:color w:val="000000"/>
          <w:kern w:val="0"/>
          <w:sz w:val="32"/>
          <w:szCs w:val="32"/>
        </w:rPr>
        <w:t>落实好政府信息公开协调机制、审查机制、发布机制、动态调整机制，并按照公开权限做好相关文件等政府信息的审核发布工作。</w:t>
      </w:r>
      <w:r>
        <w:rPr>
          <w:rFonts w:hint="eastAsia" w:ascii="仿宋_GB2312" w:hAnsi="仿宋_GB2312" w:eastAsia="仿宋_GB2312" w:cs="宋体"/>
          <w:color w:val="333333"/>
          <w:kern w:val="0"/>
          <w:sz w:val="32"/>
          <w:szCs w:val="32"/>
          <w:shd w:val="clear" w:color="auto" w:fill="FFFFFF"/>
        </w:rPr>
        <w:t>加强政府信息资源的规范化、标准化、信息化管理，加强互联网政府信息公开平台建设，推进政府信息公开平台与政务服务平台融合，提高政府信息公开在线办理水平。</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（四）优化完善平台建设。</w:t>
      </w:r>
      <w:r>
        <w:rPr>
          <w:rFonts w:hint="eastAsia" w:ascii="仿宋_GB2312" w:hAnsi="仿宋_GB2312" w:eastAsia="仿宋_GB2312" w:cs="宋体"/>
          <w:color w:val="333333"/>
          <w:kern w:val="0"/>
          <w:sz w:val="32"/>
          <w:szCs w:val="32"/>
          <w:shd w:val="clear" w:color="auto" w:fill="FFFFFF"/>
        </w:rPr>
        <w:t>按照《国务院办公厅政府信息与政务公开办公室关于规范政府信息公开平台有关事项的通知》要求，完善了和田地区网上信访大厅相关公开内容。结合信访工作实际，加大网上信访宣传力度，积极引导群众通过网上信访反映诉求、提出意见建议；进一步完善“信访网上投、事项网上办、结果网上评、问题网上督、形势网上判”的工作模式，网上信访更加便利、高效，信访人通过网络可全程了解信访事项受理办理情况，并进行满意度评价，办理过程公开透明，切实依法维护、保障人民群众的合法权益。</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（五）加强监督保障。</w:t>
      </w:r>
      <w:r>
        <w:rPr>
          <w:rFonts w:hint="eastAsia" w:ascii="仿宋_GB2312" w:hAnsi="仿宋_GB2312" w:eastAsia="仿宋_GB2312" w:cs="宋体"/>
          <w:color w:val="333333"/>
          <w:kern w:val="0"/>
          <w:sz w:val="32"/>
          <w:szCs w:val="32"/>
          <w:shd w:val="clear" w:color="auto" w:fill="FFFFFF"/>
        </w:rPr>
        <w:t>按照《政府信息公开条例》要求，进一步严格政府信息公开审查机制。政府信息发布前，严格按照《三校三审》和保密工作要求，由承办政府信息公开工作机构、电子政务部门层层审核，确保准确无误。202</w:t>
      </w:r>
      <w:r>
        <w:rPr>
          <w:rFonts w:hint="eastAsia" w:ascii="仿宋_GB2312" w:hAnsi="仿宋_GB2312" w:eastAsia="仿宋_GB2312" w:cs="宋体"/>
          <w:color w:val="333333"/>
          <w:kern w:val="0"/>
          <w:sz w:val="32"/>
          <w:szCs w:val="32"/>
          <w:shd w:val="clear" w:color="auto" w:fill="FFFFFF"/>
          <w:lang w:val="en-US" w:eastAsia="zh-CN"/>
        </w:rPr>
        <w:t>3</w:t>
      </w:r>
      <w:r>
        <w:rPr>
          <w:rFonts w:hint="eastAsia" w:ascii="仿宋_GB2312" w:hAnsi="仿宋_GB2312" w:eastAsia="仿宋_GB2312" w:cs="宋体"/>
          <w:color w:val="333333"/>
          <w:kern w:val="0"/>
          <w:sz w:val="32"/>
          <w:szCs w:val="32"/>
          <w:shd w:val="clear" w:color="auto" w:fill="FFFFFF"/>
        </w:rPr>
        <w:t>年，和田地区</w:t>
      </w:r>
      <w:r>
        <w:rPr>
          <w:rFonts w:hint="eastAsia" w:ascii="仿宋_GB2312" w:hAnsi="仿宋_GB2312" w:eastAsia="仿宋_GB2312" w:cs="宋体"/>
          <w:color w:val="333333"/>
          <w:kern w:val="0"/>
          <w:sz w:val="32"/>
          <w:szCs w:val="32"/>
          <w:shd w:val="clear" w:color="auto" w:fill="FFFFFF"/>
          <w:lang w:eastAsia="zh-CN"/>
        </w:rPr>
        <w:t>信访</w:t>
      </w:r>
      <w:r>
        <w:rPr>
          <w:rFonts w:hint="eastAsia" w:ascii="仿宋_GB2312" w:hAnsi="仿宋_GB2312" w:eastAsia="仿宋_GB2312" w:cs="宋体"/>
          <w:color w:val="333333"/>
          <w:kern w:val="0"/>
          <w:sz w:val="32"/>
          <w:szCs w:val="32"/>
          <w:shd w:val="clear" w:color="auto" w:fill="FFFFFF"/>
        </w:rPr>
        <w:t>局未出现针对政府信息公开工作的相关投诉，未产生对干部职工的政府信息公开工作责任追究。</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lang w:eastAsia="zh-CN"/>
        </w:rPr>
        <w:t>二、</w:t>
      </w:r>
      <w:r>
        <w:rPr>
          <w:rFonts w:hint="eastAsia" w:ascii="方正黑体_GBK" w:hAnsi="方正黑体_GBK" w:eastAsia="方正黑体_GBK" w:cs="方正黑体_GBK"/>
          <w:color w:val="333333"/>
          <w:kern w:val="0"/>
          <w:sz w:val="32"/>
          <w:szCs w:val="32"/>
          <w:shd w:val="clear" w:color="auto" w:fill="FFFFFF"/>
        </w:rPr>
        <w:t>主动公开政府信息情况</w:t>
      </w:r>
    </w:p>
    <w:p>
      <w:pPr>
        <w:keepNext w:val="0"/>
        <w:keepLines w:val="0"/>
        <w:pageBreakBefore w:val="0"/>
        <w:widowControl/>
        <w:kinsoku/>
        <w:wordWrap w:val="0"/>
        <w:overflowPunct/>
        <w:topLinePunct w:val="0"/>
        <w:autoSpaceDE w:val="0"/>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333333"/>
          <w:kern w:val="0"/>
          <w:sz w:val="32"/>
          <w:szCs w:val="32"/>
          <w:shd w:val="clear" w:color="auto" w:fill="FFFFFF"/>
        </w:rPr>
      </w:pPr>
    </w:p>
    <w:tbl>
      <w:tblPr>
        <w:tblStyle w:val="10"/>
        <w:tblW w:w="8460" w:type="dxa"/>
        <w:jc w:val="center"/>
        <w:tblLayout w:type="fixed"/>
        <w:tblCellMar>
          <w:top w:w="0" w:type="dxa"/>
          <w:left w:w="0" w:type="dxa"/>
          <w:bottom w:w="0" w:type="dxa"/>
          <w:right w:w="0" w:type="dxa"/>
        </w:tblCellMar>
      </w:tblPr>
      <w:tblGrid>
        <w:gridCol w:w="2201"/>
        <w:gridCol w:w="2037"/>
        <w:gridCol w:w="2214"/>
        <w:gridCol w:w="2008"/>
      </w:tblGrid>
      <w:tr>
        <w:tblPrEx>
          <w:tblCellMar>
            <w:top w:w="0" w:type="dxa"/>
            <w:left w:w="0" w:type="dxa"/>
            <w:bottom w:w="0" w:type="dxa"/>
            <w:right w:w="0" w:type="dxa"/>
          </w:tblCellMar>
        </w:tblPrEx>
        <w:trPr>
          <w:trHeight w:val="334" w:hRule="atLeast"/>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05"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203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本年</w:t>
            </w:r>
            <w:r>
              <w:rPr>
                <w:rFonts w:ascii="宋体" w:hAnsi="宋体" w:cs="Calibri"/>
                <w:color w:val="000000"/>
                <w:kern w:val="0"/>
                <w:sz w:val="20"/>
                <w:szCs w:val="20"/>
              </w:rPr>
              <w:t>制</w:t>
            </w:r>
            <w:r>
              <w:rPr>
                <w:rFonts w:hint="eastAsia" w:ascii="宋体" w:hAnsi="宋体" w:cs="宋体"/>
                <w:color w:val="000000"/>
                <w:kern w:val="0"/>
                <w:sz w:val="20"/>
                <w:szCs w:val="20"/>
              </w:rPr>
              <w:t>发件</w:t>
            </w:r>
            <w:r>
              <w:rPr>
                <w:rFonts w:ascii="宋体" w:hAnsi="宋体" w:cs="Calibri"/>
                <w:color w:val="000000"/>
                <w:kern w:val="0"/>
                <w:sz w:val="20"/>
                <w:szCs w:val="20"/>
              </w:rPr>
              <w:t>数</w:t>
            </w:r>
          </w:p>
        </w:tc>
        <w:tc>
          <w:tcPr>
            <w:tcW w:w="22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本年废止件数</w:t>
            </w:r>
          </w:p>
        </w:tc>
        <w:tc>
          <w:tcPr>
            <w:tcW w:w="200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现行有效件</w:t>
            </w:r>
            <w:r>
              <w:rPr>
                <w:rFonts w:ascii="宋体" w:hAnsi="宋体" w:cs="Calibri"/>
                <w:color w:val="000000"/>
                <w:kern w:val="0"/>
                <w:sz w:val="20"/>
                <w:szCs w:val="20"/>
              </w:rPr>
              <w:t>数</w:t>
            </w:r>
          </w:p>
        </w:tc>
      </w:tr>
      <w:tr>
        <w:tblPrEx>
          <w:tblCellMar>
            <w:top w:w="0" w:type="dxa"/>
            <w:left w:w="0" w:type="dxa"/>
            <w:bottom w:w="0" w:type="dxa"/>
            <w:right w:w="0" w:type="dxa"/>
          </w:tblCellMar>
        </w:tblPrEx>
        <w:trPr>
          <w:trHeight w:val="241"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规章</w:t>
            </w:r>
          </w:p>
        </w:tc>
        <w:tc>
          <w:tcPr>
            <w:tcW w:w="203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hAnsi="宋体" w:cs="宋体"/>
                <w:color w:val="000000"/>
                <w:kern w:val="0"/>
                <w:sz w:val="20"/>
                <w:szCs w:val="20"/>
              </w:rPr>
              <w:t>0</w:t>
            </w:r>
          </w:p>
        </w:tc>
        <w:tc>
          <w:tcPr>
            <w:tcW w:w="22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hAnsi="宋体" w:cs="宋体"/>
                <w:color w:val="000000"/>
                <w:kern w:val="0"/>
                <w:sz w:val="20"/>
                <w:szCs w:val="20"/>
              </w:rPr>
              <w:t>0</w:t>
            </w:r>
          </w:p>
        </w:tc>
        <w:tc>
          <w:tcPr>
            <w:tcW w:w="200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color w:val="000000"/>
                <w:kern w:val="0"/>
                <w:sz w:val="20"/>
                <w:szCs w:val="20"/>
              </w:rP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225"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行政规范性文件</w:t>
            </w:r>
          </w:p>
        </w:tc>
        <w:tc>
          <w:tcPr>
            <w:tcW w:w="203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hAnsi="宋体" w:cs="宋体"/>
                <w:color w:val="000000"/>
                <w:kern w:val="0"/>
                <w:sz w:val="20"/>
                <w:szCs w:val="20"/>
              </w:rPr>
              <w:t>0</w:t>
            </w:r>
          </w:p>
        </w:tc>
        <w:tc>
          <w:tcPr>
            <w:tcW w:w="22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hAnsi="宋体" w:cs="宋体"/>
                <w:color w:val="000000"/>
                <w:kern w:val="0"/>
                <w:sz w:val="20"/>
                <w:szCs w:val="20"/>
              </w:rPr>
              <w:t>0</w:t>
            </w:r>
          </w:p>
        </w:tc>
        <w:tc>
          <w:tcPr>
            <w:tcW w:w="200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color w:val="000000"/>
                <w:kern w:val="0"/>
                <w:sz w:val="20"/>
                <w:szCs w:val="20"/>
              </w:rP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303" w:hRule="atLeast"/>
          <w:jc w:val="center"/>
        </w:trPr>
        <w:tc>
          <w:tcPr>
            <w:tcW w:w="846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27"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152"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82" w:hRule="atLeast"/>
          <w:jc w:val="center"/>
        </w:trPr>
        <w:tc>
          <w:tcPr>
            <w:tcW w:w="846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279"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259"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213"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行政处罚</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color w:val="000000"/>
                <w:sz w:val="20"/>
                <w:szCs w:val="20"/>
              </w:rPr>
              <w:t>0</w:t>
            </w:r>
          </w:p>
        </w:tc>
      </w:tr>
      <w:tr>
        <w:tblPrEx>
          <w:tblCellMar>
            <w:top w:w="0" w:type="dxa"/>
            <w:left w:w="0" w:type="dxa"/>
            <w:bottom w:w="0" w:type="dxa"/>
            <w:right w:w="0" w:type="dxa"/>
          </w:tblCellMar>
        </w:tblPrEx>
        <w:trPr>
          <w:trHeight w:val="308"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行政强制</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r>
              <w:rPr>
                <w:rFonts w:hint="eastAsia" w:ascii="宋体"/>
                <w:color w:val="000000"/>
                <w:sz w:val="20"/>
                <w:szCs w:val="20"/>
              </w:rPr>
              <w:t>0</w:t>
            </w:r>
          </w:p>
        </w:tc>
      </w:tr>
      <w:tr>
        <w:tblPrEx>
          <w:tblCellMar>
            <w:top w:w="0" w:type="dxa"/>
            <w:left w:w="0" w:type="dxa"/>
            <w:bottom w:w="0" w:type="dxa"/>
            <w:right w:w="0" w:type="dxa"/>
          </w:tblCellMar>
        </w:tblPrEx>
        <w:trPr>
          <w:trHeight w:val="299" w:hRule="atLeast"/>
          <w:jc w:val="center"/>
        </w:trPr>
        <w:tc>
          <w:tcPr>
            <w:tcW w:w="846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238"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信息内容</w:t>
            </w:r>
          </w:p>
        </w:tc>
        <w:tc>
          <w:tcPr>
            <w:tcW w:w="6259"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14"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行政事业性收费</w:t>
            </w:r>
          </w:p>
        </w:tc>
        <w:tc>
          <w:tcPr>
            <w:tcW w:w="6259"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kern w:val="0"/>
                <w:sz w:val="20"/>
                <w:szCs w:val="20"/>
              </w:rPr>
            </w:pPr>
            <w:r>
              <w:rPr>
                <w:rFonts w:hint="eastAsia" w:ascii="宋体" w:hAnsi="宋体" w:cs="宋体"/>
                <w:color w:val="000000"/>
                <w:kern w:val="0"/>
                <w:sz w:val="20"/>
                <w:szCs w:val="20"/>
              </w:rPr>
              <w:t>0</w:t>
            </w:r>
          </w:p>
        </w:tc>
      </w:tr>
    </w:tbl>
    <w:p>
      <w:pPr>
        <w:keepNext w:val="0"/>
        <w:keepLines w:val="0"/>
        <w:pageBreakBefore w:val="0"/>
        <w:widowControl/>
        <w:kinsoku/>
        <w:wordWrap w:val="0"/>
        <w:overflowPunct w:val="0"/>
        <w:topLinePunct/>
        <w:autoSpaceDN/>
        <w:bidi w:val="0"/>
        <w:adjustRightInd/>
        <w:snapToGrid/>
        <w:spacing w:line="520" w:lineRule="exact"/>
        <w:ind w:firstLine="640" w:firstLineChars="200"/>
        <w:jc w:val="left"/>
        <w:textAlignment w:val="auto"/>
        <w:outlineLvl w:val="9"/>
        <w:rPr>
          <w:rFonts w:hint="eastAsia" w:ascii="黑体" w:hAnsi="宋体" w:eastAsia="黑体" w:cs="黑体"/>
          <w:color w:val="000000"/>
          <w:kern w:val="0"/>
          <w:sz w:val="32"/>
          <w:szCs w:val="32"/>
        </w:rPr>
      </w:pPr>
    </w:p>
    <w:p>
      <w:pPr>
        <w:keepNext w:val="0"/>
        <w:keepLines w:val="0"/>
        <w:pageBreakBefore w:val="0"/>
        <w:widowControl/>
        <w:kinsoku/>
        <w:wordWrap w:val="0"/>
        <w:overflowPunct w:val="0"/>
        <w:topLinePunct/>
        <w:autoSpaceDN/>
        <w:bidi w:val="0"/>
        <w:adjustRightInd/>
        <w:snapToGrid/>
        <w:spacing w:line="520" w:lineRule="exact"/>
        <w:ind w:firstLine="640" w:firstLineChars="200"/>
        <w:jc w:val="left"/>
        <w:textAlignment w:val="auto"/>
        <w:outlineLvl w:val="9"/>
        <w:rPr>
          <w:rFonts w:hint="eastAsia" w:ascii="黑体" w:hAnsi="宋体" w:eastAsia="黑体" w:cs="黑体"/>
          <w:color w:val="000000"/>
          <w:kern w:val="0"/>
          <w:sz w:val="32"/>
          <w:szCs w:val="32"/>
        </w:rPr>
      </w:pPr>
      <w:r>
        <w:rPr>
          <w:rFonts w:hint="eastAsia" w:ascii="方正黑体_GBK" w:hAnsi="方正黑体_GBK" w:eastAsia="方正黑体_GBK" w:cs="方正黑体_GBK"/>
          <w:color w:val="000000"/>
          <w:kern w:val="0"/>
          <w:sz w:val="32"/>
          <w:szCs w:val="32"/>
        </w:rPr>
        <w:t>三、收到和处理政府信息公开申请情况</w:t>
      </w:r>
    </w:p>
    <w:tbl>
      <w:tblPr>
        <w:tblStyle w:val="10"/>
        <w:tblW w:w="85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5"/>
        <w:gridCol w:w="890"/>
        <w:gridCol w:w="2613"/>
        <w:gridCol w:w="605"/>
        <w:gridCol w:w="605"/>
        <w:gridCol w:w="605"/>
        <w:gridCol w:w="605"/>
        <w:gridCol w:w="605"/>
        <w:gridCol w:w="639"/>
        <w:gridCol w:w="6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18" w:type="dxa"/>
            <w:gridSpan w:val="3"/>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color w:val="000000"/>
              </w:rPr>
            </w:pPr>
            <w:r>
              <w:rPr>
                <w:rFonts w:hint="eastAsia" w:ascii="楷体_GB2312" w:hAnsi="楷体_GB2312" w:eastAsia="楷体_GB2312" w:cs="楷体_GB2312"/>
                <w:color w:val="000000"/>
                <w:sz w:val="20"/>
                <w:szCs w:val="20"/>
              </w:rPr>
              <w:t>（本列数据的勾稽关系为：第一项加第二项之和，等于第三项加第四项之和）</w:t>
            </w:r>
          </w:p>
        </w:tc>
        <w:tc>
          <w:tcPr>
            <w:tcW w:w="4313" w:type="dxa"/>
            <w:gridSpan w:val="7"/>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color w:val="000000"/>
                <w:sz w:val="20"/>
                <w:szCs w:val="20"/>
              </w:rPr>
            </w:pPr>
            <w:r>
              <w:rPr>
                <w:color w:val="000000"/>
                <w:sz w:val="20"/>
                <w:szCs w:val="2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18" w:type="dxa"/>
            <w:gridSpan w:val="3"/>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80" w:firstLineChars="200"/>
              <w:jc w:val="center"/>
              <w:textAlignment w:val="auto"/>
              <w:outlineLvl w:val="9"/>
              <w:rPr>
                <w:rFonts w:ascii="宋体"/>
                <w:color w:val="000000"/>
                <w:sz w:val="24"/>
              </w:rPr>
            </w:pPr>
          </w:p>
        </w:tc>
        <w:tc>
          <w:tcPr>
            <w:tcW w:w="605"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自然人</w:t>
            </w:r>
          </w:p>
        </w:tc>
        <w:tc>
          <w:tcPr>
            <w:tcW w:w="3059"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color w:val="000000"/>
                <w:sz w:val="20"/>
                <w:szCs w:val="20"/>
              </w:rPr>
            </w:pPr>
            <w:r>
              <w:rPr>
                <w:color w:val="000000"/>
                <w:sz w:val="20"/>
                <w:szCs w:val="20"/>
              </w:rPr>
              <w:t>法人或其他组织</w:t>
            </w:r>
          </w:p>
        </w:tc>
        <w:tc>
          <w:tcPr>
            <w:tcW w:w="649"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18" w:type="dxa"/>
            <w:gridSpan w:val="3"/>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80" w:firstLineChars="200"/>
              <w:jc w:val="center"/>
              <w:textAlignment w:val="auto"/>
              <w:outlineLvl w:val="9"/>
              <w:rPr>
                <w:rFonts w:ascii="宋体"/>
                <w:color w:val="000000"/>
                <w:sz w:val="24"/>
              </w:rPr>
            </w:pPr>
          </w:p>
        </w:tc>
        <w:tc>
          <w:tcPr>
            <w:tcW w:w="60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商业企业</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科研机构</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社会公益组织</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法律服务机构</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color w:val="000000"/>
                <w:sz w:val="20"/>
                <w:szCs w:val="20"/>
              </w:rPr>
            </w:pPr>
            <w:r>
              <w:rPr>
                <w:color w:val="000000"/>
                <w:sz w:val="20"/>
                <w:szCs w:val="20"/>
              </w:rPr>
              <w:t>其他</w:t>
            </w:r>
          </w:p>
        </w:tc>
        <w:tc>
          <w:tcPr>
            <w:tcW w:w="649"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一、本年新收政府信息公开申请数量</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hint="eastAsia" w:ascii="宋体" w:eastAsiaTheme="minorEastAsia"/>
                <w:color w:val="000000"/>
                <w:sz w:val="24"/>
                <w:lang w:val="en-US" w:eastAsia="zh-CN"/>
              </w:rPr>
            </w:pPr>
            <w:r>
              <w:rPr>
                <w:rFonts w:hint="eastAsia" w:ascii="宋体"/>
                <w:color w:val="000000"/>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hint="eastAsia" w:ascii="宋体" w:eastAsiaTheme="minorEastAsia"/>
                <w:color w:val="000000"/>
                <w:sz w:val="24"/>
                <w:lang w:val="en-US" w:eastAsia="zh-CN"/>
              </w:rPr>
            </w:pPr>
            <w:r>
              <w:rPr>
                <w:rFonts w:hint="eastAsia" w:ascii="宋体"/>
                <w:color w:val="000000"/>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hint="eastAsia" w:ascii="宋体" w:eastAsiaTheme="minorEastAsia"/>
                <w:color w:val="000000"/>
                <w:sz w:val="24"/>
                <w:lang w:val="en-US" w:eastAsia="zh-CN"/>
              </w:rPr>
            </w:pPr>
            <w:r>
              <w:rPr>
                <w:rFonts w:hint="eastAsia" w:ascii="宋体"/>
                <w:color w:val="000000"/>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lang w:val="en-US" w:eastAsia="zh-CN"/>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二、上年结转政府信息公开申请数量</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1" w:hRule="atLeast"/>
          <w:jc w:val="center"/>
        </w:trPr>
        <w:tc>
          <w:tcPr>
            <w:tcW w:w="715"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三、本年度办理结果</w:t>
            </w:r>
          </w:p>
        </w:tc>
        <w:tc>
          <w:tcPr>
            <w:tcW w:w="3503"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（一）予以公开</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3503"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（二）部分公开</w:t>
            </w:r>
            <w:r>
              <w:rPr>
                <w:rFonts w:hint="eastAsia" w:ascii="楷体_GB2312" w:hAnsi="楷体_GB2312" w:eastAsia="楷体_GB2312" w:cs="楷体_GB2312"/>
                <w:color w:val="000000"/>
                <w:sz w:val="20"/>
                <w:szCs w:val="20"/>
              </w:rPr>
              <w:t>（区分处理的，只计这一情形，不计其他情形）</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（三）不予公开</w:t>
            </w: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1.属于国家秘密</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2.其他法律行政法规禁止公开</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3.危及“三安全一稳定”</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4.保护第三方合法权益</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5.属于三类内部事务信息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6.属于四类过程性信息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7.属于行政执法案卷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8.属于行政查询事项</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（四）无法提供</w:t>
            </w: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18"/>
                <w:szCs w:val="18"/>
              </w:rPr>
              <w:t>1.本机关不掌握相关政府信息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18"/>
                <w:szCs w:val="18"/>
              </w:rPr>
              <w:t>2.没有现成信息需要另行制作</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3.补正后申请内容仍不明确</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（五）不予处理</w:t>
            </w: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1.信访举报投诉类申请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2.重复申请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3.要求提供公开出版物</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4.无正当理由大量反复申请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5.要求行政机关确认或重新出具已获取信息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（六）其他处理</w:t>
            </w: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1.申请人无正当理由逾期不补正、行政机关不再处理其政府信息公开申请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2.申请人逾期未按收费通知要求缴纳费用、行政机关不再处理其政府信息公开申请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color w:val="000000"/>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89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2613"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3.其他</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3503"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（七）总计</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both"/>
              <w:textAlignment w:val="auto"/>
              <w:outlineLvl w:val="9"/>
              <w:rPr>
                <w:rFonts w:ascii="宋体" w:hAnsi="宋体" w:cs="宋体"/>
                <w:color w:val="000000"/>
                <w:sz w:val="20"/>
                <w:szCs w:val="20"/>
              </w:rPr>
            </w:pPr>
            <w:r>
              <w:rPr>
                <w:rFonts w:hint="eastAsia" w:ascii="宋体" w:hAnsi="宋体" w:cs="宋体"/>
                <w:color w:val="000000"/>
                <w:sz w:val="20"/>
                <w:szCs w:val="20"/>
              </w:rPr>
              <w:t>四、结转下年度继续办理</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jc w:val="both"/>
              <w:textAlignment w:val="auto"/>
              <w:outlineLvl w:val="9"/>
              <w:rPr>
                <w:rFonts w:ascii="宋体"/>
                <w:color w:val="000000"/>
                <w:sz w:val="24"/>
              </w:rPr>
            </w:pPr>
            <w:r>
              <w:rPr>
                <w:rFonts w:hint="eastAsia" w:ascii="宋体"/>
                <w:color w:val="000000"/>
                <w:sz w:val="24"/>
              </w:rPr>
              <w:t>0</w:t>
            </w:r>
          </w:p>
        </w:tc>
      </w:tr>
    </w:tbl>
    <w:p>
      <w:pPr>
        <w:keepNext w:val="0"/>
        <w:keepLines w:val="0"/>
        <w:pageBreakBefore w:val="0"/>
        <w:widowControl/>
        <w:numPr>
          <w:ilvl w:val="0"/>
          <w:numId w:val="0"/>
        </w:numPr>
        <w:kinsoku/>
        <w:wordWrap w:val="0"/>
        <w:overflowPunct w:val="0"/>
        <w:topLinePunct/>
        <w:autoSpaceDN/>
        <w:bidi w:val="0"/>
        <w:adjustRightInd/>
        <w:snapToGrid/>
        <w:spacing w:line="520" w:lineRule="exact"/>
        <w:jc w:val="left"/>
        <w:textAlignment w:val="auto"/>
        <w:outlineLvl w:val="9"/>
        <w:rPr>
          <w:rFonts w:ascii="黑体" w:hAnsi="宋体" w:eastAsia="黑体" w:cs="黑体"/>
          <w:color w:val="000000"/>
          <w:kern w:val="0"/>
          <w:sz w:val="32"/>
          <w:szCs w:val="32"/>
        </w:rPr>
      </w:pPr>
    </w:p>
    <w:p>
      <w:pPr>
        <w:keepNext w:val="0"/>
        <w:keepLines w:val="0"/>
        <w:pageBreakBefore w:val="0"/>
        <w:widowControl/>
        <w:numPr>
          <w:ilvl w:val="0"/>
          <w:numId w:val="1"/>
        </w:numPr>
        <w:kinsoku/>
        <w:wordWrap w:val="0"/>
        <w:overflowPunct w:val="0"/>
        <w:topLinePunct/>
        <w:autoSpaceDN/>
        <w:bidi w:val="0"/>
        <w:adjustRightInd/>
        <w:snapToGrid/>
        <w:spacing w:line="52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政府信息公开行政复议、行政诉讼情况</w:t>
      </w:r>
    </w:p>
    <w:p>
      <w:pPr>
        <w:keepNext w:val="0"/>
        <w:keepLines w:val="0"/>
        <w:pageBreakBefore w:val="0"/>
        <w:widowControl/>
        <w:numPr>
          <w:ilvl w:val="0"/>
          <w:numId w:val="0"/>
        </w:numPr>
        <w:kinsoku/>
        <w:wordWrap w:val="0"/>
        <w:overflowPunct w:val="0"/>
        <w:topLinePunct/>
        <w:autoSpaceDN/>
        <w:bidi w:val="0"/>
        <w:adjustRightInd/>
        <w:snapToGrid/>
        <w:spacing w:line="520" w:lineRule="exact"/>
        <w:jc w:val="left"/>
        <w:textAlignment w:val="auto"/>
        <w:outlineLvl w:val="9"/>
        <w:rPr>
          <w:rFonts w:ascii="黑体" w:hAnsi="宋体" w:eastAsia="黑体" w:cs="黑体"/>
          <w:color w:val="000000"/>
          <w:kern w:val="0"/>
          <w:sz w:val="32"/>
          <w:szCs w:val="32"/>
        </w:rPr>
      </w:pPr>
    </w:p>
    <w:tbl>
      <w:tblPr>
        <w:tblStyle w:val="10"/>
        <w:tblW w:w="85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1"/>
        <w:gridCol w:w="560"/>
        <w:gridCol w:w="561"/>
        <w:gridCol w:w="561"/>
        <w:gridCol w:w="602"/>
        <w:gridCol w:w="561"/>
        <w:gridCol w:w="560"/>
        <w:gridCol w:w="561"/>
        <w:gridCol w:w="561"/>
        <w:gridCol w:w="601"/>
        <w:gridCol w:w="560"/>
        <w:gridCol w:w="562"/>
        <w:gridCol w:w="561"/>
        <w:gridCol w:w="562"/>
        <w:gridCol w:w="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7" w:hRule="atLeast"/>
          <w:jc w:val="center"/>
        </w:trPr>
        <w:tc>
          <w:tcPr>
            <w:tcW w:w="2845"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r>
              <w:rPr>
                <w:rFonts w:hint="eastAsia" w:ascii="宋体" w:hAnsi="宋体" w:cs="宋体"/>
                <w:color w:val="000000"/>
                <w:sz w:val="20"/>
                <w:szCs w:val="20"/>
              </w:rPr>
              <w:t>行政复议</w:t>
            </w:r>
          </w:p>
        </w:tc>
        <w:tc>
          <w:tcPr>
            <w:tcW w:w="5695" w:type="dxa"/>
            <w:gridSpan w:val="10"/>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r>
              <w:rPr>
                <w:rFonts w:hint="eastAsia" w:ascii="宋体" w:hAnsi="宋体" w:cs="宋体"/>
                <w:color w:val="000000"/>
                <w:sz w:val="20"/>
                <w:szCs w:val="2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78" w:hRule="atLeast"/>
          <w:jc w:val="center"/>
        </w:trPr>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结果维持</w:t>
            </w:r>
          </w:p>
        </w:tc>
        <w:tc>
          <w:tcPr>
            <w:tcW w:w="56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w:t>
            </w:r>
            <w:r>
              <w:rPr>
                <w:rFonts w:hint="eastAsia" w:ascii="宋体" w:hAnsi="宋体" w:cs="宋体"/>
                <w:color w:val="000000"/>
                <w:sz w:val="20"/>
                <w:szCs w:val="20"/>
              </w:rPr>
              <w:br w:type="textWrapping"/>
            </w:r>
            <w:r>
              <w:rPr>
                <w:rFonts w:hint="eastAsia" w:ascii="宋体" w:hAnsi="宋体" w:cs="宋体"/>
                <w:color w:val="000000"/>
                <w:sz w:val="20"/>
                <w:szCs w:val="20"/>
              </w:rPr>
              <w:t>纠正</w:t>
            </w:r>
          </w:p>
        </w:tc>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其他</w:t>
            </w:r>
            <w:r>
              <w:rPr>
                <w:rFonts w:hint="eastAsia" w:ascii="宋体" w:hAnsi="宋体" w:cs="宋体"/>
                <w:color w:val="000000"/>
                <w:sz w:val="20"/>
                <w:szCs w:val="20"/>
              </w:rPr>
              <w:br w:type="textWrapping"/>
            </w:r>
            <w:r>
              <w:rPr>
                <w:rFonts w:hint="eastAsia" w:ascii="宋体" w:hAnsi="宋体" w:cs="宋体"/>
                <w:color w:val="000000"/>
                <w:sz w:val="20"/>
                <w:szCs w:val="20"/>
              </w:rPr>
              <w:t>结果</w:t>
            </w:r>
          </w:p>
        </w:tc>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尚未</w:t>
            </w:r>
            <w:r>
              <w:rPr>
                <w:rFonts w:hint="eastAsia" w:ascii="宋体" w:hAnsi="宋体" w:cs="宋体"/>
                <w:color w:val="000000"/>
                <w:sz w:val="20"/>
                <w:szCs w:val="20"/>
              </w:rPr>
              <w:br w:type="textWrapping"/>
            </w:r>
            <w:r>
              <w:rPr>
                <w:rFonts w:hint="eastAsia" w:ascii="宋体" w:hAnsi="宋体" w:cs="宋体"/>
                <w:color w:val="000000"/>
                <w:sz w:val="20"/>
                <w:szCs w:val="20"/>
              </w:rPr>
              <w:t>审结</w:t>
            </w:r>
          </w:p>
        </w:tc>
        <w:tc>
          <w:tcPr>
            <w:tcW w:w="60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总计</w:t>
            </w:r>
          </w:p>
        </w:tc>
        <w:tc>
          <w:tcPr>
            <w:tcW w:w="2844"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r>
              <w:rPr>
                <w:rFonts w:hint="eastAsia" w:ascii="宋体" w:hAnsi="宋体" w:cs="宋体"/>
                <w:color w:val="000000"/>
                <w:sz w:val="20"/>
                <w:szCs w:val="20"/>
              </w:rPr>
              <w:t>未经复议直接起诉</w:t>
            </w:r>
          </w:p>
        </w:tc>
        <w:tc>
          <w:tcPr>
            <w:tcW w:w="2851"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r>
              <w:rPr>
                <w:rFonts w:hint="eastAsia" w:ascii="宋体" w:hAnsi="宋体" w:cs="宋体"/>
                <w:color w:val="000000"/>
                <w:sz w:val="20"/>
                <w:szCs w:val="2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20" w:hRule="atLeast"/>
          <w:jc w:val="center"/>
        </w:trPr>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56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60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autoSpaceDN/>
              <w:bidi w:val="0"/>
              <w:adjustRightInd/>
              <w:snapToGrid/>
              <w:spacing w:line="520" w:lineRule="exact"/>
              <w:ind w:firstLine="400" w:firstLineChars="200"/>
              <w:jc w:val="center"/>
              <w:textAlignment w:val="auto"/>
              <w:outlineLvl w:val="9"/>
              <w:rPr>
                <w:rFonts w:ascii="宋体" w:hAnsi="宋体" w:cs="宋体"/>
                <w:color w:val="000000"/>
                <w:sz w:val="20"/>
                <w:szCs w:val="20"/>
              </w:rPr>
            </w:pP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w:t>
            </w:r>
            <w:r>
              <w:rPr>
                <w:rFonts w:hint="eastAsia" w:ascii="宋体" w:hAnsi="宋体" w:cs="宋体"/>
                <w:color w:val="000000"/>
                <w:sz w:val="20"/>
                <w:szCs w:val="20"/>
              </w:rPr>
              <w:br w:type="textWrapping"/>
            </w:r>
            <w:r>
              <w:rPr>
                <w:rFonts w:hint="eastAsia" w:ascii="宋体" w:hAnsi="宋体" w:cs="宋体"/>
                <w:color w:val="000000"/>
                <w:sz w:val="20"/>
                <w:szCs w:val="20"/>
              </w:rPr>
              <w:t>维持</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w:t>
            </w:r>
            <w:r>
              <w:rPr>
                <w:rFonts w:hint="eastAsia" w:ascii="宋体" w:hAnsi="宋体" w:cs="宋体"/>
                <w:color w:val="000000"/>
                <w:sz w:val="20"/>
                <w:szCs w:val="20"/>
              </w:rPr>
              <w:br w:type="textWrapping"/>
            </w:r>
            <w:r>
              <w:rPr>
                <w:rFonts w:hint="eastAsia" w:ascii="宋体" w:hAnsi="宋体" w:cs="宋体"/>
                <w:color w:val="000000"/>
                <w:sz w:val="20"/>
                <w:szCs w:val="20"/>
              </w:rPr>
              <w:t>纠正</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其他</w:t>
            </w:r>
            <w:r>
              <w:rPr>
                <w:rFonts w:hint="eastAsia" w:ascii="宋体" w:hAnsi="宋体" w:cs="宋体"/>
                <w:color w:val="000000"/>
                <w:sz w:val="20"/>
                <w:szCs w:val="20"/>
              </w:rPr>
              <w:br w:type="textWrapping"/>
            </w:r>
            <w:r>
              <w:rPr>
                <w:rFonts w:hint="eastAsia" w:ascii="宋体" w:hAnsi="宋体" w:cs="宋体"/>
                <w:color w:val="000000"/>
                <w:sz w:val="20"/>
                <w:szCs w:val="20"/>
              </w:rPr>
              <w:t>结果</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尚未</w:t>
            </w:r>
            <w:r>
              <w:rPr>
                <w:rFonts w:hint="eastAsia" w:ascii="宋体" w:hAnsi="宋体" w:cs="宋体"/>
                <w:color w:val="000000"/>
                <w:sz w:val="20"/>
                <w:szCs w:val="20"/>
              </w:rPr>
              <w:br w:type="textWrapping"/>
            </w:r>
            <w:r>
              <w:rPr>
                <w:rFonts w:hint="eastAsia" w:ascii="宋体" w:hAnsi="宋体" w:cs="宋体"/>
                <w:color w:val="000000"/>
                <w:sz w:val="20"/>
                <w:szCs w:val="20"/>
              </w:rPr>
              <w:t>审结</w:t>
            </w:r>
          </w:p>
        </w:tc>
        <w:tc>
          <w:tcPr>
            <w:tcW w:w="60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总计</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w:t>
            </w:r>
            <w:r>
              <w:rPr>
                <w:rFonts w:hint="eastAsia" w:ascii="宋体" w:hAnsi="宋体" w:cs="宋体"/>
                <w:color w:val="000000"/>
                <w:sz w:val="20"/>
                <w:szCs w:val="20"/>
              </w:rPr>
              <w:br w:type="textWrapping"/>
            </w:r>
            <w:r>
              <w:rPr>
                <w:rFonts w:hint="eastAsia" w:ascii="宋体" w:hAnsi="宋体" w:cs="宋体"/>
                <w:color w:val="000000"/>
                <w:sz w:val="20"/>
                <w:szCs w:val="20"/>
              </w:rPr>
              <w:t>维持</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结果</w:t>
            </w:r>
            <w:r>
              <w:rPr>
                <w:rFonts w:hint="eastAsia" w:ascii="宋体" w:hAnsi="宋体" w:cs="宋体"/>
                <w:color w:val="000000"/>
                <w:sz w:val="20"/>
                <w:szCs w:val="20"/>
              </w:rPr>
              <w:br w:type="textWrapping"/>
            </w:r>
            <w:r>
              <w:rPr>
                <w:rFonts w:hint="eastAsia" w:ascii="宋体" w:hAnsi="宋体" w:cs="宋体"/>
                <w:color w:val="000000"/>
                <w:sz w:val="20"/>
                <w:szCs w:val="20"/>
              </w:rPr>
              <w:t>纠正</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其他</w:t>
            </w:r>
            <w:r>
              <w:rPr>
                <w:rFonts w:hint="eastAsia" w:ascii="宋体" w:hAnsi="宋体" w:cs="宋体"/>
                <w:color w:val="000000"/>
                <w:sz w:val="20"/>
                <w:szCs w:val="20"/>
              </w:rPr>
              <w:br w:type="textWrapping"/>
            </w:r>
            <w:r>
              <w:rPr>
                <w:rFonts w:hint="eastAsia" w:ascii="宋体" w:hAnsi="宋体" w:cs="宋体"/>
                <w:color w:val="000000"/>
                <w:sz w:val="20"/>
                <w:szCs w:val="20"/>
              </w:rPr>
              <w:t>结果</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尚未</w:t>
            </w:r>
            <w:r>
              <w:rPr>
                <w:rFonts w:hint="eastAsia" w:ascii="宋体" w:hAnsi="宋体" w:cs="宋体"/>
                <w:color w:val="000000"/>
                <w:sz w:val="20"/>
                <w:szCs w:val="20"/>
              </w:rPr>
              <w:br w:type="textWrapping"/>
            </w:r>
            <w:r>
              <w:rPr>
                <w:rFonts w:hint="eastAsia" w:ascii="宋体" w:hAnsi="宋体" w:cs="宋体"/>
                <w:color w:val="000000"/>
                <w:sz w:val="20"/>
                <w:szCs w:val="20"/>
              </w:rPr>
              <w:t>审结</w:t>
            </w:r>
          </w:p>
        </w:tc>
        <w:tc>
          <w:tcPr>
            <w:tcW w:w="606"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0" w:hRule="atLeast"/>
          <w:jc w:val="center"/>
        </w:trPr>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60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60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c>
          <w:tcPr>
            <w:tcW w:w="606"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autoSpaceDN/>
              <w:bidi w:val="0"/>
              <w:adjustRightInd/>
              <w:snapToGrid/>
              <w:spacing w:line="520" w:lineRule="exact"/>
              <w:jc w:val="both"/>
              <w:textAlignment w:val="auto"/>
              <w:outlineLvl w:val="9"/>
              <w:rPr>
                <w:rFonts w:ascii="宋体" w:hAnsi="宋体" w:cs="宋体"/>
                <w:color w:val="000000"/>
                <w:sz w:val="20"/>
                <w:szCs w:val="20"/>
              </w:rPr>
            </w:pPr>
            <w:r>
              <w:rPr>
                <w:rFonts w:hint="eastAsia" w:ascii="宋体" w:hAnsi="宋体" w:cs="宋体"/>
                <w:color w:val="000000"/>
                <w:sz w:val="20"/>
                <w:szCs w:val="20"/>
              </w:rPr>
              <w:t>0</w:t>
            </w:r>
          </w:p>
        </w:tc>
      </w:tr>
    </w:tbl>
    <w:p>
      <w:pPr>
        <w:keepNext w:val="0"/>
        <w:keepLines w:val="0"/>
        <w:pageBreakBefore w:val="0"/>
        <w:tabs>
          <w:tab w:val="left" w:pos="670"/>
        </w:tabs>
        <w:kinsoku/>
        <w:autoSpaceDN/>
        <w:bidi w:val="0"/>
        <w:adjustRightInd/>
        <w:snapToGrid/>
        <w:spacing w:line="520" w:lineRule="exact"/>
        <w:textAlignment w:val="auto"/>
        <w:outlineLvl w:val="9"/>
        <w:rPr>
          <w:rFonts w:hint="eastAsia" w:ascii="仿宋_GB2312" w:hAnsi="仿宋_GB2312" w:eastAsia="仿宋_GB2312" w:cs="宋体"/>
          <w:color w:val="333333"/>
          <w:kern w:val="0"/>
          <w:sz w:val="32"/>
          <w:szCs w:val="32"/>
          <w:shd w:val="clear" w:color="auto" w:fill="FFFFFF"/>
        </w:rPr>
      </w:pP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rPr>
        <w:t>五、存在的主要问题及改进情况</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宋体"/>
          <w:color w:val="333333"/>
          <w:kern w:val="0"/>
          <w:sz w:val="32"/>
          <w:szCs w:val="32"/>
          <w:shd w:val="clear" w:color="auto" w:fill="FFFFFF"/>
          <w:lang w:eastAsia="zh-CN"/>
        </w:rPr>
      </w:pPr>
      <w:r>
        <w:rPr>
          <w:rFonts w:hint="eastAsia" w:ascii="方正楷体_GBK" w:hAnsi="方正楷体_GBK" w:eastAsia="方正楷体_GBK" w:cs="方正楷体_GBK"/>
          <w:color w:val="333333"/>
          <w:kern w:val="0"/>
          <w:sz w:val="32"/>
          <w:szCs w:val="32"/>
          <w:shd w:val="clear" w:color="auto" w:fill="FFFFFF"/>
        </w:rPr>
        <w:t>（一）存在的不足：</w:t>
      </w:r>
      <w:r>
        <w:rPr>
          <w:rFonts w:hint="eastAsia" w:ascii="仿宋_GB2312" w:hAnsi="仿宋_GB2312" w:eastAsia="仿宋_GB2312" w:cs="宋体"/>
          <w:color w:val="333333"/>
          <w:kern w:val="0"/>
          <w:sz w:val="32"/>
          <w:szCs w:val="32"/>
          <w:shd w:val="clear" w:color="auto" w:fill="FFFFFF"/>
          <w:lang w:eastAsia="zh-CN"/>
        </w:rPr>
        <w:t>一是</w:t>
      </w:r>
      <w:r>
        <w:rPr>
          <w:rFonts w:hint="eastAsia" w:ascii="仿宋_GB2312" w:hAnsi="仿宋_GB2312" w:eastAsia="仿宋_GB2312" w:cs="宋体"/>
          <w:color w:val="333333"/>
          <w:kern w:val="0"/>
          <w:sz w:val="32"/>
          <w:szCs w:val="32"/>
          <w:shd w:val="clear" w:color="auto" w:fill="FFFFFF"/>
        </w:rPr>
        <w:t>主动公开内容有待于进一步挖掘和扩展，政策解读工作有待进一步加强和深化</w:t>
      </w:r>
      <w:r>
        <w:rPr>
          <w:rFonts w:hint="eastAsia" w:ascii="仿宋_GB2312" w:hAnsi="仿宋_GB2312" w:eastAsia="仿宋_GB2312" w:cs="宋体"/>
          <w:color w:val="333333"/>
          <w:kern w:val="0"/>
          <w:sz w:val="32"/>
          <w:szCs w:val="32"/>
          <w:shd w:val="clear" w:color="auto" w:fill="FFFFFF"/>
          <w:lang w:eastAsia="zh-CN"/>
        </w:rPr>
        <w:t>；二是政务公开制度还有待完善，对是否属于公开内容还把握不准。</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宋体"/>
          <w:color w:val="333333"/>
          <w:kern w:val="0"/>
          <w:sz w:val="32"/>
          <w:szCs w:val="32"/>
          <w:shd w:val="clear" w:color="auto" w:fill="FFFFFF"/>
        </w:rPr>
      </w:pPr>
      <w:r>
        <w:rPr>
          <w:rFonts w:hint="eastAsia" w:ascii="方正楷体_GBK" w:hAnsi="方正楷体_GBK" w:eastAsia="方正楷体_GBK" w:cs="方正楷体_GBK"/>
          <w:color w:val="333333"/>
          <w:kern w:val="0"/>
          <w:sz w:val="32"/>
          <w:szCs w:val="32"/>
          <w:shd w:val="clear" w:color="auto" w:fill="FFFFFF"/>
        </w:rPr>
        <w:t>（二）改进措施：</w:t>
      </w:r>
      <w:r>
        <w:rPr>
          <w:rFonts w:hint="eastAsia" w:ascii="仿宋_GB2312" w:hAnsi="仿宋_GB2312" w:eastAsia="仿宋_GB2312" w:cs="宋体"/>
          <w:color w:val="333333"/>
          <w:kern w:val="0"/>
          <w:sz w:val="32"/>
          <w:szCs w:val="32"/>
          <w:shd w:val="clear" w:color="auto" w:fill="FFFFFF"/>
          <w:lang w:eastAsia="zh-CN"/>
        </w:rPr>
        <w:t>地区信访局始终</w:t>
      </w:r>
      <w:r>
        <w:rPr>
          <w:rFonts w:hint="eastAsia" w:ascii="仿宋_GB2312" w:hAnsi="仿宋_GB2312" w:eastAsia="仿宋_GB2312" w:cs="宋体"/>
          <w:color w:val="333333"/>
          <w:kern w:val="0"/>
          <w:sz w:val="32"/>
          <w:szCs w:val="32"/>
          <w:shd w:val="clear" w:color="auto" w:fill="FFFFFF"/>
        </w:rPr>
        <w:t>坚持以习近平新时代中国特色社会主义思想为指导，</w:t>
      </w:r>
      <w:r>
        <w:rPr>
          <w:rFonts w:hint="eastAsia" w:ascii="仿宋_GB2312" w:hAnsi="仿宋_GB2312" w:eastAsia="仿宋_GB2312" w:cs="宋体"/>
          <w:color w:val="333333"/>
          <w:kern w:val="0"/>
          <w:sz w:val="32"/>
          <w:szCs w:val="32"/>
          <w:shd w:val="clear" w:color="auto" w:fill="FFFFFF"/>
          <w:lang w:eastAsia="zh-CN"/>
        </w:rPr>
        <w:t>深入学习贯彻习近平总书记关于加强和改进人民信访工作的重要思想</w:t>
      </w:r>
      <w:r>
        <w:rPr>
          <w:rFonts w:hint="eastAsia" w:ascii="仿宋_GB2312" w:hAnsi="仿宋_GB2312" w:eastAsia="仿宋_GB2312" w:cs="宋体"/>
          <w:color w:val="333333"/>
          <w:kern w:val="0"/>
          <w:sz w:val="32"/>
          <w:szCs w:val="32"/>
          <w:shd w:val="clear" w:color="auto" w:fill="FFFFFF"/>
        </w:rPr>
        <w:t>，</w:t>
      </w:r>
      <w:r>
        <w:rPr>
          <w:rFonts w:hint="eastAsia" w:ascii="仿宋_GB2312" w:hAnsi="仿宋_GB2312" w:eastAsia="仿宋_GB2312" w:cs="宋体"/>
          <w:color w:val="333333"/>
          <w:kern w:val="0"/>
          <w:sz w:val="32"/>
          <w:szCs w:val="32"/>
          <w:shd w:val="clear" w:color="auto" w:fill="FFFFFF"/>
          <w:lang w:eastAsia="zh-CN"/>
        </w:rPr>
        <w:t>全面掌握中央、自治区党委以及地委关于新时代政务公开工作的决策部署，积极适应新时代政务公开工作面临的新形势新任务新要求。一是</w:t>
      </w:r>
      <w:r>
        <w:rPr>
          <w:rFonts w:hint="eastAsia" w:ascii="仿宋_GB2312" w:hAnsi="仿宋_GB2312" w:eastAsia="仿宋_GB2312" w:cs="宋体"/>
          <w:color w:val="333333"/>
          <w:kern w:val="0"/>
          <w:sz w:val="32"/>
          <w:szCs w:val="32"/>
          <w:shd w:val="clear" w:color="auto" w:fill="FFFFFF"/>
        </w:rPr>
        <w:t>按照《政府信息公开条例》的要求，加强信访工作政策解读和宣传，</w:t>
      </w:r>
      <w:r>
        <w:rPr>
          <w:rFonts w:hint="eastAsia" w:ascii="仿宋_GB2312" w:hAnsi="仿宋_GB2312" w:eastAsia="仿宋_GB2312" w:cs="宋体"/>
          <w:color w:val="333333"/>
          <w:kern w:val="0"/>
          <w:sz w:val="32"/>
          <w:szCs w:val="32"/>
          <w:shd w:val="clear" w:color="auto" w:fill="FFFFFF"/>
          <w:lang w:eastAsia="zh-CN"/>
        </w:rPr>
        <w:t>引导群众依法理性反映诉求、解决问题，</w:t>
      </w:r>
      <w:r>
        <w:rPr>
          <w:rFonts w:hint="eastAsia" w:ascii="仿宋_GB2312" w:hAnsi="仿宋_GB2312" w:eastAsia="仿宋_GB2312" w:cs="宋体"/>
          <w:color w:val="333333"/>
          <w:kern w:val="0"/>
          <w:sz w:val="32"/>
          <w:szCs w:val="32"/>
          <w:shd w:val="clear" w:color="auto" w:fill="FFFFFF"/>
        </w:rPr>
        <w:t>切实保障群众知情权，</w:t>
      </w:r>
      <w:r>
        <w:rPr>
          <w:rFonts w:hint="eastAsia" w:ascii="仿宋_GB2312" w:hAnsi="仿宋_GB2312" w:eastAsia="仿宋_GB2312" w:cs="宋体"/>
          <w:color w:val="333333"/>
          <w:kern w:val="0"/>
          <w:sz w:val="32"/>
          <w:szCs w:val="32"/>
          <w:shd w:val="clear" w:color="auto" w:fill="FFFFFF"/>
          <w:lang w:eastAsia="zh-CN"/>
        </w:rPr>
        <w:t>确保政务公开工作提质增效；二是完善政务信息公开制度，研究信访系统需要公开的事项，建立本单位信息公开目录，及时按要求申报公开项目。</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rPr>
        <w:t>六、其他需要报告的事项</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本机关按照《国务院办公厅关于印发〈政府信息公开信息处理费管理办法〉的通知》（国办函〔2020〕109号）规定的按件、按量收费标准，本年度没有产生信息公开处理费。</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textAlignment w:val="auto"/>
        <w:outlineLvl w:val="9"/>
        <w:rPr>
          <w:rFonts w:hint="eastAsia" w:ascii="仿宋_GB2312" w:eastAsia="仿宋_GB2312" w:cs="仿宋_GB2312"/>
          <w:color w:val="000000"/>
          <w:sz w:val="32"/>
          <w:szCs w:val="32"/>
        </w:rPr>
      </w:pP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宋体"/>
          <w:color w:val="333333"/>
          <w:kern w:val="0"/>
          <w:sz w:val="32"/>
          <w:szCs w:val="32"/>
          <w:shd w:val="clear" w:color="auto" w:fill="FFFFFF"/>
          <w:lang w:eastAsia="zh-CN"/>
        </w:rPr>
      </w:pPr>
      <w:r>
        <w:rPr>
          <w:rFonts w:hint="eastAsia" w:ascii="仿宋_GB2312" w:hAnsi="仿宋_GB2312" w:eastAsia="仿宋_GB2312" w:cs="宋体"/>
          <w:color w:val="333333"/>
          <w:kern w:val="0"/>
          <w:sz w:val="32"/>
          <w:szCs w:val="32"/>
          <w:shd w:val="clear" w:color="auto" w:fill="FFFFFF"/>
          <w:lang w:eastAsia="zh-CN"/>
        </w:rPr>
        <w:t>和田地区信访局</w:t>
      </w:r>
    </w:p>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5760" w:firstLineChars="1800"/>
        <w:textAlignment w:val="auto"/>
        <w:outlineLvl w:val="9"/>
        <w:rPr>
          <w:rFonts w:hint="eastAsia" w:ascii="仿宋_GB2312" w:hAnsi="仿宋_GB2312" w:eastAsia="仿宋_GB2312" w:cs="宋体"/>
          <w:color w:val="333333"/>
          <w:kern w:val="0"/>
          <w:sz w:val="32"/>
          <w:szCs w:val="32"/>
          <w:shd w:val="clear" w:color="auto" w:fill="FFFFFF"/>
          <w:lang w:val="en-US" w:eastAsia="zh-CN"/>
        </w:rPr>
      </w:pPr>
      <w:r>
        <w:rPr>
          <w:rFonts w:hint="eastAsia" w:ascii="仿宋_GB2312" w:hAnsi="仿宋_GB2312" w:eastAsia="仿宋_GB2312" w:cs="宋体"/>
          <w:color w:val="333333"/>
          <w:kern w:val="0"/>
          <w:sz w:val="32"/>
          <w:szCs w:val="32"/>
          <w:shd w:val="clear" w:color="auto" w:fill="FFFFFF"/>
          <w:lang w:val="en-US" w:eastAsia="zh-CN"/>
        </w:rPr>
        <w:t>2024年1月18日</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UKK TZK2">
    <w:altName w:val="方正书宋_GBK"/>
    <w:panose1 w:val="00000000000000000000"/>
    <w:charset w:val="8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lMWMzODEwMDhjMTBhZjRjMjNiMTQ3ZDNmOTRhY2MifQ=="/>
  </w:docVars>
  <w:rsids>
    <w:rsidRoot w:val="0050408E"/>
    <w:rsid w:val="00150FED"/>
    <w:rsid w:val="00205C1C"/>
    <w:rsid w:val="002370C4"/>
    <w:rsid w:val="00327D5E"/>
    <w:rsid w:val="00381080"/>
    <w:rsid w:val="003C2237"/>
    <w:rsid w:val="0050408E"/>
    <w:rsid w:val="005A580E"/>
    <w:rsid w:val="00622606"/>
    <w:rsid w:val="006270DA"/>
    <w:rsid w:val="007A6EB6"/>
    <w:rsid w:val="007D0697"/>
    <w:rsid w:val="007D637B"/>
    <w:rsid w:val="007F21BA"/>
    <w:rsid w:val="00820E01"/>
    <w:rsid w:val="0082572C"/>
    <w:rsid w:val="008D5D53"/>
    <w:rsid w:val="009E71B7"/>
    <w:rsid w:val="00BA35FD"/>
    <w:rsid w:val="00BB0E04"/>
    <w:rsid w:val="00CF5F99"/>
    <w:rsid w:val="00DF2A6B"/>
    <w:rsid w:val="00E66687"/>
    <w:rsid w:val="08165C5D"/>
    <w:rsid w:val="0AB51554"/>
    <w:rsid w:val="0EEC71CD"/>
    <w:rsid w:val="18601D94"/>
    <w:rsid w:val="209101FB"/>
    <w:rsid w:val="35784559"/>
    <w:rsid w:val="47247E93"/>
    <w:rsid w:val="5086496A"/>
    <w:rsid w:val="546F24A2"/>
    <w:rsid w:val="5BE468EF"/>
    <w:rsid w:val="624D0DBD"/>
    <w:rsid w:val="644A5620"/>
    <w:rsid w:val="6CE52DB4"/>
    <w:rsid w:val="75EC157E"/>
    <w:rsid w:val="7A8A7309"/>
    <w:rsid w:val="D7FDD512"/>
    <w:rsid w:val="FB6FD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74" w:lineRule="exact"/>
      <w:ind w:left="400" w:hanging="400" w:hangingChars="400"/>
    </w:pPr>
    <w:rPr>
      <w:rFonts w:ascii="UKK TZK2" w:hAnsi="UKK TZK2"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hd w:val="clear" w:color="auto" w:fill="FFFFFF"/>
      <w:spacing w:line="560" w:lineRule="exact"/>
      <w:ind w:firstLine="640" w:firstLineChars="200"/>
    </w:pPr>
    <w:rPr>
      <w:rFonts w:ascii="仿宋_GB2312" w:hAnsi="仿宋_GB2312" w:eastAsia="仿宋_GB2312" w:cs="宋体"/>
      <w:color w:val="333333"/>
      <w:kern w:val="0"/>
      <w:sz w:val="32"/>
      <w:szCs w:val="32"/>
      <w:shd w:val="clear" w:color="auto" w:fill="FFFFFF"/>
    </w:rPr>
  </w:style>
  <w:style w:type="paragraph" w:styleId="6">
    <w:name w:val="Body Text First Indent 2"/>
    <w:basedOn w:val="2"/>
    <w:unhideWhenUsed/>
    <w:qFormat/>
    <w:uiPriority w:val="0"/>
    <w:pPr>
      <w:ind w:firstLine="420" w:firstLineChars="200"/>
    </w:pPr>
    <w:rPr>
      <w:rFonts w:hint="eastAsia"/>
      <w:sz w:val="32"/>
    </w:r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普通(网站)1"/>
    <w:basedOn w:val="1"/>
    <w:qFormat/>
    <w:uiPriority w:val="0"/>
    <w:pPr>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2460</Words>
  <Characters>2495</Characters>
  <Lines>18</Lines>
  <Paragraphs>5</Paragraphs>
  <TotalTime>32</TotalTime>
  <ScaleCrop>false</ScaleCrop>
  <LinksUpToDate>false</LinksUpToDate>
  <CharactersWithSpaces>2495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2024-01-23T12:54:00Z</cp:lastPrinted>
  <dcterms:modified xsi:type="dcterms:W3CDTF">2024-02-02T19:50:12Z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E67E6BAF9AA84053AEA37AFC9DF9FF76</vt:lpwstr>
  </property>
</Properties>
</file>