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4A09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val="en-US" w:eastAsia="zh-CN"/>
        </w:rPr>
      </w:pPr>
    </w:p>
    <w:p w14:paraId="6C75B042">
      <w:pPr>
        <w:pStyle w:val="13"/>
        <w:keepNext w:val="0"/>
        <w:keepLines w:val="0"/>
        <w:pageBreakBefore w:val="0"/>
        <w:wordWrap/>
        <w:overflowPunct/>
        <w:topLinePunct w:val="0"/>
        <w:bidi w:val="0"/>
        <w:spacing w:after="0" w:afterLines="0" w:line="560" w:lineRule="exact"/>
        <w:ind w:left="0" w:leftChars="0" w:firstLine="0" w:firstLineChars="0"/>
        <w:rPr>
          <w:rFonts w:hint="eastAsia"/>
          <w:color w:val="auto"/>
          <w:sz w:val="32"/>
          <w:szCs w:val="32"/>
          <w:lang w:val="en-US" w:eastAsia="zh-CN"/>
        </w:rPr>
      </w:pPr>
    </w:p>
    <w:p w14:paraId="2456C796">
      <w:pPr>
        <w:pStyle w:val="3"/>
        <w:bidi w:val="0"/>
        <w:rPr>
          <w:rFonts w:hint="eastAsia"/>
        </w:rPr>
      </w:pPr>
      <w:r>
        <w:rPr>
          <w:rFonts w:hint="eastAsia"/>
          <w:lang w:val="en-US" w:eastAsia="zh-CN"/>
        </w:rPr>
        <w:t>2024年地区机关事务管理局</w:t>
      </w:r>
      <w:r>
        <w:rPr>
          <w:rFonts w:hint="eastAsia"/>
        </w:rPr>
        <w:t>政府信息公开</w:t>
      </w:r>
    </w:p>
    <w:p w14:paraId="52AC60D4">
      <w:pPr>
        <w:pStyle w:val="3"/>
        <w:bidi w:val="0"/>
        <w:rPr>
          <w:rFonts w:hint="eastAsia"/>
        </w:rPr>
      </w:pPr>
      <w:r>
        <w:rPr>
          <w:rFonts w:hint="eastAsia"/>
        </w:rPr>
        <w:t>工作年度报告</w:t>
      </w:r>
    </w:p>
    <w:p w14:paraId="5DCBB957">
      <w:pPr>
        <w:spacing w:line="303" w:lineRule="auto"/>
        <w:rPr>
          <w:rFonts w:ascii="Arial"/>
          <w:color w:val="auto"/>
          <w:sz w:val="21"/>
        </w:rPr>
      </w:pPr>
    </w:p>
    <w:p w14:paraId="211A167B">
      <w:pPr>
        <w:pStyle w:val="4"/>
        <w:bidi w:val="0"/>
      </w:pPr>
      <w:r>
        <w:t>一、总体情况</w:t>
      </w:r>
    </w:p>
    <w:p w14:paraId="341CE2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地区</w:t>
      </w:r>
      <w:r>
        <w:rPr>
          <w:rFonts w:hint="eastAsia" w:ascii="仿宋_GB2312" w:hAnsi="仿宋_GB2312" w:eastAsia="仿宋_GB2312" w:cs="仿宋_GB2312"/>
          <w:color w:val="auto"/>
          <w:sz w:val="32"/>
          <w:szCs w:val="32"/>
        </w:rPr>
        <w:t>机关事务局坚持以习近平新时代中国特色社会主义思想为指导，全面贯彻党的二十大精神和习近平总书记对机关事务工作的重要指示批示精神，认真贯彻落实《</w:t>
      </w:r>
      <w:r>
        <w:rPr>
          <w:rFonts w:hint="eastAsia" w:ascii="仿宋_GB2312" w:hAnsi="仿宋_GB2312" w:eastAsia="仿宋_GB2312" w:cs="仿宋_GB2312"/>
          <w:color w:val="auto"/>
          <w:sz w:val="32"/>
          <w:szCs w:val="32"/>
          <w:lang w:eastAsia="zh-CN"/>
        </w:rPr>
        <w:t>中华人民</w:t>
      </w:r>
      <w:r>
        <w:rPr>
          <w:rFonts w:hint="eastAsia" w:ascii="仿宋_GB2312" w:hAnsi="仿宋_GB2312" w:eastAsia="仿宋_GB2312" w:cs="仿宋_GB2312"/>
          <w:color w:val="auto"/>
          <w:sz w:val="32"/>
          <w:szCs w:val="32"/>
        </w:rPr>
        <w:t>共和国政府信息公开条例》</w:t>
      </w:r>
      <w:r>
        <w:rPr>
          <w:rFonts w:hint="eastAsia" w:ascii="仿宋_GB2312" w:hAnsi="仿宋_GB2312" w:eastAsia="仿宋_GB2312" w:cs="仿宋_GB2312"/>
          <w:color w:val="auto"/>
          <w:sz w:val="32"/>
          <w:szCs w:val="32"/>
          <w:lang w:eastAsia="zh-CN"/>
        </w:rPr>
        <w:t>以及中央、自治区党委、自治区政</w:t>
      </w:r>
      <w:r>
        <w:rPr>
          <w:rFonts w:hint="eastAsia" w:ascii="仿宋_GB2312" w:hAnsi="仿宋_GB2312" w:eastAsia="仿宋_GB2312" w:cs="仿宋_GB2312"/>
          <w:color w:val="auto"/>
          <w:sz w:val="32"/>
          <w:szCs w:val="32"/>
        </w:rPr>
        <w:t>府和</w:t>
      </w:r>
      <w:r>
        <w:rPr>
          <w:rFonts w:hint="eastAsia" w:ascii="仿宋_GB2312" w:hAnsi="仿宋_GB2312" w:eastAsia="仿宋_GB2312" w:cs="仿宋_GB2312"/>
          <w:color w:val="auto"/>
          <w:sz w:val="32"/>
          <w:szCs w:val="32"/>
          <w:lang w:eastAsia="zh-CN"/>
        </w:rPr>
        <w:t>地委、行署</w:t>
      </w:r>
      <w:r>
        <w:rPr>
          <w:rFonts w:hint="eastAsia" w:ascii="仿宋_GB2312" w:hAnsi="仿宋_GB2312" w:eastAsia="仿宋_GB2312" w:cs="仿宋_GB2312"/>
          <w:color w:val="auto"/>
          <w:sz w:val="32"/>
          <w:szCs w:val="32"/>
        </w:rPr>
        <w:t>关于深入推进政府信息公开工作的系列决策部署，紧密结合工作实际，切实履行政府信息公开各项职责，强化信息公开管理，充实信息公开内容，规范信息公开行为，政务公开质量和水平逐步提升。</w:t>
      </w:r>
    </w:p>
    <w:p w14:paraId="0D5261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主动公开情况</w:t>
      </w:r>
      <w:r>
        <w:rPr>
          <w:rFonts w:hint="eastAsia" w:ascii="仿宋_GB2312" w:hAnsi="仿宋_GB2312" w:eastAsia="仿宋_GB2312" w:cs="仿宋_GB2312"/>
          <w:color w:val="auto"/>
          <w:sz w:val="32"/>
          <w:szCs w:val="32"/>
          <w:lang w:eastAsia="zh-CN"/>
        </w:rPr>
        <w:t>。按要求公开机构职能职责、人事信息、信息公开指南等内容，确保法定主动公开事项应公开尽公开</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年，我局主动公开信息</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（信息公开工作年度报告、</w:t>
      </w:r>
      <w:r>
        <w:rPr>
          <w:rFonts w:hint="eastAsia" w:ascii="仿宋_GB2312" w:hAnsi="仿宋_GB2312" w:eastAsia="仿宋_GB2312" w:cs="仿宋_GB2312"/>
          <w:color w:val="auto"/>
          <w:sz w:val="32"/>
          <w:szCs w:val="32"/>
        </w:rPr>
        <w:t>机构</w:t>
      </w:r>
      <w:r>
        <w:rPr>
          <w:rFonts w:hint="eastAsia" w:ascii="仿宋_GB2312" w:hAnsi="仿宋_GB2312" w:eastAsia="仿宋_GB2312" w:cs="仿宋_GB2312"/>
          <w:color w:val="auto"/>
          <w:sz w:val="32"/>
          <w:szCs w:val="32"/>
          <w:lang w:eastAsia="zh-CN"/>
        </w:rPr>
        <w:t>职能职责、</w:t>
      </w:r>
      <w:r>
        <w:rPr>
          <w:rFonts w:hint="eastAsia" w:ascii="仿宋_GB2312" w:hAnsi="仿宋_GB2312" w:eastAsia="仿宋_GB2312" w:cs="仿宋_GB2312"/>
          <w:color w:val="auto"/>
          <w:sz w:val="32"/>
          <w:szCs w:val="32"/>
        </w:rPr>
        <w:t>政府信息公开指南</w:t>
      </w:r>
      <w:r>
        <w:rPr>
          <w:rFonts w:hint="eastAsia" w:ascii="仿宋_GB2312" w:hAnsi="仿宋_GB2312" w:eastAsia="仿宋_GB2312" w:cs="仿宋_GB2312"/>
          <w:color w:val="auto"/>
          <w:sz w:val="32"/>
          <w:szCs w:val="32"/>
          <w:lang w:eastAsia="zh-CN"/>
        </w:rPr>
        <w:t>、法治政府建设工作报告）。</w:t>
      </w:r>
    </w:p>
    <w:p w14:paraId="027177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（二）依申请公开情况</w:t>
      </w:r>
      <w:r>
        <w:rPr>
          <w:rFonts w:hint="eastAsia" w:ascii="仿宋_GB2312" w:hAnsi="仿宋_GB2312" w:eastAsia="仿宋_GB2312" w:cs="仿宋_GB2312"/>
          <w:color w:val="auto"/>
          <w:sz w:val="32"/>
          <w:szCs w:val="32"/>
          <w:lang w:eastAsia="zh-CN"/>
        </w:rPr>
        <w:t>。严格按照《政府信息公开条例》的规定和要求，依法依规办理依申请公开事项。</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年，我局未收到依申请公开信息的申请。</w:t>
      </w:r>
    </w:p>
    <w:p w14:paraId="5B7A52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（三）政府信息管理情况</w:t>
      </w:r>
      <w:r>
        <w:rPr>
          <w:rFonts w:hint="eastAsia" w:ascii="仿宋_GB2312" w:hAnsi="仿宋_GB2312" w:eastAsia="仿宋_GB2312" w:cs="仿宋_GB2312"/>
          <w:color w:val="auto"/>
          <w:sz w:val="32"/>
          <w:szCs w:val="32"/>
          <w:lang w:eastAsia="zh-CN"/>
        </w:rPr>
        <w:t>。严格落实政府信息公开前审查机制，明确信息公开有关流程，对公开内容、公开形式进行逐级把关，确保信息公开规范准确。</w:t>
      </w:r>
    </w:p>
    <w:p w14:paraId="11DB4D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（四）平台建设情况</w:t>
      </w:r>
      <w:r>
        <w:rPr>
          <w:rFonts w:hint="eastAsia" w:ascii="仿宋_GB2312" w:hAnsi="仿宋_GB2312" w:eastAsia="仿宋_GB2312" w:cs="仿宋_GB2312"/>
          <w:color w:val="auto"/>
          <w:sz w:val="32"/>
          <w:szCs w:val="32"/>
          <w:lang w:eastAsia="zh-CN"/>
        </w:rPr>
        <w:t>。我局依托和田地区</w:t>
      </w:r>
      <w:r>
        <w:rPr>
          <w:rFonts w:hint="eastAsia" w:ascii="仿宋_GB2312" w:hAnsi="仿宋_GB2312" w:eastAsia="仿宋_GB2312" w:cs="仿宋_GB2312"/>
          <w:color w:val="auto"/>
          <w:sz w:val="32"/>
          <w:szCs w:val="32"/>
        </w:rPr>
        <w:t>政府门户网站</w:t>
      </w:r>
      <w:r>
        <w:rPr>
          <w:rFonts w:hint="eastAsia" w:ascii="仿宋_GB2312" w:hAnsi="仿宋_GB2312" w:eastAsia="仿宋_GB2312" w:cs="仿宋_GB2312"/>
          <w:color w:val="auto"/>
          <w:sz w:val="32"/>
          <w:szCs w:val="32"/>
          <w:lang w:eastAsia="zh-CN"/>
        </w:rPr>
        <w:t>发布信息。</w:t>
      </w:r>
    </w:p>
    <w:p w14:paraId="207319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color w:val="auto"/>
          <w:sz w:val="32"/>
          <w:szCs w:val="32"/>
        </w:rPr>
      </w:pPr>
      <w:r>
        <w:rPr>
          <w:rFonts w:hint="eastAsia" w:ascii="仿宋_GB2312" w:hAnsi="仿宋_GB2312" w:eastAsia="仿宋_GB2312" w:cs="仿宋_GB2312"/>
          <w:color w:val="auto"/>
          <w:sz w:val="32"/>
          <w:szCs w:val="32"/>
        </w:rPr>
        <w:t>（五）监督保障情况</w:t>
      </w:r>
      <w:r>
        <w:rPr>
          <w:rFonts w:hint="eastAsia" w:ascii="仿宋_GB2312" w:hAnsi="仿宋_GB2312" w:eastAsia="仿宋_GB2312" w:cs="仿宋_GB2312"/>
          <w:color w:val="auto"/>
          <w:sz w:val="32"/>
          <w:szCs w:val="32"/>
          <w:lang w:eastAsia="zh-CN"/>
        </w:rPr>
        <w:t>。严格贯彻落实政务公开工作要求，</w:t>
      </w:r>
      <w:r>
        <w:rPr>
          <w:rFonts w:hint="eastAsia" w:ascii="仿宋_GB2312" w:hAnsi="仿宋_GB2312" w:eastAsia="仿宋_GB2312" w:cs="仿宋_GB2312"/>
          <w:color w:val="auto"/>
          <w:sz w:val="32"/>
          <w:szCs w:val="32"/>
        </w:rPr>
        <w:t>我局信息公开工作领导小组，统一负责全局信息公开工作的组织实施，做好牵头协调和监督检查，</w:t>
      </w:r>
      <w:r>
        <w:rPr>
          <w:rFonts w:hint="eastAsia" w:ascii="仿宋_GB2312" w:hAnsi="仿宋_GB2312" w:eastAsia="仿宋_GB2312" w:cs="仿宋_GB2312"/>
          <w:color w:val="auto"/>
          <w:sz w:val="32"/>
          <w:szCs w:val="32"/>
          <w:lang w:eastAsia="zh-CN"/>
        </w:rPr>
        <w:t>采取有效措施切实推进指导全局政府信息公开工作的开展。局政务公开领导小组办公室认真落实政府信息公开工作具体要求，积极协调各科室做好政府信息公开相关工作。</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年，我局未发生因不履行政务公开义务而发生的责任追究情况。</w:t>
      </w:r>
    </w:p>
    <w:p w14:paraId="6A4D25FB">
      <w:pPr>
        <w:spacing w:before="191" w:line="213" w:lineRule="auto"/>
        <w:ind w:left="749"/>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pacing w:val="-3"/>
          <w:sz w:val="32"/>
          <w:szCs w:val="32"/>
        </w:rPr>
        <w:t>二、主动公开政府信息情况</w:t>
      </w:r>
    </w:p>
    <w:tbl>
      <w:tblPr>
        <w:tblStyle w:val="21"/>
        <w:tblW w:w="843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2"/>
        <w:gridCol w:w="1908"/>
        <w:gridCol w:w="1807"/>
        <w:gridCol w:w="1883"/>
      </w:tblGrid>
      <w:tr w14:paraId="2155D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30" w:type="dxa"/>
            <w:gridSpan w:val="4"/>
            <w:vAlign w:val="center"/>
          </w:tcPr>
          <w:p w14:paraId="139C60D2">
            <w:pPr>
              <w:pStyle w:val="20"/>
              <w:spacing w:before="34"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第二十条第(一)项</w:t>
            </w:r>
          </w:p>
        </w:tc>
      </w:tr>
      <w:tr w14:paraId="5CDE8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832" w:type="dxa"/>
            <w:vAlign w:val="center"/>
          </w:tcPr>
          <w:p w14:paraId="3A85B2E4">
            <w:pPr>
              <w:pStyle w:val="20"/>
              <w:spacing w:before="61"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信息内容</w:t>
            </w:r>
          </w:p>
        </w:tc>
        <w:tc>
          <w:tcPr>
            <w:tcW w:w="1908" w:type="dxa"/>
            <w:vAlign w:val="center"/>
          </w:tcPr>
          <w:p w14:paraId="452DD86A">
            <w:pPr>
              <w:pStyle w:val="20"/>
              <w:spacing w:before="29"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本年制发件数</w:t>
            </w:r>
          </w:p>
        </w:tc>
        <w:tc>
          <w:tcPr>
            <w:tcW w:w="1807" w:type="dxa"/>
            <w:vAlign w:val="center"/>
          </w:tcPr>
          <w:p w14:paraId="39AD4F6E">
            <w:pPr>
              <w:pStyle w:val="20"/>
              <w:spacing w:before="19"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本年废止件数</w:t>
            </w:r>
          </w:p>
        </w:tc>
        <w:tc>
          <w:tcPr>
            <w:tcW w:w="1883" w:type="dxa"/>
            <w:vAlign w:val="center"/>
          </w:tcPr>
          <w:p w14:paraId="1D56DF7A">
            <w:pPr>
              <w:pStyle w:val="20"/>
              <w:spacing w:before="41"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现行有效件数</w:t>
            </w:r>
          </w:p>
        </w:tc>
      </w:tr>
      <w:tr w14:paraId="04398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832" w:type="dxa"/>
            <w:vAlign w:val="center"/>
          </w:tcPr>
          <w:p w14:paraId="372372DB">
            <w:pPr>
              <w:pStyle w:val="20"/>
              <w:spacing w:before="50" w:line="219" w:lineRule="auto"/>
              <w:ind w:left="85"/>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8"/>
                <w:sz w:val="21"/>
                <w:szCs w:val="21"/>
              </w:rPr>
              <w:t>规章</w:t>
            </w:r>
          </w:p>
        </w:tc>
        <w:tc>
          <w:tcPr>
            <w:tcW w:w="1908" w:type="dxa"/>
            <w:vAlign w:val="center"/>
          </w:tcPr>
          <w:p w14:paraId="30A25D56">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1807" w:type="dxa"/>
            <w:vAlign w:val="center"/>
          </w:tcPr>
          <w:p w14:paraId="16CCE9F2">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1883" w:type="dxa"/>
            <w:vAlign w:val="center"/>
          </w:tcPr>
          <w:p w14:paraId="30D4A205">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r w14:paraId="68581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832" w:type="dxa"/>
            <w:vAlign w:val="center"/>
          </w:tcPr>
          <w:p w14:paraId="41907607">
            <w:pPr>
              <w:pStyle w:val="20"/>
              <w:spacing w:before="42" w:line="219" w:lineRule="auto"/>
              <w:ind w:left="85"/>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规范性文件</w:t>
            </w:r>
          </w:p>
        </w:tc>
        <w:tc>
          <w:tcPr>
            <w:tcW w:w="1908" w:type="dxa"/>
            <w:vAlign w:val="center"/>
          </w:tcPr>
          <w:p w14:paraId="292CF8FB">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1807" w:type="dxa"/>
            <w:vAlign w:val="center"/>
          </w:tcPr>
          <w:p w14:paraId="4E0007F1">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1883" w:type="dxa"/>
            <w:vAlign w:val="center"/>
          </w:tcPr>
          <w:p w14:paraId="29FED1FE">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r w14:paraId="0CCB2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30" w:type="dxa"/>
            <w:gridSpan w:val="4"/>
            <w:vAlign w:val="center"/>
          </w:tcPr>
          <w:p w14:paraId="077B2276">
            <w:pPr>
              <w:pStyle w:val="20"/>
              <w:spacing w:before="43"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第二十条第(五)项</w:t>
            </w:r>
          </w:p>
        </w:tc>
      </w:tr>
      <w:tr w14:paraId="252DD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832" w:type="dxa"/>
            <w:vAlign w:val="center"/>
          </w:tcPr>
          <w:p w14:paraId="46C5A2F7">
            <w:pPr>
              <w:pStyle w:val="20"/>
              <w:spacing w:before="43"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信息内容</w:t>
            </w:r>
          </w:p>
        </w:tc>
        <w:tc>
          <w:tcPr>
            <w:tcW w:w="5598" w:type="dxa"/>
            <w:gridSpan w:val="3"/>
            <w:vAlign w:val="center"/>
          </w:tcPr>
          <w:p w14:paraId="3F0C1984">
            <w:pPr>
              <w:pStyle w:val="20"/>
              <w:spacing w:before="72"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本年处理决定数量</w:t>
            </w:r>
          </w:p>
        </w:tc>
      </w:tr>
      <w:tr w14:paraId="4F779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832" w:type="dxa"/>
            <w:vAlign w:val="center"/>
          </w:tcPr>
          <w:p w14:paraId="5567724D">
            <w:pPr>
              <w:pStyle w:val="20"/>
              <w:spacing w:before="45" w:line="22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行政许可</w:t>
            </w:r>
          </w:p>
        </w:tc>
        <w:tc>
          <w:tcPr>
            <w:tcW w:w="5598" w:type="dxa"/>
            <w:gridSpan w:val="3"/>
            <w:vAlign w:val="center"/>
          </w:tcPr>
          <w:p w14:paraId="25413F53">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r w14:paraId="7604A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30" w:type="dxa"/>
            <w:gridSpan w:val="4"/>
            <w:vAlign w:val="center"/>
          </w:tcPr>
          <w:p w14:paraId="3CF76A3B">
            <w:pPr>
              <w:pStyle w:val="20"/>
              <w:spacing w:before="34"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第二十条第(六)项</w:t>
            </w:r>
          </w:p>
        </w:tc>
      </w:tr>
      <w:tr w14:paraId="37C6D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832" w:type="dxa"/>
            <w:vAlign w:val="center"/>
          </w:tcPr>
          <w:p w14:paraId="52C2FD6A">
            <w:pPr>
              <w:pStyle w:val="20"/>
              <w:spacing w:before="66"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信息内容</w:t>
            </w:r>
          </w:p>
        </w:tc>
        <w:tc>
          <w:tcPr>
            <w:tcW w:w="5598" w:type="dxa"/>
            <w:gridSpan w:val="3"/>
            <w:vAlign w:val="center"/>
          </w:tcPr>
          <w:p w14:paraId="613F4648">
            <w:pPr>
              <w:pStyle w:val="20"/>
              <w:spacing w:before="64"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本年处理决定数量</w:t>
            </w:r>
          </w:p>
        </w:tc>
      </w:tr>
      <w:tr w14:paraId="1F530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832" w:type="dxa"/>
            <w:vAlign w:val="center"/>
          </w:tcPr>
          <w:p w14:paraId="67E67E0C">
            <w:pPr>
              <w:pStyle w:val="20"/>
              <w:spacing w:before="77" w:line="220" w:lineRule="auto"/>
              <w:ind w:left="85"/>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7"/>
                <w:sz w:val="21"/>
                <w:szCs w:val="21"/>
              </w:rPr>
              <w:t>行政处罚</w:t>
            </w:r>
          </w:p>
        </w:tc>
        <w:tc>
          <w:tcPr>
            <w:tcW w:w="5598" w:type="dxa"/>
            <w:gridSpan w:val="3"/>
            <w:vAlign w:val="center"/>
          </w:tcPr>
          <w:p w14:paraId="05737663">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r w14:paraId="4FDC8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832" w:type="dxa"/>
            <w:vAlign w:val="center"/>
          </w:tcPr>
          <w:p w14:paraId="75E11E87">
            <w:pPr>
              <w:pStyle w:val="20"/>
              <w:spacing w:before="78" w:line="220" w:lineRule="auto"/>
              <w:ind w:left="85"/>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5"/>
                <w:sz w:val="21"/>
                <w:szCs w:val="21"/>
              </w:rPr>
              <w:t>行政强制</w:t>
            </w:r>
          </w:p>
        </w:tc>
        <w:tc>
          <w:tcPr>
            <w:tcW w:w="5598" w:type="dxa"/>
            <w:gridSpan w:val="3"/>
            <w:vAlign w:val="center"/>
          </w:tcPr>
          <w:p w14:paraId="272C9C36">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r w14:paraId="4A7FA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30" w:type="dxa"/>
            <w:gridSpan w:val="4"/>
            <w:vAlign w:val="center"/>
          </w:tcPr>
          <w:p w14:paraId="5B5BA66C">
            <w:pPr>
              <w:pStyle w:val="20"/>
              <w:spacing w:before="78"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第二十条第(八)项</w:t>
            </w:r>
          </w:p>
        </w:tc>
      </w:tr>
      <w:tr w14:paraId="69FF4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832" w:type="dxa"/>
            <w:vAlign w:val="center"/>
          </w:tcPr>
          <w:p w14:paraId="2B519E33">
            <w:pPr>
              <w:pStyle w:val="20"/>
              <w:spacing w:before="59"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信息内容</w:t>
            </w:r>
          </w:p>
        </w:tc>
        <w:tc>
          <w:tcPr>
            <w:tcW w:w="5598" w:type="dxa"/>
            <w:gridSpan w:val="3"/>
            <w:vAlign w:val="center"/>
          </w:tcPr>
          <w:p w14:paraId="47A4984E">
            <w:pPr>
              <w:pStyle w:val="20"/>
              <w:spacing w:before="68"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4"/>
                <w:sz w:val="21"/>
                <w:szCs w:val="21"/>
              </w:rPr>
              <w:t>本年收费金额(单位：万元)</w:t>
            </w:r>
          </w:p>
        </w:tc>
      </w:tr>
      <w:tr w14:paraId="17F1E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832" w:type="dxa"/>
            <w:vAlign w:val="center"/>
          </w:tcPr>
          <w:p w14:paraId="107D30F6">
            <w:pPr>
              <w:pStyle w:val="20"/>
              <w:spacing w:before="60" w:line="219" w:lineRule="auto"/>
              <w:ind w:left="85"/>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行政事业性收费</w:t>
            </w:r>
          </w:p>
        </w:tc>
        <w:tc>
          <w:tcPr>
            <w:tcW w:w="5598" w:type="dxa"/>
            <w:gridSpan w:val="3"/>
            <w:vAlign w:val="center"/>
          </w:tcPr>
          <w:p w14:paraId="2A9E4F40">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bl>
    <w:p w14:paraId="7155C70C">
      <w:pPr>
        <w:ind w:firstLine="632" w:firstLineChars="200"/>
        <w:rPr>
          <w:rFonts w:ascii="黑体" w:hAnsi="黑体" w:eastAsia="黑体" w:cs="黑体"/>
          <w:b w:val="0"/>
          <w:bCs w:val="0"/>
          <w:color w:val="auto"/>
          <w:sz w:val="32"/>
          <w:szCs w:val="32"/>
        </w:rPr>
      </w:pPr>
      <w:r>
        <w:rPr>
          <w:rFonts w:ascii="黑体" w:hAnsi="黑体" w:eastAsia="黑体" w:cs="黑体"/>
          <w:b w:val="0"/>
          <w:bCs w:val="0"/>
          <w:color w:val="auto"/>
          <w:spacing w:val="-2"/>
          <w:sz w:val="32"/>
          <w:szCs w:val="32"/>
        </w:rPr>
        <w:t>三、收到和处理政府信息公开申请情况</w:t>
      </w:r>
    </w:p>
    <w:p w14:paraId="0C1112FB">
      <w:pPr>
        <w:spacing w:line="71" w:lineRule="auto"/>
        <w:rPr>
          <w:rFonts w:ascii="Arial"/>
          <w:color w:val="auto"/>
          <w:sz w:val="2"/>
        </w:rPr>
      </w:pPr>
    </w:p>
    <w:tbl>
      <w:tblPr>
        <w:tblStyle w:val="21"/>
        <w:tblW w:w="835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749"/>
        <w:gridCol w:w="2877"/>
        <w:gridCol w:w="469"/>
        <w:gridCol w:w="649"/>
        <w:gridCol w:w="649"/>
        <w:gridCol w:w="649"/>
        <w:gridCol w:w="659"/>
        <w:gridCol w:w="460"/>
        <w:gridCol w:w="454"/>
      </w:tblGrid>
      <w:tr w14:paraId="0B809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4361" w:type="dxa"/>
            <w:gridSpan w:val="3"/>
            <w:vMerge w:val="restart"/>
            <w:tcBorders>
              <w:bottom w:val="nil"/>
            </w:tcBorders>
            <w:vAlign w:val="center"/>
          </w:tcPr>
          <w:p w14:paraId="1D4DBAA4">
            <w:pPr>
              <w:pStyle w:val="20"/>
              <w:spacing w:before="75" w:line="206" w:lineRule="auto"/>
              <w:ind w:left="185" w:right="259" w:firstLine="109"/>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(本列数据的勾稽关系为：第一项加第</w:t>
            </w:r>
            <w:r>
              <w:rPr>
                <w:rFonts w:hint="eastAsia" w:ascii="方正仿宋_GB2312" w:hAnsi="方正仿宋_GB2312" w:eastAsia="方正仿宋_GB2312" w:cs="方正仿宋_GB2312"/>
                <w:color w:val="auto"/>
                <w:spacing w:val="2"/>
                <w:sz w:val="21"/>
                <w:szCs w:val="21"/>
              </w:rPr>
              <w:t>二项之和，等于第三项加第四项之和)</w:t>
            </w:r>
          </w:p>
        </w:tc>
        <w:tc>
          <w:tcPr>
            <w:tcW w:w="3989" w:type="dxa"/>
            <w:gridSpan w:val="7"/>
            <w:vAlign w:val="center"/>
          </w:tcPr>
          <w:p w14:paraId="53374264">
            <w:pPr>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申请人情况</w:t>
            </w:r>
          </w:p>
        </w:tc>
      </w:tr>
      <w:tr w14:paraId="66A34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361" w:type="dxa"/>
            <w:gridSpan w:val="3"/>
            <w:vMerge w:val="continue"/>
            <w:tcBorders>
              <w:top w:val="nil"/>
              <w:bottom w:val="nil"/>
            </w:tcBorders>
            <w:vAlign w:val="center"/>
          </w:tcPr>
          <w:p w14:paraId="0FF02ED3">
            <w:pPr>
              <w:jc w:val="center"/>
              <w:rPr>
                <w:rFonts w:hint="eastAsia" w:ascii="方正仿宋_GB2312" w:hAnsi="方正仿宋_GB2312" w:eastAsia="方正仿宋_GB2312" w:cs="方正仿宋_GB2312"/>
                <w:color w:val="auto"/>
                <w:sz w:val="21"/>
                <w:szCs w:val="21"/>
              </w:rPr>
            </w:pPr>
          </w:p>
        </w:tc>
        <w:tc>
          <w:tcPr>
            <w:tcW w:w="469" w:type="dxa"/>
            <w:vMerge w:val="restart"/>
            <w:tcBorders>
              <w:bottom w:val="nil"/>
            </w:tcBorders>
            <w:textDirection w:val="tbRlV"/>
            <w:vAlign w:val="center"/>
          </w:tcPr>
          <w:p w14:paraId="332C9682">
            <w:pPr>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自然人</w:t>
            </w:r>
          </w:p>
        </w:tc>
        <w:tc>
          <w:tcPr>
            <w:tcW w:w="3066" w:type="dxa"/>
            <w:gridSpan w:val="5"/>
            <w:vAlign w:val="center"/>
          </w:tcPr>
          <w:p w14:paraId="03B9D53F">
            <w:pPr>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法人或其他组织</w:t>
            </w:r>
          </w:p>
        </w:tc>
        <w:tc>
          <w:tcPr>
            <w:tcW w:w="454" w:type="dxa"/>
            <w:vMerge w:val="restart"/>
            <w:tcBorders>
              <w:bottom w:val="nil"/>
            </w:tcBorders>
            <w:textDirection w:val="tbRlV"/>
            <w:vAlign w:val="center"/>
          </w:tcPr>
          <w:p w14:paraId="127D0CF0">
            <w:pPr>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总计</w:t>
            </w:r>
          </w:p>
        </w:tc>
      </w:tr>
      <w:tr w14:paraId="39142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4361" w:type="dxa"/>
            <w:gridSpan w:val="3"/>
            <w:vMerge w:val="continue"/>
            <w:tcBorders>
              <w:top w:val="nil"/>
            </w:tcBorders>
            <w:vAlign w:val="center"/>
          </w:tcPr>
          <w:p w14:paraId="3D73E00F">
            <w:pPr>
              <w:jc w:val="center"/>
              <w:rPr>
                <w:rFonts w:hint="eastAsia" w:ascii="方正仿宋_GB2312" w:hAnsi="方正仿宋_GB2312" w:eastAsia="方正仿宋_GB2312" w:cs="方正仿宋_GB2312"/>
                <w:color w:val="auto"/>
                <w:sz w:val="21"/>
                <w:szCs w:val="21"/>
              </w:rPr>
            </w:pPr>
          </w:p>
        </w:tc>
        <w:tc>
          <w:tcPr>
            <w:tcW w:w="469" w:type="dxa"/>
            <w:vMerge w:val="continue"/>
            <w:tcBorders>
              <w:top w:val="nil"/>
            </w:tcBorders>
            <w:textDirection w:val="tbRlV"/>
            <w:vAlign w:val="center"/>
          </w:tcPr>
          <w:p w14:paraId="67309906">
            <w:pPr>
              <w:jc w:val="center"/>
              <w:rPr>
                <w:rFonts w:hint="eastAsia" w:ascii="方正仿宋_GB2312" w:hAnsi="方正仿宋_GB2312" w:eastAsia="方正仿宋_GB2312" w:cs="方正仿宋_GB2312"/>
                <w:color w:val="auto"/>
                <w:sz w:val="21"/>
                <w:szCs w:val="21"/>
              </w:rPr>
            </w:pPr>
          </w:p>
        </w:tc>
        <w:tc>
          <w:tcPr>
            <w:tcW w:w="649" w:type="dxa"/>
            <w:textDirection w:val="tbRlV"/>
            <w:vAlign w:val="center"/>
          </w:tcPr>
          <w:p w14:paraId="5B9DC27B">
            <w:pPr>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商业企业</w:t>
            </w:r>
          </w:p>
        </w:tc>
        <w:tc>
          <w:tcPr>
            <w:tcW w:w="649" w:type="dxa"/>
            <w:textDirection w:val="tbRlV"/>
            <w:vAlign w:val="center"/>
          </w:tcPr>
          <w:p w14:paraId="6A3BAA9B">
            <w:pPr>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科研机构</w:t>
            </w:r>
          </w:p>
        </w:tc>
        <w:tc>
          <w:tcPr>
            <w:tcW w:w="649" w:type="dxa"/>
            <w:textDirection w:val="tbRlV"/>
            <w:vAlign w:val="center"/>
          </w:tcPr>
          <w:p w14:paraId="1169C22D">
            <w:pPr>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社会公益组织</w:t>
            </w:r>
          </w:p>
        </w:tc>
        <w:tc>
          <w:tcPr>
            <w:tcW w:w="659" w:type="dxa"/>
            <w:textDirection w:val="tbRlV"/>
            <w:vAlign w:val="center"/>
          </w:tcPr>
          <w:p w14:paraId="4ABA0B37">
            <w:pPr>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法律服务机构</w:t>
            </w:r>
          </w:p>
        </w:tc>
        <w:tc>
          <w:tcPr>
            <w:tcW w:w="460" w:type="dxa"/>
            <w:textDirection w:val="tbRlV"/>
            <w:vAlign w:val="center"/>
          </w:tcPr>
          <w:p w14:paraId="0BE4ED81">
            <w:pPr>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其他</w:t>
            </w:r>
          </w:p>
        </w:tc>
        <w:tc>
          <w:tcPr>
            <w:tcW w:w="454" w:type="dxa"/>
            <w:vMerge w:val="continue"/>
            <w:tcBorders>
              <w:top w:val="nil"/>
            </w:tcBorders>
            <w:textDirection w:val="tbRlV"/>
            <w:vAlign w:val="center"/>
          </w:tcPr>
          <w:p w14:paraId="6C645904">
            <w:pPr>
              <w:jc w:val="center"/>
              <w:rPr>
                <w:rFonts w:hint="eastAsia" w:ascii="方正仿宋_GB2312" w:hAnsi="方正仿宋_GB2312" w:eastAsia="方正仿宋_GB2312" w:cs="方正仿宋_GB2312"/>
                <w:color w:val="auto"/>
                <w:sz w:val="21"/>
                <w:szCs w:val="21"/>
              </w:rPr>
            </w:pPr>
          </w:p>
        </w:tc>
      </w:tr>
      <w:tr w14:paraId="59ABB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361" w:type="dxa"/>
            <w:gridSpan w:val="3"/>
            <w:vAlign w:val="center"/>
          </w:tcPr>
          <w:p w14:paraId="271F8254">
            <w:pPr>
              <w:pStyle w:val="20"/>
              <w:spacing w:before="75" w:line="219" w:lineRule="auto"/>
              <w:ind w:left="95"/>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pacing w:val="-1"/>
                <w:sz w:val="21"/>
                <w:szCs w:val="21"/>
              </w:rPr>
              <w:t>一、本年新收政府信息公开申请数量</w:t>
            </w:r>
          </w:p>
        </w:tc>
        <w:tc>
          <w:tcPr>
            <w:tcW w:w="469" w:type="dxa"/>
            <w:vAlign w:val="center"/>
          </w:tcPr>
          <w:p w14:paraId="21CB178A">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649" w:type="dxa"/>
            <w:vAlign w:val="center"/>
          </w:tcPr>
          <w:p w14:paraId="1DFD16C4">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649" w:type="dxa"/>
            <w:vAlign w:val="center"/>
          </w:tcPr>
          <w:p w14:paraId="4FAB6382">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649" w:type="dxa"/>
            <w:vAlign w:val="center"/>
          </w:tcPr>
          <w:p w14:paraId="777E092F">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659" w:type="dxa"/>
            <w:vAlign w:val="center"/>
          </w:tcPr>
          <w:p w14:paraId="416FACA8">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460" w:type="dxa"/>
            <w:vAlign w:val="center"/>
          </w:tcPr>
          <w:p w14:paraId="43385D6A">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454" w:type="dxa"/>
            <w:vAlign w:val="center"/>
          </w:tcPr>
          <w:p w14:paraId="27989AB7">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r>
      <w:tr w14:paraId="7076A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361" w:type="dxa"/>
            <w:gridSpan w:val="3"/>
            <w:vAlign w:val="center"/>
          </w:tcPr>
          <w:p w14:paraId="1C9FDF38">
            <w:pPr>
              <w:pStyle w:val="20"/>
              <w:spacing w:before="87" w:line="219" w:lineRule="auto"/>
              <w:ind w:left="95"/>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二、上年结转政府信息公开申请数量</w:t>
            </w:r>
          </w:p>
        </w:tc>
        <w:tc>
          <w:tcPr>
            <w:tcW w:w="469" w:type="dxa"/>
            <w:vAlign w:val="center"/>
          </w:tcPr>
          <w:p w14:paraId="06B1FE01">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649" w:type="dxa"/>
            <w:vAlign w:val="center"/>
          </w:tcPr>
          <w:p w14:paraId="7F2E0142">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649" w:type="dxa"/>
            <w:vAlign w:val="center"/>
          </w:tcPr>
          <w:p w14:paraId="3A511A95">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649" w:type="dxa"/>
            <w:vAlign w:val="center"/>
          </w:tcPr>
          <w:p w14:paraId="12F01B64">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659" w:type="dxa"/>
            <w:vAlign w:val="center"/>
          </w:tcPr>
          <w:p w14:paraId="752A34DC">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460" w:type="dxa"/>
            <w:vAlign w:val="center"/>
          </w:tcPr>
          <w:p w14:paraId="611C1D69">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454" w:type="dxa"/>
            <w:vAlign w:val="center"/>
          </w:tcPr>
          <w:p w14:paraId="6723424A">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r>
      <w:tr w14:paraId="7B4A8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restart"/>
            <w:tcBorders>
              <w:bottom w:val="nil"/>
            </w:tcBorders>
            <w:vAlign w:val="center"/>
          </w:tcPr>
          <w:p w14:paraId="5FF6E1C1">
            <w:pPr>
              <w:pStyle w:val="20"/>
              <w:spacing w:before="75" w:line="180" w:lineRule="auto"/>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pacing w:val="-22"/>
                <w:sz w:val="21"/>
                <w:szCs w:val="21"/>
              </w:rPr>
              <w:t>三、</w:t>
            </w:r>
          </w:p>
          <w:p w14:paraId="2142D2C0">
            <w:pPr>
              <w:pStyle w:val="20"/>
              <w:spacing w:line="197" w:lineRule="auto"/>
              <w:ind w:left="105"/>
              <w:jc w:val="left"/>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pacing w:val="-3"/>
                <w:sz w:val="21"/>
                <w:szCs w:val="21"/>
              </w:rPr>
              <w:t>本年</w:t>
            </w:r>
          </w:p>
          <w:p w14:paraId="29CC3D58">
            <w:pPr>
              <w:pStyle w:val="20"/>
              <w:spacing w:line="210" w:lineRule="auto"/>
              <w:ind w:left="105"/>
              <w:jc w:val="left"/>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pacing w:val="6"/>
                <w:sz w:val="21"/>
                <w:szCs w:val="21"/>
              </w:rPr>
              <w:t>度办</w:t>
            </w:r>
          </w:p>
          <w:p w14:paraId="1E27B637">
            <w:pPr>
              <w:pStyle w:val="20"/>
              <w:spacing w:line="208" w:lineRule="auto"/>
              <w:ind w:left="105"/>
              <w:jc w:val="left"/>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pacing w:val="6"/>
                <w:sz w:val="21"/>
                <w:szCs w:val="21"/>
              </w:rPr>
              <w:t>理结</w:t>
            </w:r>
          </w:p>
          <w:p w14:paraId="6E7EF913">
            <w:pPr>
              <w:pStyle w:val="20"/>
              <w:spacing w:line="220" w:lineRule="auto"/>
              <w:ind w:left="225"/>
              <w:jc w:val="left"/>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果</w:t>
            </w:r>
          </w:p>
        </w:tc>
        <w:tc>
          <w:tcPr>
            <w:tcW w:w="3626" w:type="dxa"/>
            <w:gridSpan w:val="2"/>
            <w:vAlign w:val="top"/>
          </w:tcPr>
          <w:p w14:paraId="4D745B4D">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(一)予以公开</w:t>
            </w:r>
          </w:p>
        </w:tc>
        <w:tc>
          <w:tcPr>
            <w:tcW w:w="469" w:type="dxa"/>
            <w:vAlign w:val="center"/>
          </w:tcPr>
          <w:p w14:paraId="045E235A">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309AC69D">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54E5E9EA">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2798600B">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14:paraId="0B2F203C">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14:paraId="268A012F">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14:paraId="6455211F">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14:paraId="324C4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14:paraId="412CB62D">
            <w:pPr>
              <w:rPr>
                <w:rFonts w:hint="eastAsia" w:ascii="方正仿宋_GB2312" w:hAnsi="方正仿宋_GB2312" w:eastAsia="方正仿宋_GB2312" w:cs="方正仿宋_GB2312"/>
                <w:color w:val="auto"/>
                <w:sz w:val="21"/>
                <w:szCs w:val="21"/>
              </w:rPr>
            </w:pPr>
          </w:p>
        </w:tc>
        <w:tc>
          <w:tcPr>
            <w:tcW w:w="3626" w:type="dxa"/>
            <w:gridSpan w:val="2"/>
            <w:vAlign w:val="top"/>
          </w:tcPr>
          <w:p w14:paraId="5E2A3532">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(二)部分公开(区分处理的，只计这一情形，不计其他情形)</w:t>
            </w:r>
          </w:p>
        </w:tc>
        <w:tc>
          <w:tcPr>
            <w:tcW w:w="469" w:type="dxa"/>
            <w:vAlign w:val="center"/>
          </w:tcPr>
          <w:p w14:paraId="573DE8E7">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0795A57E">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3740491F">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2E95FB46">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14:paraId="21E99C09">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14:paraId="6D98284C">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14:paraId="735ED90A">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14:paraId="2D196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14:paraId="4A754F6A">
            <w:pPr>
              <w:rPr>
                <w:rFonts w:hint="eastAsia" w:ascii="方正仿宋_GB2312" w:hAnsi="方正仿宋_GB2312" w:eastAsia="方正仿宋_GB2312" w:cs="方正仿宋_GB2312"/>
                <w:color w:val="auto"/>
                <w:sz w:val="21"/>
                <w:szCs w:val="21"/>
              </w:rPr>
            </w:pPr>
          </w:p>
        </w:tc>
        <w:tc>
          <w:tcPr>
            <w:tcW w:w="749" w:type="dxa"/>
            <w:vMerge w:val="restart"/>
            <w:tcBorders>
              <w:bottom w:val="nil"/>
            </w:tcBorders>
            <w:vAlign w:val="center"/>
          </w:tcPr>
          <w:p w14:paraId="40776FD8">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(三)不予公开</w:t>
            </w:r>
          </w:p>
        </w:tc>
        <w:tc>
          <w:tcPr>
            <w:tcW w:w="2877" w:type="dxa"/>
            <w:vAlign w:val="center"/>
          </w:tcPr>
          <w:p w14:paraId="7ED01AD8">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1.属于国家秘密</w:t>
            </w:r>
          </w:p>
        </w:tc>
        <w:tc>
          <w:tcPr>
            <w:tcW w:w="469" w:type="dxa"/>
            <w:vAlign w:val="center"/>
          </w:tcPr>
          <w:p w14:paraId="64103ECE">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55D4F922">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4BB7B765">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7BD076AE">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14:paraId="3FC41323">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14:paraId="6B41EE33">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14:paraId="5E762423">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14:paraId="1D6EA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14:paraId="08D56823">
            <w:pPr>
              <w:rPr>
                <w:rFonts w:hint="eastAsia" w:ascii="方正仿宋_GB2312" w:hAnsi="方正仿宋_GB2312" w:eastAsia="方正仿宋_GB2312" w:cs="方正仿宋_GB2312"/>
                <w:color w:val="auto"/>
                <w:sz w:val="21"/>
                <w:szCs w:val="21"/>
              </w:rPr>
            </w:pPr>
          </w:p>
        </w:tc>
        <w:tc>
          <w:tcPr>
            <w:tcW w:w="749" w:type="dxa"/>
            <w:vMerge w:val="continue"/>
            <w:tcBorders>
              <w:top w:val="nil"/>
              <w:bottom w:val="nil"/>
            </w:tcBorders>
            <w:vAlign w:val="center"/>
          </w:tcPr>
          <w:p w14:paraId="0649133E">
            <w:pPr>
              <w:jc w:val="center"/>
              <w:rPr>
                <w:rFonts w:hint="eastAsia" w:ascii="方正仿宋_GB2312" w:hAnsi="方正仿宋_GB2312" w:eastAsia="方正仿宋_GB2312" w:cs="方正仿宋_GB2312"/>
                <w:color w:val="auto"/>
              </w:rPr>
            </w:pPr>
          </w:p>
        </w:tc>
        <w:tc>
          <w:tcPr>
            <w:tcW w:w="2877" w:type="dxa"/>
            <w:vAlign w:val="center"/>
          </w:tcPr>
          <w:p w14:paraId="3A5E4D1D">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2.其他法律行政法规禁止公开</w:t>
            </w:r>
          </w:p>
        </w:tc>
        <w:tc>
          <w:tcPr>
            <w:tcW w:w="469" w:type="dxa"/>
            <w:vAlign w:val="center"/>
          </w:tcPr>
          <w:p w14:paraId="173688A6">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2BA35074">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4BA1B1A4">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36D3B756">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14:paraId="2A05221D">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14:paraId="0543B216">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14:paraId="769D93E5">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14:paraId="4439F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14:paraId="2F33E475">
            <w:pPr>
              <w:rPr>
                <w:rFonts w:hint="eastAsia" w:ascii="方正仿宋_GB2312" w:hAnsi="方正仿宋_GB2312" w:eastAsia="方正仿宋_GB2312" w:cs="方正仿宋_GB2312"/>
                <w:color w:val="auto"/>
                <w:sz w:val="21"/>
                <w:szCs w:val="21"/>
              </w:rPr>
            </w:pPr>
          </w:p>
        </w:tc>
        <w:tc>
          <w:tcPr>
            <w:tcW w:w="749" w:type="dxa"/>
            <w:vMerge w:val="continue"/>
            <w:tcBorders>
              <w:top w:val="nil"/>
              <w:bottom w:val="nil"/>
            </w:tcBorders>
            <w:vAlign w:val="center"/>
          </w:tcPr>
          <w:p w14:paraId="0DFD9611">
            <w:pPr>
              <w:jc w:val="center"/>
              <w:rPr>
                <w:rFonts w:hint="eastAsia" w:ascii="方正仿宋_GB2312" w:hAnsi="方正仿宋_GB2312" w:eastAsia="方正仿宋_GB2312" w:cs="方正仿宋_GB2312"/>
                <w:color w:val="auto"/>
              </w:rPr>
            </w:pPr>
          </w:p>
        </w:tc>
        <w:tc>
          <w:tcPr>
            <w:tcW w:w="2877" w:type="dxa"/>
            <w:vAlign w:val="center"/>
          </w:tcPr>
          <w:p w14:paraId="30034389">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3.危及“三安全一稳定”</w:t>
            </w:r>
          </w:p>
        </w:tc>
        <w:tc>
          <w:tcPr>
            <w:tcW w:w="469" w:type="dxa"/>
            <w:vAlign w:val="center"/>
          </w:tcPr>
          <w:p w14:paraId="6D0D9C7F">
            <w:pPr>
              <w:jc w:val="center"/>
              <w:rPr>
                <w:rFonts w:hint="default"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474C521E">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744CD1E3">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74FDA4BF">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14:paraId="7B4A1344">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14:paraId="749DB75D">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14:paraId="1C90B5A6">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14:paraId="76B47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14:paraId="36EA9E48">
            <w:pPr>
              <w:rPr>
                <w:rFonts w:hint="eastAsia" w:ascii="方正仿宋_GB2312" w:hAnsi="方正仿宋_GB2312" w:eastAsia="方正仿宋_GB2312" w:cs="方正仿宋_GB2312"/>
                <w:color w:val="auto"/>
                <w:sz w:val="21"/>
                <w:szCs w:val="21"/>
              </w:rPr>
            </w:pPr>
          </w:p>
        </w:tc>
        <w:tc>
          <w:tcPr>
            <w:tcW w:w="749" w:type="dxa"/>
            <w:vMerge w:val="continue"/>
            <w:tcBorders>
              <w:top w:val="nil"/>
              <w:bottom w:val="nil"/>
            </w:tcBorders>
            <w:vAlign w:val="center"/>
          </w:tcPr>
          <w:p w14:paraId="65CA36D5">
            <w:pPr>
              <w:jc w:val="center"/>
              <w:rPr>
                <w:rFonts w:hint="eastAsia" w:ascii="方正仿宋_GB2312" w:hAnsi="方正仿宋_GB2312" w:eastAsia="方正仿宋_GB2312" w:cs="方正仿宋_GB2312"/>
                <w:color w:val="auto"/>
              </w:rPr>
            </w:pPr>
          </w:p>
        </w:tc>
        <w:tc>
          <w:tcPr>
            <w:tcW w:w="2877" w:type="dxa"/>
            <w:vAlign w:val="center"/>
          </w:tcPr>
          <w:p w14:paraId="39F26C73">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4.保护第三方合法权益</w:t>
            </w:r>
          </w:p>
        </w:tc>
        <w:tc>
          <w:tcPr>
            <w:tcW w:w="469" w:type="dxa"/>
            <w:vAlign w:val="center"/>
          </w:tcPr>
          <w:p w14:paraId="2F91FF32">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2A9023E3">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08B7ABD8">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70243615">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14:paraId="2B0E787F">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14:paraId="673611F3">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14:paraId="3A8D751B">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14:paraId="28E1F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14:paraId="76406772">
            <w:pPr>
              <w:rPr>
                <w:rFonts w:hint="eastAsia" w:ascii="方正仿宋_GB2312" w:hAnsi="方正仿宋_GB2312" w:eastAsia="方正仿宋_GB2312" w:cs="方正仿宋_GB2312"/>
                <w:color w:val="auto"/>
                <w:sz w:val="21"/>
                <w:szCs w:val="21"/>
              </w:rPr>
            </w:pPr>
          </w:p>
        </w:tc>
        <w:tc>
          <w:tcPr>
            <w:tcW w:w="749" w:type="dxa"/>
            <w:vMerge w:val="continue"/>
            <w:tcBorders>
              <w:top w:val="nil"/>
              <w:bottom w:val="nil"/>
            </w:tcBorders>
            <w:vAlign w:val="center"/>
          </w:tcPr>
          <w:p w14:paraId="51ADC04F">
            <w:pPr>
              <w:jc w:val="center"/>
              <w:rPr>
                <w:rFonts w:hint="eastAsia" w:ascii="方正仿宋_GB2312" w:hAnsi="方正仿宋_GB2312" w:eastAsia="方正仿宋_GB2312" w:cs="方正仿宋_GB2312"/>
                <w:color w:val="auto"/>
              </w:rPr>
            </w:pPr>
          </w:p>
        </w:tc>
        <w:tc>
          <w:tcPr>
            <w:tcW w:w="2877" w:type="dxa"/>
            <w:vAlign w:val="center"/>
          </w:tcPr>
          <w:p w14:paraId="3603E606">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5.属于三类内部事务信息</w:t>
            </w:r>
          </w:p>
        </w:tc>
        <w:tc>
          <w:tcPr>
            <w:tcW w:w="469" w:type="dxa"/>
            <w:vAlign w:val="center"/>
          </w:tcPr>
          <w:p w14:paraId="3C2636B4">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5F57CC25">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161DD654">
            <w:pPr>
              <w:jc w:val="center"/>
              <w:rPr>
                <w:rFonts w:hint="default"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373EEA27">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14:paraId="5F6D2E7F">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14:paraId="35AB568C">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14:paraId="14611BC1">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14:paraId="09DF7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14:paraId="7CF3EC7F">
            <w:pPr>
              <w:rPr>
                <w:rFonts w:hint="eastAsia" w:ascii="方正仿宋_GB2312" w:hAnsi="方正仿宋_GB2312" w:eastAsia="方正仿宋_GB2312" w:cs="方正仿宋_GB2312"/>
                <w:color w:val="auto"/>
                <w:sz w:val="21"/>
                <w:szCs w:val="21"/>
              </w:rPr>
            </w:pPr>
          </w:p>
        </w:tc>
        <w:tc>
          <w:tcPr>
            <w:tcW w:w="749" w:type="dxa"/>
            <w:vMerge w:val="continue"/>
            <w:tcBorders>
              <w:top w:val="nil"/>
              <w:bottom w:val="nil"/>
            </w:tcBorders>
            <w:vAlign w:val="center"/>
          </w:tcPr>
          <w:p w14:paraId="3563D5E7">
            <w:pPr>
              <w:jc w:val="center"/>
              <w:rPr>
                <w:rFonts w:hint="eastAsia" w:ascii="方正仿宋_GB2312" w:hAnsi="方正仿宋_GB2312" w:eastAsia="方正仿宋_GB2312" w:cs="方正仿宋_GB2312"/>
                <w:color w:val="auto"/>
              </w:rPr>
            </w:pPr>
          </w:p>
        </w:tc>
        <w:tc>
          <w:tcPr>
            <w:tcW w:w="2877" w:type="dxa"/>
            <w:vAlign w:val="center"/>
          </w:tcPr>
          <w:p w14:paraId="469F0984">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6.属于四类过程性信息</w:t>
            </w:r>
          </w:p>
        </w:tc>
        <w:tc>
          <w:tcPr>
            <w:tcW w:w="469" w:type="dxa"/>
            <w:vAlign w:val="center"/>
          </w:tcPr>
          <w:p w14:paraId="7CEEA87B">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48BB9B77">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3E1F9B0C">
            <w:pPr>
              <w:jc w:val="center"/>
              <w:rPr>
                <w:rFonts w:hint="default"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5C606692">
            <w:pPr>
              <w:jc w:val="center"/>
              <w:rPr>
                <w:rFonts w:hint="default"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14:paraId="5E1A5259">
            <w:pPr>
              <w:jc w:val="center"/>
              <w:rPr>
                <w:rFonts w:hint="default"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14:paraId="1CBF180E">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14:paraId="14FC82F1">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14:paraId="7035F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14:paraId="6899C34E">
            <w:pPr>
              <w:rPr>
                <w:rFonts w:hint="eastAsia" w:ascii="方正仿宋_GB2312" w:hAnsi="方正仿宋_GB2312" w:eastAsia="方正仿宋_GB2312" w:cs="方正仿宋_GB2312"/>
                <w:color w:val="auto"/>
                <w:sz w:val="21"/>
                <w:szCs w:val="21"/>
              </w:rPr>
            </w:pPr>
          </w:p>
        </w:tc>
        <w:tc>
          <w:tcPr>
            <w:tcW w:w="749" w:type="dxa"/>
            <w:vMerge w:val="continue"/>
            <w:tcBorders>
              <w:top w:val="nil"/>
              <w:bottom w:val="nil"/>
            </w:tcBorders>
            <w:vAlign w:val="center"/>
          </w:tcPr>
          <w:p w14:paraId="035F0A02">
            <w:pPr>
              <w:jc w:val="center"/>
              <w:rPr>
                <w:rFonts w:hint="eastAsia" w:ascii="方正仿宋_GB2312" w:hAnsi="方正仿宋_GB2312" w:eastAsia="方正仿宋_GB2312" w:cs="方正仿宋_GB2312"/>
                <w:color w:val="auto"/>
              </w:rPr>
            </w:pPr>
          </w:p>
        </w:tc>
        <w:tc>
          <w:tcPr>
            <w:tcW w:w="2877" w:type="dxa"/>
            <w:vAlign w:val="center"/>
          </w:tcPr>
          <w:p w14:paraId="53BB95F4">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7.属于行政执法案卷</w:t>
            </w:r>
          </w:p>
        </w:tc>
        <w:tc>
          <w:tcPr>
            <w:tcW w:w="469" w:type="dxa"/>
            <w:vAlign w:val="center"/>
          </w:tcPr>
          <w:p w14:paraId="187F2C01">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31F49C63">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64B0F043">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22F44868">
            <w:pPr>
              <w:jc w:val="center"/>
              <w:rPr>
                <w:rFonts w:hint="default"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14:paraId="3DA3D187">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14:paraId="7901E7F6">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14:paraId="6B2D7D33">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14:paraId="603F8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14:paraId="29F905F1">
            <w:pPr>
              <w:rPr>
                <w:rFonts w:hint="eastAsia" w:ascii="方正仿宋_GB2312" w:hAnsi="方正仿宋_GB2312" w:eastAsia="方正仿宋_GB2312" w:cs="方正仿宋_GB2312"/>
                <w:color w:val="auto"/>
                <w:sz w:val="21"/>
                <w:szCs w:val="21"/>
              </w:rPr>
            </w:pPr>
          </w:p>
        </w:tc>
        <w:tc>
          <w:tcPr>
            <w:tcW w:w="749" w:type="dxa"/>
            <w:vMerge w:val="continue"/>
            <w:tcBorders>
              <w:top w:val="nil"/>
            </w:tcBorders>
            <w:vAlign w:val="center"/>
          </w:tcPr>
          <w:p w14:paraId="2918AE4C">
            <w:pPr>
              <w:jc w:val="center"/>
              <w:rPr>
                <w:rFonts w:hint="eastAsia" w:ascii="方正仿宋_GB2312" w:hAnsi="方正仿宋_GB2312" w:eastAsia="方正仿宋_GB2312" w:cs="方正仿宋_GB2312"/>
                <w:color w:val="auto"/>
              </w:rPr>
            </w:pPr>
          </w:p>
        </w:tc>
        <w:tc>
          <w:tcPr>
            <w:tcW w:w="2877" w:type="dxa"/>
            <w:vAlign w:val="center"/>
          </w:tcPr>
          <w:p w14:paraId="32F34A2D">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8.属于行政查询事项</w:t>
            </w:r>
          </w:p>
        </w:tc>
        <w:tc>
          <w:tcPr>
            <w:tcW w:w="469" w:type="dxa"/>
            <w:vAlign w:val="center"/>
          </w:tcPr>
          <w:p w14:paraId="5C7688CF">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09DB58C8">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05BFBD5D">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564DAB29">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14:paraId="3DF0703B">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14:paraId="3987550D">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14:paraId="701F9373">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14:paraId="121AB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14:paraId="62FDCD4D">
            <w:pPr>
              <w:rPr>
                <w:rFonts w:hint="eastAsia" w:ascii="方正仿宋_GB2312" w:hAnsi="方正仿宋_GB2312" w:eastAsia="方正仿宋_GB2312" w:cs="方正仿宋_GB2312"/>
                <w:color w:val="auto"/>
                <w:sz w:val="21"/>
                <w:szCs w:val="21"/>
              </w:rPr>
            </w:pPr>
          </w:p>
        </w:tc>
        <w:tc>
          <w:tcPr>
            <w:tcW w:w="749" w:type="dxa"/>
            <w:vMerge w:val="restart"/>
            <w:tcBorders>
              <w:bottom w:val="nil"/>
            </w:tcBorders>
            <w:vAlign w:val="center"/>
          </w:tcPr>
          <w:p w14:paraId="5313613B">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(四)无法提供</w:t>
            </w:r>
          </w:p>
        </w:tc>
        <w:tc>
          <w:tcPr>
            <w:tcW w:w="2877" w:type="dxa"/>
            <w:vAlign w:val="center"/>
          </w:tcPr>
          <w:p w14:paraId="3AEF19D5">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1.本机关不掌握相关政府信息</w:t>
            </w:r>
          </w:p>
        </w:tc>
        <w:tc>
          <w:tcPr>
            <w:tcW w:w="469" w:type="dxa"/>
            <w:vAlign w:val="center"/>
          </w:tcPr>
          <w:p w14:paraId="4ED6BB99">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68095A9D">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04FE146C">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103118F0">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59" w:type="dxa"/>
            <w:vAlign w:val="center"/>
          </w:tcPr>
          <w:p w14:paraId="00D74649">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60" w:type="dxa"/>
            <w:vAlign w:val="center"/>
          </w:tcPr>
          <w:p w14:paraId="783B4A71">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54" w:type="dxa"/>
            <w:vAlign w:val="center"/>
          </w:tcPr>
          <w:p w14:paraId="6CDB6184">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r w14:paraId="5F94A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14:paraId="35B90B90">
            <w:pPr>
              <w:rPr>
                <w:rFonts w:hint="eastAsia" w:ascii="方正仿宋_GB2312" w:hAnsi="方正仿宋_GB2312" w:eastAsia="方正仿宋_GB2312" w:cs="方正仿宋_GB2312"/>
                <w:color w:val="auto"/>
                <w:sz w:val="21"/>
                <w:szCs w:val="21"/>
              </w:rPr>
            </w:pPr>
          </w:p>
        </w:tc>
        <w:tc>
          <w:tcPr>
            <w:tcW w:w="749" w:type="dxa"/>
            <w:vMerge w:val="continue"/>
            <w:tcBorders>
              <w:top w:val="nil"/>
              <w:bottom w:val="nil"/>
            </w:tcBorders>
            <w:vAlign w:val="center"/>
          </w:tcPr>
          <w:p w14:paraId="1237B938">
            <w:pPr>
              <w:jc w:val="center"/>
              <w:rPr>
                <w:rFonts w:hint="eastAsia" w:ascii="方正仿宋_GB2312" w:hAnsi="方正仿宋_GB2312" w:eastAsia="方正仿宋_GB2312" w:cs="方正仿宋_GB2312"/>
                <w:color w:val="auto"/>
              </w:rPr>
            </w:pPr>
          </w:p>
        </w:tc>
        <w:tc>
          <w:tcPr>
            <w:tcW w:w="2877" w:type="dxa"/>
            <w:vAlign w:val="center"/>
          </w:tcPr>
          <w:p w14:paraId="09F672A6">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2.没有现成信息需要另行制作</w:t>
            </w:r>
          </w:p>
        </w:tc>
        <w:tc>
          <w:tcPr>
            <w:tcW w:w="469" w:type="dxa"/>
            <w:vAlign w:val="center"/>
          </w:tcPr>
          <w:p w14:paraId="6F1E31A0">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7A661B55">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4DAB5859">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77D6A0DF">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59" w:type="dxa"/>
            <w:vAlign w:val="center"/>
          </w:tcPr>
          <w:p w14:paraId="62E3F616">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60" w:type="dxa"/>
            <w:vAlign w:val="center"/>
          </w:tcPr>
          <w:p w14:paraId="39731955">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54" w:type="dxa"/>
            <w:vAlign w:val="center"/>
          </w:tcPr>
          <w:p w14:paraId="3010476A">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r w14:paraId="5FE69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14:paraId="06C78169">
            <w:pPr>
              <w:rPr>
                <w:rFonts w:hint="eastAsia" w:ascii="方正仿宋_GB2312" w:hAnsi="方正仿宋_GB2312" w:eastAsia="方正仿宋_GB2312" w:cs="方正仿宋_GB2312"/>
                <w:color w:val="auto"/>
                <w:sz w:val="21"/>
                <w:szCs w:val="21"/>
              </w:rPr>
            </w:pPr>
          </w:p>
        </w:tc>
        <w:tc>
          <w:tcPr>
            <w:tcW w:w="749" w:type="dxa"/>
            <w:vMerge w:val="continue"/>
            <w:tcBorders>
              <w:top w:val="nil"/>
            </w:tcBorders>
            <w:vAlign w:val="center"/>
          </w:tcPr>
          <w:p w14:paraId="0F9DFA88">
            <w:pPr>
              <w:jc w:val="center"/>
              <w:rPr>
                <w:rFonts w:hint="eastAsia" w:ascii="方正仿宋_GB2312" w:hAnsi="方正仿宋_GB2312" w:eastAsia="方正仿宋_GB2312" w:cs="方正仿宋_GB2312"/>
                <w:color w:val="auto"/>
              </w:rPr>
            </w:pPr>
          </w:p>
        </w:tc>
        <w:tc>
          <w:tcPr>
            <w:tcW w:w="2877" w:type="dxa"/>
            <w:vAlign w:val="center"/>
          </w:tcPr>
          <w:p w14:paraId="0773377A">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3.补正后申请内容仍不明确</w:t>
            </w:r>
          </w:p>
        </w:tc>
        <w:tc>
          <w:tcPr>
            <w:tcW w:w="469" w:type="dxa"/>
            <w:vAlign w:val="center"/>
          </w:tcPr>
          <w:p w14:paraId="64FDA91B">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686504C8">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31444416">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228D71D1">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59" w:type="dxa"/>
            <w:vAlign w:val="center"/>
          </w:tcPr>
          <w:p w14:paraId="58E2154A">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60" w:type="dxa"/>
            <w:vAlign w:val="center"/>
          </w:tcPr>
          <w:p w14:paraId="6D8A3670">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54" w:type="dxa"/>
            <w:vAlign w:val="center"/>
          </w:tcPr>
          <w:p w14:paraId="6C82CBB7">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r w14:paraId="78E76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14:paraId="5675CC9A">
            <w:pPr>
              <w:rPr>
                <w:rFonts w:hint="eastAsia" w:ascii="方正仿宋_GB2312" w:hAnsi="方正仿宋_GB2312" w:eastAsia="方正仿宋_GB2312" w:cs="方正仿宋_GB2312"/>
                <w:color w:val="auto"/>
                <w:sz w:val="21"/>
                <w:szCs w:val="21"/>
              </w:rPr>
            </w:pPr>
          </w:p>
        </w:tc>
        <w:tc>
          <w:tcPr>
            <w:tcW w:w="749" w:type="dxa"/>
            <w:vMerge w:val="restart"/>
            <w:tcBorders>
              <w:bottom w:val="nil"/>
            </w:tcBorders>
            <w:vAlign w:val="center"/>
          </w:tcPr>
          <w:p w14:paraId="608DE603">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(五)不予处理</w:t>
            </w:r>
          </w:p>
        </w:tc>
        <w:tc>
          <w:tcPr>
            <w:tcW w:w="2877" w:type="dxa"/>
            <w:vAlign w:val="center"/>
          </w:tcPr>
          <w:p w14:paraId="7F57B4F5">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1.信访举报投诉类申请</w:t>
            </w:r>
          </w:p>
        </w:tc>
        <w:tc>
          <w:tcPr>
            <w:tcW w:w="469" w:type="dxa"/>
            <w:vAlign w:val="center"/>
          </w:tcPr>
          <w:p w14:paraId="7FE03BA2">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362F8AB0">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3ADB4446">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25CC9B1C">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59" w:type="dxa"/>
            <w:vAlign w:val="center"/>
          </w:tcPr>
          <w:p w14:paraId="675DCDB3">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60" w:type="dxa"/>
            <w:vAlign w:val="center"/>
          </w:tcPr>
          <w:p w14:paraId="5AE7F29E">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54" w:type="dxa"/>
            <w:vAlign w:val="center"/>
          </w:tcPr>
          <w:p w14:paraId="7806F612">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r w14:paraId="74331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14:paraId="24F300DC">
            <w:pPr>
              <w:rPr>
                <w:rFonts w:hint="eastAsia" w:ascii="方正仿宋_GB2312" w:hAnsi="方正仿宋_GB2312" w:eastAsia="方正仿宋_GB2312" w:cs="方正仿宋_GB2312"/>
                <w:color w:val="auto"/>
                <w:sz w:val="21"/>
                <w:szCs w:val="21"/>
              </w:rPr>
            </w:pPr>
          </w:p>
        </w:tc>
        <w:tc>
          <w:tcPr>
            <w:tcW w:w="749" w:type="dxa"/>
            <w:vMerge w:val="continue"/>
            <w:tcBorders>
              <w:top w:val="nil"/>
              <w:bottom w:val="nil"/>
            </w:tcBorders>
            <w:vAlign w:val="center"/>
          </w:tcPr>
          <w:p w14:paraId="64E540C8">
            <w:pPr>
              <w:jc w:val="center"/>
              <w:rPr>
                <w:rFonts w:hint="eastAsia" w:ascii="方正仿宋_GB2312" w:hAnsi="方正仿宋_GB2312" w:eastAsia="方正仿宋_GB2312" w:cs="方正仿宋_GB2312"/>
                <w:color w:val="auto"/>
              </w:rPr>
            </w:pPr>
          </w:p>
        </w:tc>
        <w:tc>
          <w:tcPr>
            <w:tcW w:w="2877" w:type="dxa"/>
            <w:vAlign w:val="center"/>
          </w:tcPr>
          <w:p w14:paraId="3BCF350A">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2.重复申请</w:t>
            </w:r>
          </w:p>
        </w:tc>
        <w:tc>
          <w:tcPr>
            <w:tcW w:w="469" w:type="dxa"/>
            <w:vAlign w:val="center"/>
          </w:tcPr>
          <w:p w14:paraId="0D7590B8">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1CFD62E2">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64B15ED5">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4C28EEAF">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59" w:type="dxa"/>
            <w:vAlign w:val="center"/>
          </w:tcPr>
          <w:p w14:paraId="62620EBC">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60" w:type="dxa"/>
            <w:vAlign w:val="center"/>
          </w:tcPr>
          <w:p w14:paraId="04240680">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54" w:type="dxa"/>
            <w:vAlign w:val="center"/>
          </w:tcPr>
          <w:p w14:paraId="481C76F4">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r w14:paraId="089AB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14:paraId="5C19578B">
            <w:pPr>
              <w:rPr>
                <w:rFonts w:hint="eastAsia" w:ascii="方正仿宋_GB2312" w:hAnsi="方正仿宋_GB2312" w:eastAsia="方正仿宋_GB2312" w:cs="方正仿宋_GB2312"/>
                <w:color w:val="auto"/>
                <w:sz w:val="21"/>
                <w:szCs w:val="21"/>
              </w:rPr>
            </w:pPr>
          </w:p>
        </w:tc>
        <w:tc>
          <w:tcPr>
            <w:tcW w:w="749" w:type="dxa"/>
            <w:vMerge w:val="continue"/>
            <w:tcBorders>
              <w:top w:val="nil"/>
              <w:bottom w:val="nil"/>
            </w:tcBorders>
            <w:vAlign w:val="center"/>
          </w:tcPr>
          <w:p w14:paraId="2F1082BC">
            <w:pPr>
              <w:jc w:val="center"/>
              <w:rPr>
                <w:rFonts w:hint="eastAsia" w:ascii="方正仿宋_GB2312" w:hAnsi="方正仿宋_GB2312" w:eastAsia="方正仿宋_GB2312" w:cs="方正仿宋_GB2312"/>
                <w:color w:val="auto"/>
              </w:rPr>
            </w:pPr>
          </w:p>
        </w:tc>
        <w:tc>
          <w:tcPr>
            <w:tcW w:w="2877" w:type="dxa"/>
            <w:vAlign w:val="center"/>
          </w:tcPr>
          <w:p w14:paraId="533453C2">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3.要求提供公开出版物</w:t>
            </w:r>
          </w:p>
        </w:tc>
        <w:tc>
          <w:tcPr>
            <w:tcW w:w="469" w:type="dxa"/>
            <w:vAlign w:val="center"/>
          </w:tcPr>
          <w:p w14:paraId="43537B1A">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0D39EC14">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1B490D07">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57ED0D17">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59" w:type="dxa"/>
            <w:vAlign w:val="center"/>
          </w:tcPr>
          <w:p w14:paraId="27DC1B1C">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60" w:type="dxa"/>
            <w:vAlign w:val="center"/>
          </w:tcPr>
          <w:p w14:paraId="0FDB6E26">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54" w:type="dxa"/>
            <w:vAlign w:val="center"/>
          </w:tcPr>
          <w:p w14:paraId="4D713DDE">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r w14:paraId="2E5D3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14:paraId="6D3B4A16">
            <w:pPr>
              <w:rPr>
                <w:rFonts w:hint="eastAsia" w:ascii="方正仿宋_GB2312" w:hAnsi="方正仿宋_GB2312" w:eastAsia="方正仿宋_GB2312" w:cs="方正仿宋_GB2312"/>
                <w:color w:val="auto"/>
                <w:sz w:val="21"/>
                <w:szCs w:val="21"/>
              </w:rPr>
            </w:pPr>
          </w:p>
        </w:tc>
        <w:tc>
          <w:tcPr>
            <w:tcW w:w="749" w:type="dxa"/>
            <w:vMerge w:val="continue"/>
            <w:tcBorders>
              <w:top w:val="nil"/>
              <w:bottom w:val="nil"/>
            </w:tcBorders>
            <w:vAlign w:val="center"/>
          </w:tcPr>
          <w:p w14:paraId="46A43009">
            <w:pPr>
              <w:jc w:val="center"/>
              <w:rPr>
                <w:rFonts w:hint="eastAsia" w:ascii="方正仿宋_GB2312" w:hAnsi="方正仿宋_GB2312" w:eastAsia="方正仿宋_GB2312" w:cs="方正仿宋_GB2312"/>
                <w:color w:val="auto"/>
              </w:rPr>
            </w:pPr>
          </w:p>
        </w:tc>
        <w:tc>
          <w:tcPr>
            <w:tcW w:w="2877" w:type="dxa"/>
            <w:vAlign w:val="center"/>
          </w:tcPr>
          <w:p w14:paraId="597F4B10">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4.无正当理由大量反复申请</w:t>
            </w:r>
          </w:p>
        </w:tc>
        <w:tc>
          <w:tcPr>
            <w:tcW w:w="469" w:type="dxa"/>
            <w:vAlign w:val="center"/>
          </w:tcPr>
          <w:p w14:paraId="7F8B4B85">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66C785F9">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4ACF22CE">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5CBDF5E6">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59" w:type="dxa"/>
            <w:vAlign w:val="center"/>
          </w:tcPr>
          <w:p w14:paraId="13E25B70">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60" w:type="dxa"/>
            <w:vAlign w:val="center"/>
          </w:tcPr>
          <w:p w14:paraId="0DC0FD4E">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54" w:type="dxa"/>
            <w:vAlign w:val="center"/>
          </w:tcPr>
          <w:p w14:paraId="71C15304">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r w14:paraId="1643E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14:paraId="451CB283">
            <w:pPr>
              <w:rPr>
                <w:rFonts w:hint="eastAsia" w:ascii="方正仿宋_GB2312" w:hAnsi="方正仿宋_GB2312" w:eastAsia="方正仿宋_GB2312" w:cs="方正仿宋_GB2312"/>
                <w:color w:val="auto"/>
                <w:sz w:val="21"/>
                <w:szCs w:val="21"/>
              </w:rPr>
            </w:pPr>
          </w:p>
        </w:tc>
        <w:tc>
          <w:tcPr>
            <w:tcW w:w="749" w:type="dxa"/>
            <w:vMerge w:val="continue"/>
            <w:tcBorders>
              <w:top w:val="nil"/>
            </w:tcBorders>
            <w:vAlign w:val="center"/>
          </w:tcPr>
          <w:p w14:paraId="20BECE8F">
            <w:pPr>
              <w:jc w:val="center"/>
              <w:rPr>
                <w:rFonts w:hint="eastAsia" w:ascii="方正仿宋_GB2312" w:hAnsi="方正仿宋_GB2312" w:eastAsia="方正仿宋_GB2312" w:cs="方正仿宋_GB2312"/>
                <w:color w:val="auto"/>
              </w:rPr>
            </w:pPr>
          </w:p>
        </w:tc>
        <w:tc>
          <w:tcPr>
            <w:tcW w:w="2877" w:type="dxa"/>
            <w:vAlign w:val="center"/>
          </w:tcPr>
          <w:p w14:paraId="00B15CCB">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5.要求行政机关确认或重新出具已获取信息</w:t>
            </w:r>
          </w:p>
        </w:tc>
        <w:tc>
          <w:tcPr>
            <w:tcW w:w="469" w:type="dxa"/>
            <w:vAlign w:val="center"/>
          </w:tcPr>
          <w:p w14:paraId="441FB0F0">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7405F5BD">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22BEE7AE">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09AFC745">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59" w:type="dxa"/>
            <w:vAlign w:val="center"/>
          </w:tcPr>
          <w:p w14:paraId="31812C3C">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60" w:type="dxa"/>
            <w:vAlign w:val="center"/>
          </w:tcPr>
          <w:p w14:paraId="550A40D9">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54" w:type="dxa"/>
            <w:vAlign w:val="center"/>
          </w:tcPr>
          <w:p w14:paraId="3112D13D">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r w14:paraId="53745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14:paraId="4C8D1B2B">
            <w:pPr>
              <w:rPr>
                <w:rFonts w:hint="eastAsia" w:ascii="方正仿宋_GB2312" w:hAnsi="方正仿宋_GB2312" w:eastAsia="方正仿宋_GB2312" w:cs="方正仿宋_GB2312"/>
                <w:color w:val="auto"/>
                <w:sz w:val="21"/>
                <w:szCs w:val="21"/>
              </w:rPr>
            </w:pPr>
          </w:p>
        </w:tc>
        <w:tc>
          <w:tcPr>
            <w:tcW w:w="749" w:type="dxa"/>
            <w:vMerge w:val="restart"/>
            <w:tcBorders>
              <w:bottom w:val="nil"/>
            </w:tcBorders>
            <w:vAlign w:val="center"/>
          </w:tcPr>
          <w:p w14:paraId="05C56073">
            <w:pPr>
              <w:jc w:val="both"/>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(六)其他处理</w:t>
            </w:r>
          </w:p>
        </w:tc>
        <w:tc>
          <w:tcPr>
            <w:tcW w:w="2877" w:type="dxa"/>
            <w:vAlign w:val="center"/>
          </w:tcPr>
          <w:p w14:paraId="75CE4458">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1.申请人无正当理由逾期不补正、行政机关不再处理其政府信息公开申请</w:t>
            </w:r>
          </w:p>
        </w:tc>
        <w:tc>
          <w:tcPr>
            <w:tcW w:w="469" w:type="dxa"/>
            <w:vAlign w:val="center"/>
          </w:tcPr>
          <w:p w14:paraId="1C4A7F3F">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27ACF758">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19919824">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7E667C44">
            <w:pPr>
              <w:jc w:val="center"/>
              <w:rPr>
                <w:rFonts w:hint="default"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14:paraId="6F872974">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14:paraId="2E643107">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14:paraId="2A66C5B9">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14:paraId="17CB9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14:paraId="4F480C3F">
            <w:pPr>
              <w:rPr>
                <w:rFonts w:hint="eastAsia" w:ascii="方正仿宋_GB2312" w:hAnsi="方正仿宋_GB2312" w:eastAsia="方正仿宋_GB2312" w:cs="方正仿宋_GB2312"/>
                <w:color w:val="auto"/>
                <w:sz w:val="21"/>
                <w:szCs w:val="21"/>
              </w:rPr>
            </w:pPr>
          </w:p>
        </w:tc>
        <w:tc>
          <w:tcPr>
            <w:tcW w:w="749" w:type="dxa"/>
            <w:vMerge w:val="continue"/>
            <w:tcBorders>
              <w:top w:val="nil"/>
              <w:bottom w:val="nil"/>
            </w:tcBorders>
            <w:vAlign w:val="top"/>
          </w:tcPr>
          <w:p w14:paraId="43F968AF">
            <w:pPr>
              <w:rPr>
                <w:rFonts w:hint="eastAsia" w:ascii="方正仿宋_GB2312" w:hAnsi="方正仿宋_GB2312" w:eastAsia="方正仿宋_GB2312" w:cs="方正仿宋_GB2312"/>
                <w:color w:val="auto"/>
              </w:rPr>
            </w:pPr>
          </w:p>
        </w:tc>
        <w:tc>
          <w:tcPr>
            <w:tcW w:w="2877" w:type="dxa"/>
            <w:vAlign w:val="center"/>
          </w:tcPr>
          <w:p w14:paraId="044F3CE6">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default"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rPr>
              <w:t>2.申请人逾期未按收费通知要求缴纳费用、行政机关不再处理其政府信息公开申请</w:t>
            </w:r>
            <w:r>
              <w:rPr>
                <w:rFonts w:hint="eastAsia" w:ascii="方正仿宋_GB2312" w:hAnsi="方正仿宋_GB2312" w:eastAsia="方正仿宋_GB2312" w:cs="方正仿宋_GB2312"/>
                <w:color w:val="auto"/>
                <w:lang w:val="en-US" w:eastAsia="zh-CN"/>
              </w:rPr>
              <w:t xml:space="preserve">   </w:t>
            </w:r>
          </w:p>
        </w:tc>
        <w:tc>
          <w:tcPr>
            <w:tcW w:w="469" w:type="dxa"/>
            <w:vAlign w:val="center"/>
          </w:tcPr>
          <w:p w14:paraId="5A2AF6BB">
            <w:pPr>
              <w:jc w:val="center"/>
              <w:rPr>
                <w:rFonts w:hint="default"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76B4556C">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3018A989">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13AEFB41">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14:paraId="51567C21">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14:paraId="0FF814CC">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14:paraId="45EC5A5B">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14:paraId="650A0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14:paraId="7C792605">
            <w:pPr>
              <w:rPr>
                <w:rFonts w:hint="eastAsia" w:ascii="方正仿宋_GB2312" w:hAnsi="方正仿宋_GB2312" w:eastAsia="方正仿宋_GB2312" w:cs="方正仿宋_GB2312"/>
                <w:color w:val="auto"/>
                <w:sz w:val="21"/>
                <w:szCs w:val="21"/>
              </w:rPr>
            </w:pPr>
          </w:p>
        </w:tc>
        <w:tc>
          <w:tcPr>
            <w:tcW w:w="749" w:type="dxa"/>
            <w:vMerge w:val="continue"/>
            <w:tcBorders>
              <w:top w:val="nil"/>
            </w:tcBorders>
            <w:vAlign w:val="top"/>
          </w:tcPr>
          <w:p w14:paraId="10CDD41F">
            <w:pPr>
              <w:rPr>
                <w:rFonts w:hint="eastAsia" w:ascii="方正仿宋_GB2312" w:hAnsi="方正仿宋_GB2312" w:eastAsia="方正仿宋_GB2312" w:cs="方正仿宋_GB2312"/>
                <w:color w:val="auto"/>
              </w:rPr>
            </w:pPr>
          </w:p>
        </w:tc>
        <w:tc>
          <w:tcPr>
            <w:tcW w:w="2877" w:type="dxa"/>
            <w:vAlign w:val="center"/>
          </w:tcPr>
          <w:p w14:paraId="78D86289">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3.其他</w:t>
            </w:r>
          </w:p>
        </w:tc>
        <w:tc>
          <w:tcPr>
            <w:tcW w:w="469" w:type="dxa"/>
            <w:vAlign w:val="center"/>
          </w:tcPr>
          <w:p w14:paraId="5EA63202">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14:paraId="2E75CFEF">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153B5021">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07200291">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59" w:type="dxa"/>
            <w:vAlign w:val="center"/>
          </w:tcPr>
          <w:p w14:paraId="79537926">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60" w:type="dxa"/>
            <w:vAlign w:val="center"/>
          </w:tcPr>
          <w:p w14:paraId="3F2FB457">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54" w:type="dxa"/>
            <w:vAlign w:val="center"/>
          </w:tcPr>
          <w:p w14:paraId="4DB45328">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r w14:paraId="2CB00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tcBorders>
            <w:vAlign w:val="top"/>
          </w:tcPr>
          <w:p w14:paraId="0E213A1D">
            <w:pPr>
              <w:jc w:val="center"/>
              <w:rPr>
                <w:rFonts w:hint="eastAsia" w:ascii="方正仿宋_GB2312" w:hAnsi="方正仿宋_GB2312" w:eastAsia="方正仿宋_GB2312" w:cs="方正仿宋_GB2312"/>
                <w:color w:val="auto"/>
                <w:sz w:val="21"/>
                <w:szCs w:val="21"/>
              </w:rPr>
            </w:pPr>
          </w:p>
        </w:tc>
        <w:tc>
          <w:tcPr>
            <w:tcW w:w="3626" w:type="dxa"/>
            <w:gridSpan w:val="2"/>
            <w:vAlign w:val="center"/>
          </w:tcPr>
          <w:p w14:paraId="2DD7A118">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(七)总计</w:t>
            </w:r>
          </w:p>
        </w:tc>
        <w:tc>
          <w:tcPr>
            <w:tcW w:w="469" w:type="dxa"/>
            <w:vAlign w:val="center"/>
          </w:tcPr>
          <w:p w14:paraId="00D46258">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4D99B2F1">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20E41551">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0BC3D4D1">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59" w:type="dxa"/>
            <w:vAlign w:val="center"/>
          </w:tcPr>
          <w:p w14:paraId="572CA97D">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60" w:type="dxa"/>
            <w:vAlign w:val="center"/>
          </w:tcPr>
          <w:p w14:paraId="7C606BEB">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54" w:type="dxa"/>
            <w:vAlign w:val="center"/>
          </w:tcPr>
          <w:p w14:paraId="57D09251">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r w14:paraId="3038A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361" w:type="dxa"/>
            <w:gridSpan w:val="3"/>
            <w:vAlign w:val="center"/>
          </w:tcPr>
          <w:p w14:paraId="1AE4A3AB">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四、结转下年度继续办理</w:t>
            </w:r>
          </w:p>
        </w:tc>
        <w:tc>
          <w:tcPr>
            <w:tcW w:w="469" w:type="dxa"/>
            <w:vAlign w:val="center"/>
          </w:tcPr>
          <w:p w14:paraId="34697359">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27765546">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282E5B88">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14:paraId="377256E9">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59" w:type="dxa"/>
            <w:vAlign w:val="center"/>
          </w:tcPr>
          <w:p w14:paraId="2D034F19">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60" w:type="dxa"/>
            <w:vAlign w:val="center"/>
          </w:tcPr>
          <w:p w14:paraId="73E6D824">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54" w:type="dxa"/>
            <w:vAlign w:val="center"/>
          </w:tcPr>
          <w:p w14:paraId="6D59E273">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bl>
    <w:p w14:paraId="20D25692">
      <w:pPr>
        <w:keepNext w:val="0"/>
        <w:keepLines w:val="0"/>
        <w:pageBreakBefore w:val="0"/>
        <w:widowControl/>
        <w:kinsoku w:val="0"/>
        <w:wordWrap/>
        <w:overflowPunct/>
        <w:topLinePunct w:val="0"/>
        <w:autoSpaceDE w:val="0"/>
        <w:autoSpaceDN w:val="0"/>
        <w:bidi w:val="0"/>
        <w:adjustRightInd w:val="0"/>
        <w:snapToGrid w:val="0"/>
        <w:spacing w:before="0" w:beforeLines="50"/>
        <w:ind w:firstLine="624" w:firstLineChars="200"/>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pacing w:val="-4"/>
          <w:sz w:val="32"/>
          <w:szCs w:val="32"/>
        </w:rPr>
        <w:t>四、政府信息公开行政复议、行政诉讼情况</w:t>
      </w:r>
    </w:p>
    <w:tbl>
      <w:tblPr>
        <w:tblStyle w:val="21"/>
        <w:tblW w:w="84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5"/>
        <w:gridCol w:w="565"/>
        <w:gridCol w:w="565"/>
        <w:gridCol w:w="565"/>
        <w:gridCol w:w="565"/>
        <w:gridCol w:w="565"/>
        <w:gridCol w:w="565"/>
        <w:gridCol w:w="565"/>
        <w:gridCol w:w="565"/>
        <w:gridCol w:w="565"/>
        <w:gridCol w:w="566"/>
        <w:gridCol w:w="566"/>
        <w:gridCol w:w="566"/>
        <w:gridCol w:w="566"/>
      </w:tblGrid>
      <w:tr w14:paraId="26E5F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2825" w:type="dxa"/>
            <w:gridSpan w:val="5"/>
            <w:vAlign w:val="center"/>
          </w:tcPr>
          <w:p w14:paraId="77E3BE24">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行政复议</w:t>
            </w:r>
          </w:p>
        </w:tc>
        <w:tc>
          <w:tcPr>
            <w:tcW w:w="5654" w:type="dxa"/>
            <w:gridSpan w:val="10"/>
            <w:vAlign w:val="center"/>
          </w:tcPr>
          <w:p w14:paraId="1635F89A">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行政诉讼</w:t>
            </w:r>
          </w:p>
        </w:tc>
      </w:tr>
      <w:tr w14:paraId="4A1BB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565" w:type="dxa"/>
            <w:vMerge w:val="restart"/>
            <w:tcBorders>
              <w:bottom w:val="nil"/>
            </w:tcBorders>
            <w:textDirection w:val="tbRlV"/>
            <w:vAlign w:val="center"/>
          </w:tcPr>
          <w:p w14:paraId="43E4996C">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结果维持</w:t>
            </w:r>
          </w:p>
        </w:tc>
        <w:tc>
          <w:tcPr>
            <w:tcW w:w="565" w:type="dxa"/>
            <w:vMerge w:val="restart"/>
            <w:tcBorders>
              <w:bottom w:val="nil"/>
            </w:tcBorders>
            <w:textDirection w:val="tbRlV"/>
            <w:vAlign w:val="center"/>
          </w:tcPr>
          <w:p w14:paraId="12025884">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结果纠正</w:t>
            </w:r>
          </w:p>
        </w:tc>
        <w:tc>
          <w:tcPr>
            <w:tcW w:w="565" w:type="dxa"/>
            <w:vMerge w:val="restart"/>
            <w:tcBorders>
              <w:bottom w:val="nil"/>
            </w:tcBorders>
            <w:textDirection w:val="tbRlV"/>
            <w:vAlign w:val="center"/>
          </w:tcPr>
          <w:p w14:paraId="64AE3A65">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其他结果</w:t>
            </w:r>
          </w:p>
        </w:tc>
        <w:tc>
          <w:tcPr>
            <w:tcW w:w="565" w:type="dxa"/>
            <w:vMerge w:val="restart"/>
            <w:tcBorders>
              <w:bottom w:val="nil"/>
            </w:tcBorders>
            <w:textDirection w:val="tbRlV"/>
            <w:vAlign w:val="center"/>
          </w:tcPr>
          <w:p w14:paraId="3BD98A7F">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尚未审结</w:t>
            </w:r>
          </w:p>
        </w:tc>
        <w:tc>
          <w:tcPr>
            <w:tcW w:w="565" w:type="dxa"/>
            <w:vMerge w:val="restart"/>
            <w:tcBorders>
              <w:bottom w:val="nil"/>
            </w:tcBorders>
            <w:textDirection w:val="tbRlV"/>
            <w:vAlign w:val="center"/>
          </w:tcPr>
          <w:p w14:paraId="32729702">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总计</w:t>
            </w:r>
          </w:p>
        </w:tc>
        <w:tc>
          <w:tcPr>
            <w:tcW w:w="2825" w:type="dxa"/>
            <w:gridSpan w:val="5"/>
            <w:vAlign w:val="center"/>
          </w:tcPr>
          <w:p w14:paraId="00DC8932">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未经复议直接起诉</w:t>
            </w:r>
          </w:p>
        </w:tc>
        <w:tc>
          <w:tcPr>
            <w:tcW w:w="2829" w:type="dxa"/>
            <w:gridSpan w:val="5"/>
            <w:vAlign w:val="center"/>
          </w:tcPr>
          <w:p w14:paraId="4655880E">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复议后起诉</w:t>
            </w:r>
          </w:p>
        </w:tc>
      </w:tr>
      <w:tr w14:paraId="46484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565" w:type="dxa"/>
            <w:vMerge w:val="continue"/>
            <w:tcBorders>
              <w:top w:val="nil"/>
            </w:tcBorders>
            <w:textDirection w:val="tbRlV"/>
            <w:vAlign w:val="center"/>
          </w:tcPr>
          <w:p w14:paraId="183638C2">
            <w:pPr>
              <w:jc w:val="center"/>
              <w:rPr>
                <w:rFonts w:hint="eastAsia" w:ascii="方正仿宋_GB2312" w:hAnsi="方正仿宋_GB2312" w:eastAsia="方正仿宋_GB2312" w:cs="方正仿宋_GB2312"/>
                <w:color w:val="auto"/>
              </w:rPr>
            </w:pPr>
          </w:p>
        </w:tc>
        <w:tc>
          <w:tcPr>
            <w:tcW w:w="565" w:type="dxa"/>
            <w:vMerge w:val="continue"/>
            <w:tcBorders>
              <w:top w:val="nil"/>
            </w:tcBorders>
            <w:textDirection w:val="tbRlV"/>
            <w:vAlign w:val="center"/>
          </w:tcPr>
          <w:p w14:paraId="7E30D892">
            <w:pPr>
              <w:jc w:val="center"/>
              <w:rPr>
                <w:rFonts w:hint="eastAsia" w:ascii="方正仿宋_GB2312" w:hAnsi="方正仿宋_GB2312" w:eastAsia="方正仿宋_GB2312" w:cs="方正仿宋_GB2312"/>
                <w:color w:val="auto"/>
              </w:rPr>
            </w:pPr>
          </w:p>
        </w:tc>
        <w:tc>
          <w:tcPr>
            <w:tcW w:w="565" w:type="dxa"/>
            <w:vMerge w:val="continue"/>
            <w:tcBorders>
              <w:top w:val="nil"/>
            </w:tcBorders>
            <w:textDirection w:val="tbRlV"/>
            <w:vAlign w:val="center"/>
          </w:tcPr>
          <w:p w14:paraId="603DB380">
            <w:pPr>
              <w:jc w:val="center"/>
              <w:rPr>
                <w:rFonts w:hint="eastAsia" w:ascii="方正仿宋_GB2312" w:hAnsi="方正仿宋_GB2312" w:eastAsia="方正仿宋_GB2312" w:cs="方正仿宋_GB2312"/>
                <w:color w:val="auto"/>
              </w:rPr>
            </w:pPr>
          </w:p>
        </w:tc>
        <w:tc>
          <w:tcPr>
            <w:tcW w:w="565" w:type="dxa"/>
            <w:vMerge w:val="continue"/>
            <w:tcBorders>
              <w:top w:val="nil"/>
            </w:tcBorders>
            <w:textDirection w:val="tbRlV"/>
            <w:vAlign w:val="center"/>
          </w:tcPr>
          <w:p w14:paraId="7750243D">
            <w:pPr>
              <w:jc w:val="center"/>
              <w:rPr>
                <w:rFonts w:hint="eastAsia" w:ascii="方正仿宋_GB2312" w:hAnsi="方正仿宋_GB2312" w:eastAsia="方正仿宋_GB2312" w:cs="方正仿宋_GB2312"/>
                <w:color w:val="auto"/>
              </w:rPr>
            </w:pPr>
          </w:p>
        </w:tc>
        <w:tc>
          <w:tcPr>
            <w:tcW w:w="565" w:type="dxa"/>
            <w:vMerge w:val="continue"/>
            <w:tcBorders>
              <w:top w:val="nil"/>
            </w:tcBorders>
            <w:textDirection w:val="tbRlV"/>
            <w:vAlign w:val="center"/>
          </w:tcPr>
          <w:p w14:paraId="32033068">
            <w:pPr>
              <w:jc w:val="center"/>
              <w:rPr>
                <w:rFonts w:hint="eastAsia" w:ascii="方正仿宋_GB2312" w:hAnsi="方正仿宋_GB2312" w:eastAsia="方正仿宋_GB2312" w:cs="方正仿宋_GB2312"/>
                <w:color w:val="auto"/>
              </w:rPr>
            </w:pPr>
          </w:p>
        </w:tc>
        <w:tc>
          <w:tcPr>
            <w:tcW w:w="565" w:type="dxa"/>
            <w:textDirection w:val="tbRlV"/>
            <w:vAlign w:val="center"/>
          </w:tcPr>
          <w:p w14:paraId="00476834">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结果维持</w:t>
            </w:r>
          </w:p>
        </w:tc>
        <w:tc>
          <w:tcPr>
            <w:tcW w:w="565" w:type="dxa"/>
            <w:textDirection w:val="tbRlV"/>
            <w:vAlign w:val="center"/>
          </w:tcPr>
          <w:p w14:paraId="22F49761">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结果纠正</w:t>
            </w:r>
          </w:p>
        </w:tc>
        <w:tc>
          <w:tcPr>
            <w:tcW w:w="565" w:type="dxa"/>
            <w:textDirection w:val="tbRlV"/>
            <w:vAlign w:val="center"/>
          </w:tcPr>
          <w:p w14:paraId="244DA6BA">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其他结果</w:t>
            </w:r>
          </w:p>
        </w:tc>
        <w:tc>
          <w:tcPr>
            <w:tcW w:w="565" w:type="dxa"/>
            <w:textDirection w:val="tbRlV"/>
            <w:vAlign w:val="center"/>
          </w:tcPr>
          <w:p w14:paraId="5D812D67">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尚未审结</w:t>
            </w:r>
          </w:p>
        </w:tc>
        <w:tc>
          <w:tcPr>
            <w:tcW w:w="565" w:type="dxa"/>
            <w:textDirection w:val="tbRlV"/>
            <w:vAlign w:val="center"/>
          </w:tcPr>
          <w:p w14:paraId="310D9EC4">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总计</w:t>
            </w:r>
          </w:p>
        </w:tc>
        <w:tc>
          <w:tcPr>
            <w:tcW w:w="565" w:type="dxa"/>
            <w:textDirection w:val="tbRlV"/>
            <w:vAlign w:val="center"/>
          </w:tcPr>
          <w:p w14:paraId="3D9EACEF">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结果维持</w:t>
            </w:r>
          </w:p>
        </w:tc>
        <w:tc>
          <w:tcPr>
            <w:tcW w:w="566" w:type="dxa"/>
            <w:textDirection w:val="tbRlV"/>
            <w:vAlign w:val="center"/>
          </w:tcPr>
          <w:p w14:paraId="70486B7E">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结果纠正</w:t>
            </w:r>
          </w:p>
        </w:tc>
        <w:tc>
          <w:tcPr>
            <w:tcW w:w="566" w:type="dxa"/>
            <w:textDirection w:val="tbRlV"/>
            <w:vAlign w:val="center"/>
          </w:tcPr>
          <w:p w14:paraId="00DB9F6F">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其他结果</w:t>
            </w:r>
          </w:p>
        </w:tc>
        <w:tc>
          <w:tcPr>
            <w:tcW w:w="566" w:type="dxa"/>
            <w:textDirection w:val="tbRlV"/>
            <w:vAlign w:val="center"/>
          </w:tcPr>
          <w:p w14:paraId="2C34561A">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尚未审结</w:t>
            </w:r>
          </w:p>
        </w:tc>
        <w:tc>
          <w:tcPr>
            <w:tcW w:w="566" w:type="dxa"/>
            <w:textDirection w:val="tbRlV"/>
            <w:vAlign w:val="center"/>
          </w:tcPr>
          <w:p w14:paraId="02D3FBE0">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总计</w:t>
            </w:r>
          </w:p>
        </w:tc>
      </w:tr>
      <w:tr w14:paraId="6E046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5" w:type="dxa"/>
            <w:vAlign w:val="center"/>
          </w:tcPr>
          <w:p w14:paraId="3C8CBF5B">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5" w:type="dxa"/>
            <w:vAlign w:val="center"/>
          </w:tcPr>
          <w:p w14:paraId="43184416">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5" w:type="dxa"/>
            <w:vAlign w:val="center"/>
          </w:tcPr>
          <w:p w14:paraId="120E6CC4">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5" w:type="dxa"/>
            <w:vAlign w:val="center"/>
          </w:tcPr>
          <w:p w14:paraId="01C091F5">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5" w:type="dxa"/>
            <w:vAlign w:val="center"/>
          </w:tcPr>
          <w:p w14:paraId="1449242E">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5" w:type="dxa"/>
            <w:vAlign w:val="center"/>
          </w:tcPr>
          <w:p w14:paraId="2E99F51E">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5" w:type="dxa"/>
            <w:vAlign w:val="center"/>
          </w:tcPr>
          <w:p w14:paraId="2CB95DA4">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5" w:type="dxa"/>
            <w:vAlign w:val="center"/>
          </w:tcPr>
          <w:p w14:paraId="65A08426">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5" w:type="dxa"/>
            <w:vAlign w:val="center"/>
          </w:tcPr>
          <w:p w14:paraId="2F889D40">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5" w:type="dxa"/>
            <w:vAlign w:val="center"/>
          </w:tcPr>
          <w:p w14:paraId="23FF02BD">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5" w:type="dxa"/>
            <w:vAlign w:val="center"/>
          </w:tcPr>
          <w:p w14:paraId="0691DFD2">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6" w:type="dxa"/>
            <w:vAlign w:val="center"/>
          </w:tcPr>
          <w:p w14:paraId="242BF482">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6" w:type="dxa"/>
            <w:vAlign w:val="center"/>
          </w:tcPr>
          <w:p w14:paraId="76577B0A">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6" w:type="dxa"/>
            <w:vAlign w:val="center"/>
          </w:tcPr>
          <w:p w14:paraId="52DC18F0">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6" w:type="dxa"/>
            <w:vAlign w:val="center"/>
          </w:tcPr>
          <w:p w14:paraId="17E7F13A">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bl>
    <w:p w14:paraId="234B861E">
      <w:pPr>
        <w:spacing w:before="151" w:line="222" w:lineRule="auto"/>
        <w:ind w:left="749"/>
        <w:outlineLvl w:val="1"/>
        <w:rPr>
          <w:rFonts w:ascii="黑体" w:hAnsi="黑体" w:eastAsia="黑体" w:cs="黑体"/>
          <w:color w:val="auto"/>
          <w:sz w:val="32"/>
          <w:szCs w:val="32"/>
        </w:rPr>
      </w:pPr>
      <w:r>
        <w:rPr>
          <w:rFonts w:ascii="黑体" w:hAnsi="黑体" w:eastAsia="黑体" w:cs="黑体"/>
          <w:b w:val="0"/>
          <w:bCs w:val="0"/>
          <w:color w:val="auto"/>
          <w:spacing w:val="-8"/>
          <w:sz w:val="32"/>
          <w:szCs w:val="32"/>
        </w:rPr>
        <w:t>五、存在的主要问题及改进情况</w:t>
      </w:r>
    </w:p>
    <w:p w14:paraId="32CE94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rPr>
        <w:t>对标政府信息公开高质量发展要求，我局</w:t>
      </w:r>
      <w:r>
        <w:rPr>
          <w:rFonts w:hint="eastAsia" w:ascii="仿宋_GB2312" w:hAnsi="仿宋_GB2312" w:eastAsia="仿宋_GB2312" w:cs="仿宋_GB2312"/>
          <w:i w:val="0"/>
          <w:iCs w:val="0"/>
          <w:caps w:val="0"/>
          <w:color w:val="333333"/>
          <w:spacing w:val="0"/>
          <w:sz w:val="32"/>
          <w:szCs w:val="32"/>
          <w:shd w:val="clear" w:fill="FFFFFF"/>
          <w:lang w:eastAsia="zh-CN"/>
        </w:rPr>
        <w:t>信息公开的主动性仍然不够，</w:t>
      </w:r>
      <w:r>
        <w:rPr>
          <w:rFonts w:hint="eastAsia" w:ascii="仿宋_GB2312" w:hAnsi="仿宋_GB2312" w:eastAsia="仿宋_GB2312" w:cs="仿宋_GB2312"/>
          <w:i w:val="0"/>
          <w:iCs w:val="0"/>
          <w:caps w:val="0"/>
          <w:color w:val="333333"/>
          <w:spacing w:val="0"/>
          <w:sz w:val="32"/>
          <w:szCs w:val="32"/>
          <w:shd w:val="clear" w:fill="FFFFFF"/>
        </w:rPr>
        <w:t>信息公开广度深度还需强化</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信息报送的标准质量不高、总结提炼不够等问题。下一步，我局将认真落实党中央、国务院和</w:t>
      </w:r>
      <w:r>
        <w:rPr>
          <w:rFonts w:hint="eastAsia" w:ascii="仿宋_GB2312" w:hAnsi="仿宋_GB2312" w:eastAsia="仿宋_GB2312" w:cs="仿宋_GB2312"/>
          <w:i w:val="0"/>
          <w:iCs w:val="0"/>
          <w:caps w:val="0"/>
          <w:color w:val="333333"/>
          <w:spacing w:val="0"/>
          <w:sz w:val="32"/>
          <w:szCs w:val="32"/>
          <w:shd w:val="clear" w:fill="FFFFFF"/>
          <w:lang w:eastAsia="zh-CN"/>
        </w:rPr>
        <w:t>自治区党</w:t>
      </w:r>
      <w:r>
        <w:rPr>
          <w:rFonts w:hint="eastAsia" w:ascii="仿宋_GB2312" w:hAnsi="仿宋_GB2312" w:eastAsia="仿宋_GB2312" w:cs="仿宋_GB2312"/>
          <w:i w:val="0"/>
          <w:iCs w:val="0"/>
          <w:caps w:val="0"/>
          <w:color w:val="333333"/>
          <w:spacing w:val="0"/>
          <w:sz w:val="32"/>
          <w:szCs w:val="32"/>
          <w:shd w:val="clear" w:fill="FFFFFF"/>
        </w:rPr>
        <w:t>委</w:t>
      </w:r>
      <w:r>
        <w:rPr>
          <w:rFonts w:hint="eastAsia" w:ascii="仿宋_GB2312" w:hAnsi="仿宋_GB2312" w:eastAsia="仿宋_GB2312" w:cs="仿宋_GB2312"/>
          <w:i w:val="0"/>
          <w:iCs w:val="0"/>
          <w:caps w:val="0"/>
          <w:color w:val="333333"/>
          <w:spacing w:val="0"/>
          <w:sz w:val="32"/>
          <w:szCs w:val="32"/>
          <w:shd w:val="clear" w:fill="FFFFFF"/>
          <w:lang w:eastAsia="zh-CN"/>
        </w:rPr>
        <w:t>、自治区</w:t>
      </w:r>
      <w:r>
        <w:rPr>
          <w:rFonts w:hint="eastAsia" w:ascii="仿宋_GB2312" w:hAnsi="仿宋_GB2312" w:eastAsia="仿宋_GB2312" w:cs="仿宋_GB2312"/>
          <w:i w:val="0"/>
          <w:iCs w:val="0"/>
          <w:caps w:val="0"/>
          <w:color w:val="333333"/>
          <w:spacing w:val="0"/>
          <w:sz w:val="32"/>
          <w:szCs w:val="32"/>
          <w:shd w:val="clear" w:fill="FFFFFF"/>
        </w:rPr>
        <w:t>政府决策部署，加大机关事务领域政务公开力度，优化方法、谋实举措，推动政府信息公开工作迈上新台阶。一是强化信息公开意识。认真贯彻《中华人民共和国政府信息公开条例》，规范政府信息公开申请办理，做好沟通对接，准确了解申请诉求，提高答复的及时性、准确性。</w:t>
      </w:r>
      <w:r>
        <w:rPr>
          <w:rFonts w:hint="eastAsia" w:ascii="仿宋_GB2312" w:hAnsi="仿宋_GB2312" w:eastAsia="仿宋_GB2312" w:cs="仿宋_GB2312"/>
          <w:i w:val="0"/>
          <w:iCs w:val="0"/>
          <w:caps w:val="0"/>
          <w:color w:val="333333"/>
          <w:spacing w:val="0"/>
          <w:sz w:val="32"/>
          <w:szCs w:val="32"/>
          <w:shd w:val="clear" w:fill="FFFFFF"/>
          <w:lang w:eastAsia="zh-CN"/>
        </w:rPr>
        <w:t>二是围绕机关事务重点，提升公开质量。继续做好法定主动公开，及时规范、完整准确地做好机关事务管理信息公开。三</w:t>
      </w:r>
      <w:r>
        <w:rPr>
          <w:rFonts w:hint="eastAsia" w:ascii="仿宋_GB2312" w:hAnsi="仿宋_GB2312" w:eastAsia="仿宋_GB2312" w:cs="仿宋_GB2312"/>
          <w:i w:val="0"/>
          <w:iCs w:val="0"/>
          <w:caps w:val="0"/>
          <w:color w:val="333333"/>
          <w:spacing w:val="0"/>
          <w:sz w:val="32"/>
          <w:szCs w:val="32"/>
          <w:shd w:val="clear" w:fill="FFFFFF"/>
        </w:rPr>
        <w:t>是继续加大组织领导，强化队伍建设。进一步强化政务公开组织领导和力量建设，加大业务能力学习培训</w:t>
      </w:r>
      <w:r>
        <w:rPr>
          <w:rFonts w:hint="eastAsia" w:ascii="仿宋_GB2312" w:hAnsi="仿宋_GB2312" w:eastAsia="仿宋_GB2312" w:cs="仿宋_GB2312"/>
          <w:i w:val="0"/>
          <w:iCs w:val="0"/>
          <w:caps w:val="0"/>
          <w:color w:val="333333"/>
          <w:spacing w:val="0"/>
          <w:sz w:val="32"/>
          <w:szCs w:val="32"/>
          <w:shd w:val="clear" w:fill="FFFFFF"/>
          <w:lang w:eastAsia="zh-CN"/>
        </w:rPr>
        <w:t>。</w:t>
      </w:r>
    </w:p>
    <w:p w14:paraId="6EFE97B6">
      <w:pPr>
        <w:spacing w:before="151" w:line="222" w:lineRule="auto"/>
        <w:ind w:left="749"/>
        <w:outlineLvl w:val="1"/>
        <w:rPr>
          <w:rFonts w:hint="eastAsia" w:ascii="黑体" w:hAnsi="黑体" w:eastAsia="黑体" w:cs="黑体"/>
          <w:b w:val="0"/>
          <w:bCs w:val="0"/>
          <w:color w:val="auto"/>
          <w:spacing w:val="-8"/>
          <w:sz w:val="32"/>
          <w:szCs w:val="32"/>
        </w:rPr>
      </w:pPr>
      <w:r>
        <w:rPr>
          <w:rFonts w:hint="eastAsia" w:ascii="黑体" w:hAnsi="黑体" w:eastAsia="黑体" w:cs="黑体"/>
          <w:b w:val="0"/>
          <w:bCs w:val="0"/>
          <w:color w:val="auto"/>
          <w:spacing w:val="-8"/>
          <w:sz w:val="32"/>
          <w:szCs w:val="32"/>
        </w:rPr>
        <w:t>六、其他需要报告的事项</w:t>
      </w:r>
    </w:p>
    <w:p w14:paraId="7AD6F51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
          <w:color w:val="auto"/>
          <w:sz w:val="32"/>
          <w:szCs w:val="32"/>
        </w:rPr>
        <w:t>202</w:t>
      </w:r>
      <w:r>
        <w:rPr>
          <w:rFonts w:hint="eastAsia" w:ascii="仿宋_GB2312" w:hAnsi="仿宋_GB2312" w:eastAsia="仿宋_GB2312" w:cs="仿宋"/>
          <w:color w:val="auto"/>
          <w:sz w:val="32"/>
          <w:szCs w:val="32"/>
          <w:lang w:val="en-US" w:eastAsia="zh-CN"/>
        </w:rPr>
        <w:t>4</w:t>
      </w:r>
      <w:r>
        <w:rPr>
          <w:rFonts w:hint="eastAsia" w:ascii="仿宋_GB2312" w:hAnsi="仿宋_GB2312" w:eastAsia="仿宋_GB2312" w:cs="仿宋"/>
          <w:color w:val="auto"/>
          <w:sz w:val="32"/>
          <w:szCs w:val="32"/>
        </w:rPr>
        <w:t>年度</w:t>
      </w:r>
      <w:r>
        <w:rPr>
          <w:rFonts w:hint="eastAsia" w:ascii="仿宋_GB2312" w:hAnsi="仿宋_GB2312" w:eastAsia="仿宋_GB2312" w:cs="仿宋"/>
          <w:color w:val="auto"/>
          <w:sz w:val="32"/>
          <w:szCs w:val="32"/>
          <w:lang w:eastAsia="zh-CN"/>
        </w:rPr>
        <w:t>，</w:t>
      </w:r>
      <w:r>
        <w:rPr>
          <w:rFonts w:hint="eastAsia" w:ascii="仿宋_GB2312" w:hAnsi="仿宋_GB2312" w:eastAsia="仿宋_GB2312" w:cs="仿宋_GB2312"/>
          <w:color w:val="auto"/>
          <w:sz w:val="32"/>
          <w:szCs w:val="32"/>
        </w:rPr>
        <w:t>我局未收到依申请公开信息的申请</w:t>
      </w:r>
      <w:r>
        <w:rPr>
          <w:rFonts w:hint="eastAsia" w:ascii="仿宋_GB2312" w:hAnsi="仿宋_GB2312" w:eastAsia="仿宋_GB2312" w:cs="仿宋_GB2312"/>
          <w:color w:val="auto"/>
          <w:sz w:val="32"/>
          <w:szCs w:val="32"/>
          <w:lang w:eastAsia="zh-CN"/>
        </w:rPr>
        <w:t>，本年度本机关</w:t>
      </w:r>
      <w:r>
        <w:rPr>
          <w:rFonts w:hint="eastAsia" w:ascii="仿宋_GB2312" w:hAnsi="仿宋_GB2312" w:eastAsia="仿宋_GB2312" w:cs="仿宋"/>
          <w:color w:val="auto"/>
          <w:sz w:val="32"/>
          <w:szCs w:val="32"/>
        </w:rPr>
        <w:t>未收取信息处理费。</w:t>
      </w:r>
    </w:p>
    <w:p w14:paraId="79137ECF">
      <w:pPr>
        <w:pStyle w:val="13"/>
        <w:rPr>
          <w:rFonts w:hint="eastAsia" w:ascii="仿宋_GB2312" w:hAnsi="仿宋_GB2312" w:eastAsia="仿宋_GB2312" w:cs="仿宋_GB2312"/>
          <w:color w:val="auto"/>
          <w:sz w:val="32"/>
          <w:szCs w:val="32"/>
          <w:lang w:val="en-US" w:eastAsia="en-US"/>
        </w:rPr>
      </w:pPr>
    </w:p>
    <w:p w14:paraId="3DB737AA">
      <w:pPr>
        <w:pStyle w:val="13"/>
        <w:ind w:left="0" w:leftChars="0" w:firstLine="0" w:firstLineChars="0"/>
        <w:rPr>
          <w:rFonts w:hint="eastAsia" w:ascii="仿宋_GB2312" w:hAnsi="仿宋_GB2312" w:eastAsia="仿宋_GB2312" w:cs="仿宋_GB2312"/>
          <w:color w:val="auto"/>
          <w:sz w:val="32"/>
          <w:szCs w:val="32"/>
          <w:lang w:val="en-US" w:eastAsia="en-US"/>
        </w:rPr>
      </w:pPr>
    </w:p>
    <w:p w14:paraId="5861EB8C">
      <w:pPr>
        <w:pStyle w:val="13"/>
        <w:wordWrap w:val="0"/>
        <w:ind w:left="0" w:leftChars="0" w:firstLine="0" w:firstLineChars="0"/>
        <w:jc w:val="righ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 w:eastAsia="zh-CN"/>
        </w:rPr>
        <w:t>和田地区机关事务管理局</w:t>
      </w:r>
      <w:r>
        <w:rPr>
          <w:rFonts w:hint="eastAsia" w:ascii="仿宋_GB2312" w:hAnsi="仿宋_GB2312" w:eastAsia="仿宋_GB2312" w:cs="仿宋_GB2312"/>
          <w:color w:val="auto"/>
          <w:sz w:val="32"/>
          <w:szCs w:val="32"/>
          <w:lang w:val="en-US" w:eastAsia="zh-CN"/>
        </w:rPr>
        <w:t xml:space="preserve">    </w:t>
      </w:r>
    </w:p>
    <w:p w14:paraId="1F3E55B2">
      <w:pPr>
        <w:pStyle w:val="13"/>
        <w:wordWrap w:val="0"/>
        <w:ind w:left="0" w:leftChars="0" w:firstLine="0" w:firstLineChars="0"/>
        <w:jc w:val="righ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2025年1月15日        </w:t>
      </w:r>
      <w:bookmarkStart w:id="0" w:name="_GoBack"/>
      <w:bookmarkEnd w:id="0"/>
    </w:p>
    <w:p w14:paraId="14698DE9">
      <w:pPr>
        <w:ind w:left="0" w:leftChars="0" w:firstLine="0" w:firstLineChars="0"/>
      </w:pPr>
    </w:p>
    <w:sectPr>
      <w:footerReference r:id="rId5" w:type="default"/>
      <w:pgSz w:w="11905" w:h="16838"/>
      <w:pgMar w:top="2098" w:right="1474" w:bottom="1984" w:left="1587" w:header="0" w:footer="1071"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ESI宋体-GB18030">
    <w:altName w:val="宋体"/>
    <w:panose1 w:val="02000500000000000000"/>
    <w:charset w:val="86"/>
    <w:family w:val="auto"/>
    <w:pitch w:val="default"/>
    <w:sig w:usb0="00000000" w:usb1="00000000" w:usb2="00000016" w:usb3="00000000" w:csb0="0004000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90C7A">
    <w:pPr>
      <w:spacing w:line="183" w:lineRule="auto"/>
      <w:ind w:left="4204"/>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C1D20">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E6C1D20">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9182C"/>
    <w:rsid w:val="0154758E"/>
    <w:rsid w:val="023E4E89"/>
    <w:rsid w:val="030F4335"/>
    <w:rsid w:val="0444449D"/>
    <w:rsid w:val="04A65D51"/>
    <w:rsid w:val="04F81400"/>
    <w:rsid w:val="058A6CC0"/>
    <w:rsid w:val="0FE96979"/>
    <w:rsid w:val="12407D94"/>
    <w:rsid w:val="12977C86"/>
    <w:rsid w:val="12C06AD2"/>
    <w:rsid w:val="134C5E5F"/>
    <w:rsid w:val="17083D56"/>
    <w:rsid w:val="17327B4B"/>
    <w:rsid w:val="1C1A2172"/>
    <w:rsid w:val="1E150271"/>
    <w:rsid w:val="20FB4567"/>
    <w:rsid w:val="213E1167"/>
    <w:rsid w:val="214D0D7D"/>
    <w:rsid w:val="2159182C"/>
    <w:rsid w:val="22A125DA"/>
    <w:rsid w:val="281B682E"/>
    <w:rsid w:val="2848086C"/>
    <w:rsid w:val="28C421E4"/>
    <w:rsid w:val="2AC44300"/>
    <w:rsid w:val="2B356253"/>
    <w:rsid w:val="2D104AA9"/>
    <w:rsid w:val="2DDF2491"/>
    <w:rsid w:val="2E4F04E8"/>
    <w:rsid w:val="2E85727F"/>
    <w:rsid w:val="335C036C"/>
    <w:rsid w:val="33EE53DC"/>
    <w:rsid w:val="34B36604"/>
    <w:rsid w:val="36A06B36"/>
    <w:rsid w:val="372A777B"/>
    <w:rsid w:val="3BAF6458"/>
    <w:rsid w:val="404A12AD"/>
    <w:rsid w:val="41CA1819"/>
    <w:rsid w:val="42693CB9"/>
    <w:rsid w:val="42F727CB"/>
    <w:rsid w:val="46623459"/>
    <w:rsid w:val="48090DB7"/>
    <w:rsid w:val="48CC0051"/>
    <w:rsid w:val="491662E2"/>
    <w:rsid w:val="4AAF492E"/>
    <w:rsid w:val="4AB1742B"/>
    <w:rsid w:val="4B2C0B77"/>
    <w:rsid w:val="4FCE1A58"/>
    <w:rsid w:val="506C79F2"/>
    <w:rsid w:val="53AE0071"/>
    <w:rsid w:val="543350B2"/>
    <w:rsid w:val="561403EB"/>
    <w:rsid w:val="5D062FF5"/>
    <w:rsid w:val="6042714D"/>
    <w:rsid w:val="61546909"/>
    <w:rsid w:val="61595E42"/>
    <w:rsid w:val="616457AD"/>
    <w:rsid w:val="61970D4F"/>
    <w:rsid w:val="64DF7F5B"/>
    <w:rsid w:val="64ED4C7E"/>
    <w:rsid w:val="676F2654"/>
    <w:rsid w:val="69461668"/>
    <w:rsid w:val="69DA34DA"/>
    <w:rsid w:val="6BB3327C"/>
    <w:rsid w:val="6DC8294F"/>
    <w:rsid w:val="6E9B3F2D"/>
    <w:rsid w:val="6F1B630C"/>
    <w:rsid w:val="6FA347CE"/>
    <w:rsid w:val="707A5697"/>
    <w:rsid w:val="71DA65C5"/>
    <w:rsid w:val="73740045"/>
    <w:rsid w:val="764D7898"/>
    <w:rsid w:val="777D4AD2"/>
    <w:rsid w:val="7E227B7D"/>
    <w:rsid w:val="7FEA1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6"/>
    <w:qFormat/>
    <w:uiPriority w:val="0"/>
    <w:pPr>
      <w:keepNext/>
      <w:keepLines/>
      <w:spacing w:beforeLines="0" w:beforeAutospacing="0" w:afterLines="0" w:afterAutospacing="0" w:line="700" w:lineRule="exact"/>
      <w:ind w:firstLine="0" w:firstLineChars="0"/>
      <w:jc w:val="center"/>
      <w:outlineLvl w:val="0"/>
    </w:pPr>
    <w:rPr>
      <w:rFonts w:eastAsia="方正小标宋简体"/>
      <w:kern w:val="44"/>
      <w:sz w:val="44"/>
      <w:szCs w:val="22"/>
    </w:rPr>
  </w:style>
  <w:style w:type="paragraph" w:styleId="4">
    <w:name w:val="heading 2"/>
    <w:basedOn w:val="1"/>
    <w:next w:val="1"/>
    <w:link w:val="18"/>
    <w:unhideWhenUsed/>
    <w:qFormat/>
    <w:uiPriority w:val="0"/>
    <w:pPr>
      <w:keepNext/>
      <w:keepLines/>
      <w:adjustRightInd/>
      <w:snapToGrid/>
      <w:spacing w:beforeLines="0" w:beforeAutospacing="0" w:afterLines="0" w:afterAutospacing="0" w:line="560" w:lineRule="exact"/>
      <w:ind w:firstLine="640" w:firstLineChars="200"/>
      <w:jc w:val="left"/>
      <w:outlineLvl w:val="1"/>
    </w:pPr>
    <w:rPr>
      <w:rFonts w:ascii="Arial" w:hAnsi="Arial" w:eastAsia="黑体" w:cstheme="minorBidi"/>
      <w:sz w:val="32"/>
    </w:rPr>
  </w:style>
  <w:style w:type="paragraph" w:styleId="5">
    <w:name w:val="heading 3"/>
    <w:basedOn w:val="1"/>
    <w:next w:val="1"/>
    <w:link w:val="19"/>
    <w:semiHidden/>
    <w:unhideWhenUsed/>
    <w:qFormat/>
    <w:uiPriority w:val="0"/>
    <w:pPr>
      <w:keepNext/>
      <w:keepLines/>
      <w:spacing w:beforeLines="0" w:beforeAutospacing="0" w:afterLines="0" w:afterAutospacing="0" w:line="560" w:lineRule="exact"/>
      <w:jc w:val="left"/>
      <w:outlineLvl w:val="2"/>
    </w:pPr>
    <w:rPr>
      <w:rFonts w:ascii="Calibri" w:hAnsi="Calibri" w:eastAsia="楷体"/>
    </w:rPr>
  </w:style>
  <w:style w:type="paragraph" w:styleId="6">
    <w:name w:val="heading 4"/>
    <w:basedOn w:val="1"/>
    <w:next w:val="1"/>
    <w:semiHidden/>
    <w:unhideWhenUsed/>
    <w:qFormat/>
    <w:uiPriority w:val="0"/>
    <w:pPr>
      <w:keepNext/>
      <w:keepLines/>
      <w:spacing w:beforeLines="0" w:beforeAutospacing="0" w:afterLines="0" w:afterAutospacing="0" w:line="560" w:lineRule="exact"/>
      <w:outlineLvl w:val="3"/>
    </w:pPr>
    <w:rPr>
      <w:rFonts w:ascii="Arial" w:hAnsi="Arial" w:eastAsia="仿宋_GB2312"/>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7">
    <w:name w:val="Normal Indent"/>
    <w:basedOn w:val="1"/>
    <w:qFormat/>
    <w:uiPriority w:val="0"/>
    <w:pPr>
      <w:ind w:firstLine="420" w:firstLineChars="200"/>
    </w:pPr>
  </w:style>
  <w:style w:type="paragraph" w:styleId="8">
    <w:name w:val="Body Text"/>
    <w:basedOn w:val="1"/>
    <w:qFormat/>
    <w:uiPriority w:val="0"/>
    <w:pPr>
      <w:adjustRightInd/>
      <w:snapToGrid/>
      <w:spacing w:line="560" w:lineRule="exact"/>
    </w:pPr>
    <w:rPr>
      <w:rFonts w:ascii="宋体" w:hAnsi="宋体" w:cs="宋体"/>
      <w:sz w:val="32"/>
      <w:szCs w:val="58"/>
    </w:rPr>
  </w:style>
  <w:style w:type="paragraph" w:styleId="9">
    <w:name w:val="Body Text Indent"/>
    <w:basedOn w:val="1"/>
    <w:qFormat/>
    <w:uiPriority w:val="0"/>
    <w:pPr>
      <w:spacing w:after="120" w:afterLines="0" w:afterAutospacing="0"/>
      <w:ind w:left="420" w:leftChars="200"/>
    </w:pPr>
  </w:style>
  <w:style w:type="paragraph" w:styleId="10">
    <w:name w:val="footer"/>
    <w:basedOn w:val="1"/>
    <w:qFormat/>
    <w:uiPriority w:val="0"/>
    <w:pPr>
      <w:tabs>
        <w:tab w:val="center" w:pos="4153"/>
        <w:tab w:val="right" w:pos="8306"/>
      </w:tabs>
      <w:snapToGrid w:val="0"/>
      <w:jc w:val="left"/>
    </w:pPr>
    <w:rPr>
      <w:rFonts w:ascii="Arial" w:hAnsi="Arial" w:eastAsia="CESI宋体-GB18030"/>
      <w:sz w:val="28"/>
    </w:rPr>
  </w:style>
  <w:style w:type="paragraph" w:styleId="11">
    <w:name w:val="Normal (Web)"/>
    <w:basedOn w:val="1"/>
    <w:qFormat/>
    <w:uiPriority w:val="0"/>
    <w:pPr>
      <w:spacing w:beforeLines="0" w:beforeAutospacing="0" w:afterLines="0" w:afterAutospacing="0"/>
      <w:ind w:left="0" w:right="0"/>
      <w:jc w:val="both"/>
    </w:pPr>
    <w:rPr>
      <w:rFonts w:ascii="仿宋_GB2312" w:hAnsi="仿宋_GB2312" w:cs="Times New Roman"/>
      <w:kern w:val="0"/>
      <w:sz w:val="32"/>
      <w:szCs w:val="32"/>
      <w:lang w:bidi="ar-SA"/>
    </w:rPr>
  </w:style>
  <w:style w:type="paragraph" w:styleId="12">
    <w:name w:val="Title"/>
    <w:basedOn w:val="1"/>
    <w:next w:val="1"/>
    <w:qFormat/>
    <w:uiPriority w:val="0"/>
    <w:pPr>
      <w:adjustRightInd/>
      <w:snapToGrid/>
      <w:spacing w:beforeLines="0" w:beforeAutospacing="0" w:afterLines="0" w:afterAutospacing="0" w:line="700" w:lineRule="exact"/>
      <w:ind w:firstLine="0" w:firstLineChars="0"/>
      <w:jc w:val="center"/>
      <w:outlineLvl w:val="0"/>
    </w:pPr>
    <w:rPr>
      <w:rFonts w:eastAsia="方正小标宋简体"/>
      <w:sz w:val="44"/>
    </w:rPr>
  </w:style>
  <w:style w:type="paragraph" w:styleId="13">
    <w:name w:val="Body Text First Indent 2"/>
    <w:basedOn w:val="9"/>
    <w:qFormat/>
    <w:uiPriority w:val="0"/>
    <w:pPr>
      <w:ind w:firstLine="420" w:firstLineChars="200"/>
    </w:pPr>
  </w:style>
  <w:style w:type="character" w:customStyle="1" w:styleId="16">
    <w:name w:val="标题 1 Char"/>
    <w:link w:val="3"/>
    <w:qFormat/>
    <w:uiPriority w:val="0"/>
    <w:rPr>
      <w:rFonts w:eastAsia="方正小标宋简体" w:asciiTheme="minorAscii" w:hAnsiTheme="minorAscii" w:cstheme="minorBidi"/>
      <w:kern w:val="44"/>
      <w:sz w:val="44"/>
      <w:szCs w:val="22"/>
      <w:lang w:eastAsia="zh-CN"/>
    </w:rPr>
  </w:style>
  <w:style w:type="paragraph" w:customStyle="1" w:styleId="17">
    <w:name w:val="WPSOffice手动目录 1"/>
    <w:qFormat/>
    <w:uiPriority w:val="0"/>
    <w:pPr>
      <w:spacing w:line="560" w:lineRule="exact"/>
      <w:ind w:leftChars="0"/>
    </w:pPr>
    <w:rPr>
      <w:rFonts w:ascii="Times New Roman" w:hAnsi="Times New Roman" w:eastAsia="楷体" w:cstheme="minorBidi"/>
      <w:sz w:val="32"/>
      <w:szCs w:val="20"/>
    </w:rPr>
  </w:style>
  <w:style w:type="character" w:customStyle="1" w:styleId="18">
    <w:name w:val="标题 2 Char"/>
    <w:link w:val="4"/>
    <w:qFormat/>
    <w:uiPriority w:val="0"/>
    <w:rPr>
      <w:rFonts w:ascii="Arial" w:hAnsi="Arial" w:eastAsia="黑体" w:cstheme="minorBidi"/>
    </w:rPr>
  </w:style>
  <w:style w:type="character" w:customStyle="1" w:styleId="19">
    <w:name w:val="标题 3 Char"/>
    <w:link w:val="5"/>
    <w:qFormat/>
    <w:uiPriority w:val="0"/>
    <w:rPr>
      <w:rFonts w:ascii="Calibri" w:hAnsi="Calibri" w:eastAsia="楷体"/>
      <w:sz w:val="32"/>
    </w:rPr>
  </w:style>
  <w:style w:type="paragraph" w:customStyle="1" w:styleId="20">
    <w:name w:val="Table Text"/>
    <w:basedOn w:val="1"/>
    <w:semiHidden/>
    <w:qFormat/>
    <w:uiPriority w:val="0"/>
    <w:rPr>
      <w:rFonts w:ascii="宋体" w:hAnsi="宋体" w:eastAsia="宋体" w:cs="宋体"/>
      <w:sz w:val="24"/>
      <w:szCs w:val="24"/>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2025-01-14T02:37:00Z</dcterms:created>
  <dc:creator>Administrator</dc:creator>
  <cp:lastModifiedBy>Administrator</cp:lastModifiedBy>
  <dcterms:modified xsi:type="dcterms:W3CDTF">2025-01-20T02:18:35Z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CE306A4873AB444AB3765A187DC43B06_11</vt:lpwstr>
  </property>
</Properties>
</file>