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和田地区司法局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202</w:t>
      </w:r>
      <w:r>
        <w:rPr>
          <w:rFonts w:hint="default" w:ascii="宋体" w:hAnsi="宋体" w:eastAsia="方正小标宋简体" w:cs="方正小标宋简体"/>
          <w:sz w:val="44"/>
          <w:szCs w:val="44"/>
          <w:lang w:eastAsia="zh-CN"/>
        </w:rPr>
        <w:t>4</w:t>
      </w:r>
      <w:r>
        <w:rPr>
          <w:rFonts w:hint="eastAsia" w:ascii="宋体" w:hAnsi="宋体" w:eastAsia="方正小标宋简体" w:cs="方正小标宋简体"/>
          <w:sz w:val="44"/>
          <w:szCs w:val="44"/>
          <w:lang w:val="en-US" w:eastAsia="zh-CN"/>
        </w:rPr>
        <w:t>年政府信息公开工作年度报告</w:t>
      </w:r>
    </w:p>
    <w:p>
      <w:pPr>
        <w:keepNext w:val="0"/>
        <w:keepLines w:val="0"/>
        <w:pageBreakBefore w:val="0"/>
        <w:wordWrap/>
        <w:overflowPunct/>
        <w:topLinePunct w:val="0"/>
        <w:bidi w:val="0"/>
        <w:spacing w:line="560" w:lineRule="exact"/>
        <w:rPr>
          <w:rFonts w:ascii="宋体" w:hAnsi="宋体"/>
          <w:sz w:val="21"/>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宋体" w:hAnsi="宋体" w:eastAsia="仿宋_GB2312" w:cs="仿宋_GB2312"/>
          <w:i w:val="0"/>
          <w:iCs w:val="0"/>
          <w:caps w:val="0"/>
          <w:color w:val="333333"/>
          <w:spacing w:val="0"/>
          <w:sz w:val="32"/>
          <w:szCs w:val="32"/>
          <w:shd w:val="clear" w:fill="FFFFFF"/>
          <w:lang w:eastAsia="zh-CN"/>
        </w:rPr>
      </w:pPr>
      <w:r>
        <w:rPr>
          <w:rFonts w:hint="default" w:ascii="宋体" w:hAnsi="宋体" w:eastAsia="仿宋_GB2312" w:cs="仿宋_GB2312"/>
          <w:i w:val="0"/>
          <w:iCs w:val="0"/>
          <w:caps w:val="0"/>
          <w:color w:val="333333"/>
          <w:spacing w:val="0"/>
          <w:sz w:val="32"/>
          <w:szCs w:val="32"/>
          <w:shd w:val="clear" w:fill="FFFFFF"/>
          <w:lang w:eastAsia="zh-CN"/>
        </w:rPr>
        <w:t>2024年，和田地区司法局在地委、行署的坚强领导下，认真贯彻落实</w:t>
      </w:r>
      <w:r>
        <w:rPr>
          <w:rFonts w:hint="default" w:ascii="宋体" w:hAnsi="宋体" w:eastAsia="仿宋_GB2312" w:cs="仿宋_GB2312"/>
          <w:i w:val="0"/>
          <w:iCs w:val="0"/>
          <w:caps w:val="0"/>
          <w:color w:val="333333"/>
          <w:spacing w:val="0"/>
          <w:kern w:val="2"/>
          <w:sz w:val="32"/>
          <w:szCs w:val="32"/>
          <w:shd w:val="clear" w:fill="FFFFFF"/>
          <w:lang w:val="en-US" w:eastAsia="zh-CN" w:bidi="ar-SA"/>
        </w:rPr>
        <w:t>《</w:t>
      </w:r>
      <w:r>
        <w:rPr>
          <w:rFonts w:hint="eastAsia" w:ascii="宋体" w:hAnsi="宋体" w:eastAsia="仿宋_GB2312" w:cs="仿宋_GB2312"/>
          <w:i w:val="0"/>
          <w:iCs w:val="0"/>
          <w:caps w:val="0"/>
          <w:color w:val="333333"/>
          <w:spacing w:val="0"/>
          <w:kern w:val="2"/>
          <w:sz w:val="32"/>
          <w:szCs w:val="32"/>
          <w:shd w:val="clear" w:fill="FFFFFF"/>
          <w:lang w:val="en-US" w:eastAsia="zh-CN" w:bidi="ar-SA"/>
        </w:rPr>
        <w:t>中华人民共和国政府信息公开条例</w:t>
      </w:r>
      <w:r>
        <w:rPr>
          <w:rFonts w:hint="default" w:ascii="宋体" w:hAnsi="宋体" w:eastAsia="仿宋_GB2312" w:cs="仿宋_GB2312"/>
          <w:i w:val="0"/>
          <w:iCs w:val="0"/>
          <w:caps w:val="0"/>
          <w:color w:val="333333"/>
          <w:spacing w:val="0"/>
          <w:kern w:val="2"/>
          <w:sz w:val="32"/>
          <w:szCs w:val="32"/>
          <w:shd w:val="clear" w:fill="FFFFFF"/>
          <w:lang w:val="en-US" w:eastAsia="zh-CN" w:bidi="ar-SA"/>
        </w:rPr>
        <w:t>》</w:t>
      </w:r>
      <w:r>
        <w:rPr>
          <w:rFonts w:hint="default" w:ascii="宋体" w:hAnsi="宋体" w:eastAsia="仿宋_GB2312" w:cs="仿宋_GB2312"/>
          <w:i w:val="0"/>
          <w:iCs w:val="0"/>
          <w:caps w:val="0"/>
          <w:color w:val="333333"/>
          <w:spacing w:val="0"/>
          <w:kern w:val="2"/>
          <w:sz w:val="32"/>
          <w:szCs w:val="32"/>
          <w:shd w:val="clear" w:fill="FFFFFF"/>
          <w:lang w:eastAsia="zh-CN" w:bidi="ar-SA"/>
        </w:rPr>
        <w:t>，不断提升政务公开的质量和实效，深入推进政府信息公开，不断提升工作透明度和公信力，现将2024年度政府信息公开工作报告如下：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default" w:ascii="宋体" w:hAnsi="宋体" w:eastAsia="仿宋_GB2312" w:cs="仿宋_GB2312"/>
          <w:i w:val="0"/>
          <w:iCs w:val="0"/>
          <w:caps w:val="0"/>
          <w:color w:val="333333"/>
          <w:spacing w:val="0"/>
          <w:kern w:val="2"/>
          <w:sz w:val="32"/>
          <w:szCs w:val="32"/>
          <w:shd w:val="clear" w:fill="FFFFFF"/>
          <w:lang w:eastAsia="zh-CN" w:bidi="ar-SA"/>
        </w:rPr>
        <w:t>2024年，地区司法局坚持以习近平新时代中国特色社会主义思想为指导，全面贯彻落实党的二十大和二十届二中、三中全会精神，深入学习贯彻习近平法治思想和习近平总书记对政法工作重要指示批示精神，着力深化政务公开，以公开促落实、促规范、促服务，助力地区司法行政工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（一）聚焦政策措施主动公开。</w:t>
      </w:r>
      <w:r>
        <w:rPr>
          <w:rFonts w:hint="default" w:ascii="宋体" w:hAnsi="宋体" w:eastAsia="仿宋_GB2312" w:cs="仿宋_GB2312"/>
          <w:i w:val="0"/>
          <w:iCs w:val="0"/>
          <w:caps w:val="0"/>
          <w:color w:val="333333"/>
          <w:spacing w:val="0"/>
          <w:kern w:val="2"/>
          <w:sz w:val="32"/>
          <w:szCs w:val="32"/>
          <w:shd w:val="clear" w:fill="FFFFFF"/>
          <w:lang w:eastAsia="zh-CN" w:bidi="ar-SA"/>
        </w:rPr>
        <w:t>按照“公开透明、精准解读、服务群众”的定位，运用“法治和田”微信公众号、和田政府网等载体，主动公开政务信息，深化政策解读回应。及时发布司法行政系统在推进法治建设、“法援惠民生”、行政复议改革等方面的创新举措，全面阐释政策措施执行情况和工作成效，引导社会公众了解使用线上线下公共法律服务产品，全力</w:t>
      </w:r>
      <w:r>
        <w:rPr>
          <w:rFonts w:hint="eastAsia" w:ascii="宋体" w:hAnsi="宋体" w:eastAsia="仿宋_GB2312" w:cs="仿宋_GB2312"/>
          <w:i w:val="0"/>
          <w:iCs w:val="0"/>
          <w:caps w:val="0"/>
          <w:color w:val="333333"/>
          <w:spacing w:val="0"/>
          <w:kern w:val="2"/>
          <w:sz w:val="32"/>
          <w:szCs w:val="32"/>
          <w:shd w:val="clear" w:fill="FFFFFF"/>
          <w:lang w:val="en-US" w:eastAsia="zh-CN" w:bidi="ar-SA"/>
        </w:rPr>
        <w:t>推动政务公开工作规范化、制度化，全力提升司法行政工作效能。</w:t>
      </w:r>
      <w:r>
        <w:rPr>
          <w:rFonts w:hint="default" w:ascii="宋体" w:hAnsi="宋体" w:eastAsia="仿宋_GB2312" w:cs="仿宋_GB2312"/>
          <w:i w:val="0"/>
          <w:iCs w:val="0"/>
          <w:caps w:val="0"/>
          <w:color w:val="333333"/>
          <w:spacing w:val="0"/>
          <w:kern w:val="2"/>
          <w:sz w:val="32"/>
          <w:szCs w:val="32"/>
          <w:shd w:val="clear" w:fill="FFFFFF"/>
          <w:lang w:val="en-US" w:eastAsia="zh-CN" w:bidi="ar-SA"/>
        </w:rPr>
        <w:t>我局通过</w:t>
      </w:r>
      <w:r>
        <w:rPr>
          <w:rFonts w:hint="eastAsia" w:ascii="宋体" w:hAnsi="宋体" w:eastAsia="仿宋_GB2312" w:cs="仿宋_GB2312"/>
          <w:i w:val="0"/>
          <w:iCs w:val="0"/>
          <w:caps w:val="0"/>
          <w:color w:val="333333"/>
          <w:spacing w:val="0"/>
          <w:kern w:val="2"/>
          <w:sz w:val="32"/>
          <w:szCs w:val="32"/>
          <w:shd w:val="clear" w:fill="FFFFFF"/>
          <w:lang w:val="en-US" w:eastAsia="zh-CN" w:bidi="ar-SA"/>
        </w:rPr>
        <w:t>和田</w:t>
      </w:r>
      <w:r>
        <w:rPr>
          <w:rFonts w:hint="default" w:ascii="宋体" w:hAnsi="宋体" w:eastAsia="仿宋_GB2312" w:cs="仿宋_GB2312"/>
          <w:i w:val="0"/>
          <w:iCs w:val="0"/>
          <w:caps w:val="0"/>
          <w:color w:val="333333"/>
          <w:spacing w:val="0"/>
          <w:kern w:val="2"/>
          <w:sz w:val="32"/>
          <w:szCs w:val="32"/>
          <w:shd w:val="clear" w:fill="FFFFFF"/>
          <w:lang w:val="en-US" w:eastAsia="zh-CN" w:bidi="ar-SA"/>
        </w:rPr>
        <w:t>政府网主动公开信息</w:t>
      </w:r>
      <w:r>
        <w:rPr>
          <w:rFonts w:hint="eastAsia" w:ascii="宋体" w:hAnsi="宋体" w:eastAsia="仿宋_GB2312" w:cs="仿宋_GB2312"/>
          <w:i w:val="0"/>
          <w:iCs w:val="0"/>
          <w:caps w:val="0"/>
          <w:color w:val="333333"/>
          <w:spacing w:val="0"/>
          <w:kern w:val="2"/>
          <w:sz w:val="32"/>
          <w:szCs w:val="32"/>
          <w:shd w:val="clear" w:fill="FFFFFF"/>
          <w:lang w:val="en-US" w:eastAsia="zh-CN" w:bidi="ar-SA"/>
        </w:rPr>
        <w:t>共</w:t>
      </w:r>
      <w:r>
        <w:rPr>
          <w:rFonts w:hint="default" w:ascii="宋体" w:hAnsi="宋体" w:eastAsia="仿宋_GB2312" w:cs="仿宋_GB2312"/>
          <w:i w:val="0"/>
          <w:iCs w:val="0"/>
          <w:caps w:val="0"/>
          <w:color w:val="333333"/>
          <w:spacing w:val="0"/>
          <w:kern w:val="2"/>
          <w:sz w:val="32"/>
          <w:szCs w:val="32"/>
          <w:shd w:val="clear" w:fill="FFFFFF"/>
          <w:lang w:eastAsia="zh-CN" w:bidi="ar-SA"/>
        </w:rPr>
        <w:t>95</w:t>
      </w:r>
      <w:r>
        <w:rPr>
          <w:rFonts w:hint="eastAsia" w:ascii="宋体" w:hAnsi="宋体" w:eastAsia="仿宋_GB2312" w:cs="仿宋_GB2312"/>
          <w:i w:val="0"/>
          <w:iCs w:val="0"/>
          <w:caps w:val="0"/>
          <w:color w:val="333333"/>
          <w:spacing w:val="0"/>
          <w:kern w:val="2"/>
          <w:sz w:val="32"/>
          <w:szCs w:val="32"/>
          <w:shd w:val="clear" w:fill="FFFFFF"/>
          <w:lang w:val="en-US" w:eastAsia="zh-CN" w:bidi="ar-SA"/>
        </w:rPr>
        <w:t>项，通过“</w:t>
      </w:r>
      <w:r>
        <w:rPr>
          <w:rFonts w:hint="default" w:ascii="宋体" w:hAnsi="宋体" w:eastAsia="仿宋_GB2312" w:cs="仿宋_GB2312"/>
          <w:i w:val="0"/>
          <w:iCs w:val="0"/>
          <w:caps w:val="0"/>
          <w:color w:val="333333"/>
          <w:spacing w:val="0"/>
          <w:kern w:val="2"/>
          <w:sz w:val="32"/>
          <w:szCs w:val="32"/>
          <w:shd w:val="clear" w:fill="FFFFFF"/>
          <w:lang w:eastAsia="zh-CN" w:bidi="ar-SA"/>
        </w:rPr>
        <w:t>法治和田</w:t>
      </w:r>
      <w:r>
        <w:rPr>
          <w:rFonts w:hint="eastAsia" w:ascii="宋体" w:hAnsi="宋体" w:eastAsia="仿宋_GB2312" w:cs="仿宋_GB2312"/>
          <w:i w:val="0"/>
          <w:iCs w:val="0"/>
          <w:caps w:val="0"/>
          <w:color w:val="333333"/>
          <w:spacing w:val="0"/>
          <w:kern w:val="2"/>
          <w:sz w:val="32"/>
          <w:szCs w:val="32"/>
          <w:shd w:val="clear" w:fill="FFFFFF"/>
          <w:lang w:val="en-US" w:eastAsia="zh-CN" w:bidi="ar-SA"/>
        </w:rPr>
        <w:t>”微信公众号发布信息</w:t>
      </w:r>
      <w:r>
        <w:rPr>
          <w:rFonts w:hint="default" w:ascii="宋体" w:hAnsi="宋体" w:eastAsia="仿宋_GB2312" w:cs="仿宋_GB2312"/>
          <w:i w:val="0"/>
          <w:iCs w:val="0"/>
          <w:caps w:val="0"/>
          <w:color w:val="333333"/>
          <w:spacing w:val="0"/>
          <w:kern w:val="2"/>
          <w:sz w:val="32"/>
          <w:szCs w:val="32"/>
          <w:shd w:val="clear" w:fill="FFFFFF"/>
          <w:lang w:eastAsia="zh-CN" w:bidi="ar-SA"/>
        </w:rPr>
        <w:t>803</w:t>
      </w:r>
      <w:r>
        <w:rPr>
          <w:rFonts w:hint="eastAsia" w:ascii="宋体" w:hAnsi="宋体" w:eastAsia="仿宋_GB2312" w:cs="仿宋_GB2312"/>
          <w:i w:val="0"/>
          <w:iCs w:val="0"/>
          <w:caps w:val="0"/>
          <w:color w:val="333333"/>
          <w:spacing w:val="0"/>
          <w:kern w:val="2"/>
          <w:sz w:val="32"/>
          <w:szCs w:val="32"/>
          <w:shd w:val="clear" w:fill="FFFFFF"/>
          <w:lang w:val="en-US" w:eastAsia="zh-CN" w:bidi="ar-SA"/>
        </w:rPr>
        <w:t>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（二）</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规范依申请公开工作。</w:t>
      </w:r>
      <w:r>
        <w:rPr>
          <w:rFonts w:hint="eastAsia" w:ascii="宋体" w:hAnsi="宋体" w:eastAsia="仿宋_GB2312" w:cs="仿宋_GB2312"/>
          <w:i w:val="0"/>
          <w:iCs w:val="0"/>
          <w:caps w:val="0"/>
          <w:color w:val="333333"/>
          <w:spacing w:val="0"/>
          <w:kern w:val="2"/>
          <w:sz w:val="32"/>
          <w:szCs w:val="32"/>
          <w:shd w:val="clear" w:fill="FFFFFF"/>
          <w:lang w:eastAsia="zh-CN" w:bidi="ar-SA"/>
        </w:rPr>
        <w:t>把依申请公开工作作为服务群众生产生活、支持市场主体创业创新的重要方式，加强对《政府信息公开条例》的贯彻执行，严格遵循“以公开为原则，不公开为例外”的要求，结合司法行政改革，进一步规范政府信息公开工作程序，明确各环节工作职责，按照“高效便民”原则，更好满足申请人对政府信息的个性化需求。202</w:t>
      </w:r>
      <w:r>
        <w:rPr>
          <w:rFonts w:hint="eastAsia" w:ascii="宋体" w:hAnsi="宋体" w:eastAsia="仿宋_GB2312" w:cs="仿宋_GB2312"/>
          <w:i w:val="0"/>
          <w:iCs w:val="0"/>
          <w:caps w:val="0"/>
          <w:color w:val="333333"/>
          <w:spacing w:val="0"/>
          <w:kern w:val="2"/>
          <w:sz w:val="32"/>
          <w:szCs w:val="32"/>
          <w:shd w:val="clear" w:fill="FFFFFF"/>
          <w:lang w:val="en-US" w:eastAsia="zh-CN" w:bidi="ar-SA"/>
        </w:rPr>
        <w:t>4</w:t>
      </w:r>
      <w:r>
        <w:rPr>
          <w:rFonts w:hint="eastAsia" w:ascii="宋体" w:hAnsi="宋体" w:eastAsia="仿宋_GB2312" w:cs="仿宋_GB2312"/>
          <w:i w:val="0"/>
          <w:iCs w:val="0"/>
          <w:caps w:val="0"/>
          <w:color w:val="333333"/>
          <w:spacing w:val="0"/>
          <w:kern w:val="2"/>
          <w:sz w:val="32"/>
          <w:szCs w:val="32"/>
          <w:shd w:val="clear" w:fill="FFFFFF"/>
          <w:lang w:eastAsia="zh-CN" w:bidi="ar-SA"/>
        </w:rPr>
        <w:t>年，地区司法局未收到任何形式的依申请政府信息公开申请。</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（三）</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加强政府信息资源管理。</w:t>
      </w:r>
      <w:r>
        <w:rPr>
          <w:rFonts w:hint="eastAsia" w:ascii="宋体" w:hAnsi="宋体" w:eastAsia="仿宋_GB2312" w:cs="仿宋_GB2312"/>
          <w:i w:val="0"/>
          <w:iCs w:val="0"/>
          <w:caps w:val="0"/>
          <w:color w:val="333333"/>
          <w:spacing w:val="0"/>
          <w:kern w:val="2"/>
          <w:sz w:val="32"/>
          <w:szCs w:val="32"/>
          <w:shd w:val="clear" w:fill="FFFFFF"/>
          <w:lang w:eastAsia="zh-CN" w:bidi="ar-SA"/>
        </w:rPr>
        <w:t>严格按照政务信息公开要求，落实政府信息公开保密审查制度，按照报送、审核、对外公开程序，对外进行发布的信息均填写保密审批表，由科室负责人审核、分管领导审批、主要领导签发后方可发布，确保信息科学合理予以公开，坚决防止在政务公开方面出现失泄密事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（四）强化政府信息公开平台建设</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w:t>
      </w:r>
      <w:r>
        <w:rPr>
          <w:rFonts w:hint="eastAsia" w:ascii="宋体" w:hAnsi="宋体" w:eastAsia="仿宋_GB2312" w:cs="仿宋_GB2312"/>
          <w:i w:val="0"/>
          <w:iCs w:val="0"/>
          <w:caps w:val="0"/>
          <w:color w:val="333333"/>
          <w:spacing w:val="0"/>
          <w:kern w:val="2"/>
          <w:sz w:val="32"/>
          <w:szCs w:val="32"/>
          <w:shd w:val="clear" w:fill="FFFFFF"/>
          <w:lang w:val="en-US" w:eastAsia="zh-CN" w:bidi="ar-SA"/>
        </w:rPr>
        <w:t>不断完善信息公开平台，依托新疆政务服务一体化平台和</w:t>
      </w:r>
      <w:r>
        <w:rPr>
          <w:rFonts w:hint="default" w:ascii="宋体" w:hAnsi="宋体" w:eastAsia="仿宋_GB2312" w:cs="仿宋_GB2312"/>
          <w:i w:val="0"/>
          <w:iCs w:val="0"/>
          <w:caps w:val="0"/>
          <w:color w:val="333333"/>
          <w:spacing w:val="0"/>
          <w:kern w:val="2"/>
          <w:sz w:val="32"/>
          <w:szCs w:val="32"/>
          <w:shd w:val="clear" w:fill="FFFFFF"/>
          <w:lang w:eastAsia="zh-CN" w:bidi="ar-SA"/>
        </w:rPr>
        <w:t>和田</w:t>
      </w:r>
      <w:r>
        <w:rPr>
          <w:rFonts w:hint="eastAsia" w:ascii="宋体" w:hAnsi="宋体" w:eastAsia="仿宋_GB2312" w:cs="仿宋_GB2312"/>
          <w:i w:val="0"/>
          <w:iCs w:val="0"/>
          <w:caps w:val="0"/>
          <w:color w:val="333333"/>
          <w:spacing w:val="0"/>
          <w:kern w:val="2"/>
          <w:sz w:val="32"/>
          <w:szCs w:val="32"/>
          <w:shd w:val="clear" w:fill="FFFFFF"/>
          <w:lang w:val="en-US" w:eastAsia="zh-CN" w:bidi="ar-SA"/>
        </w:rPr>
        <w:t>政府网</w:t>
      </w:r>
      <w:r>
        <w:rPr>
          <w:rFonts w:hint="default" w:ascii="宋体" w:hAnsi="宋体" w:eastAsia="仿宋_GB2312" w:cs="仿宋_GB2312"/>
          <w:i w:val="0"/>
          <w:iCs w:val="0"/>
          <w:caps w:val="0"/>
          <w:color w:val="333333"/>
          <w:spacing w:val="0"/>
          <w:kern w:val="2"/>
          <w:sz w:val="32"/>
          <w:szCs w:val="32"/>
          <w:shd w:val="clear" w:fill="FFFFFF"/>
          <w:lang w:eastAsia="zh-CN" w:bidi="ar-SA"/>
        </w:rPr>
        <w:t>站</w:t>
      </w:r>
      <w:r>
        <w:rPr>
          <w:rFonts w:hint="eastAsia" w:ascii="宋体" w:hAnsi="宋体" w:eastAsia="仿宋_GB2312" w:cs="仿宋_GB2312"/>
          <w:i w:val="0"/>
          <w:iCs w:val="0"/>
          <w:caps w:val="0"/>
          <w:color w:val="333333"/>
          <w:spacing w:val="0"/>
          <w:kern w:val="2"/>
          <w:sz w:val="32"/>
          <w:szCs w:val="32"/>
          <w:shd w:val="clear" w:fill="FFFFFF"/>
          <w:lang w:val="en-US" w:eastAsia="zh-CN" w:bidi="ar-SA"/>
        </w:rPr>
        <w:t>，优化页面展示，打造条目清晰、重点突出、内容全面的司法行政信息公开窗口，并将信息公开栏目进一步进行优化整合，最大限度方便群众查询。进一步加大宣传力度，扩大影响，让公众知晓查询政府信息的途径和方式，扩大政府信息公开工作的影响力，及时发布信息，充分满足群众的知情权。</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宋体" w:hAnsi="宋体" w:eastAsia="黑体" w:cs="黑体"/>
          <w:b w:val="0"/>
          <w:bCs w:val="0"/>
          <w:spacing w:val="-3"/>
          <w:sz w:val="32"/>
          <w:szCs w:val="32"/>
        </w:rPr>
      </w:pP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（五）</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做好</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监督保障</w:t>
      </w:r>
      <w:r>
        <w:rPr>
          <w:rFonts w:hint="default" w:ascii="宋体" w:hAnsi="宋体" w:eastAsia="方正楷体_GBK" w:cs="方正楷体_GBK"/>
          <w:b/>
          <w:bCs/>
          <w:i w:val="0"/>
          <w:iCs w:val="0"/>
          <w:caps w:val="0"/>
          <w:color w:val="333333"/>
          <w:spacing w:val="0"/>
          <w:kern w:val="2"/>
          <w:sz w:val="32"/>
          <w:szCs w:val="32"/>
          <w:shd w:val="clear" w:fill="FFFFFF"/>
          <w:lang w:eastAsia="zh-CN" w:bidi="ar-SA"/>
        </w:rPr>
        <w:t>。</w:t>
      </w:r>
      <w:r>
        <w:rPr>
          <w:rFonts w:hint="eastAsia" w:ascii="宋体" w:hAnsi="宋体" w:eastAsia="仿宋_GB2312" w:cs="仿宋_GB2312"/>
          <w:i w:val="0"/>
          <w:iCs w:val="0"/>
          <w:caps w:val="0"/>
          <w:color w:val="333333"/>
          <w:spacing w:val="0"/>
          <w:kern w:val="2"/>
          <w:sz w:val="32"/>
          <w:szCs w:val="32"/>
          <w:shd w:val="clear" w:fill="FFFFFF"/>
          <w:lang w:val="en-US" w:eastAsia="zh-CN" w:bidi="ar-SA"/>
        </w:rPr>
        <w:t>为切实做好政务公开工作，地区司法局坚持把政府信息公开与日常业务工作相结合，作为重要督查事项一并督促检查。同时，对信息公开的各项审批环节严格把控，对公开内容、公开时限等做好认真核查。公布监督投诉电话，主动接受社会监督，进一步保障政府信息公开工作落到实处。</w:t>
      </w:r>
    </w:p>
    <w:p>
      <w:pPr>
        <w:spacing w:before="191" w:line="213" w:lineRule="auto"/>
        <w:ind w:left="749"/>
        <w:outlineLvl w:val="1"/>
        <w:rPr>
          <w:rFonts w:hint="eastAsia" w:ascii="宋体" w:hAnsi="宋体" w:eastAsia="黑体" w:cs="黑体"/>
          <w:b w:val="0"/>
          <w:bCs w:val="0"/>
          <w:sz w:val="32"/>
          <w:szCs w:val="32"/>
        </w:rPr>
      </w:pPr>
      <w:r>
        <w:rPr>
          <w:rFonts w:hint="eastAsia" w:ascii="宋体" w:hAnsi="宋体" w:eastAsia="黑体" w:cs="黑体"/>
          <w:b w:val="0"/>
          <w:bCs w:val="0"/>
          <w:spacing w:val="-3"/>
          <w:sz w:val="32"/>
          <w:szCs w:val="32"/>
        </w:rPr>
        <w:t>二、主动公开政府信息情况</w:t>
      </w:r>
      <w:bookmarkStart w:id="0" w:name="_GoBack"/>
      <w:bookmarkEnd w:id="0"/>
    </w:p>
    <w:tbl>
      <w:tblPr>
        <w:tblStyle w:val="9"/>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30" w:type="dxa"/>
            <w:gridSpan w:val="4"/>
            <w:vAlign w:val="center"/>
          </w:tcPr>
          <w:p>
            <w:pPr>
              <w:pStyle w:val="8"/>
              <w:spacing w:before="34"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一</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61"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1908" w:type="dxa"/>
            <w:vAlign w:val="center"/>
          </w:tcPr>
          <w:p>
            <w:pPr>
              <w:pStyle w:val="8"/>
              <w:spacing w:before="29"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本年制发件数</w:t>
            </w:r>
          </w:p>
        </w:tc>
        <w:tc>
          <w:tcPr>
            <w:tcW w:w="1807" w:type="dxa"/>
            <w:vAlign w:val="center"/>
          </w:tcPr>
          <w:p>
            <w:pPr>
              <w:pStyle w:val="8"/>
              <w:spacing w:before="19"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本年废止件数</w:t>
            </w:r>
          </w:p>
        </w:tc>
        <w:tc>
          <w:tcPr>
            <w:tcW w:w="1883" w:type="dxa"/>
            <w:vAlign w:val="center"/>
          </w:tcPr>
          <w:p>
            <w:pPr>
              <w:pStyle w:val="8"/>
              <w:spacing w:before="41"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50"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8"/>
                <w:sz w:val="21"/>
                <w:szCs w:val="21"/>
              </w:rPr>
              <w:t>规章</w:t>
            </w:r>
          </w:p>
        </w:tc>
        <w:tc>
          <w:tcPr>
            <w:tcW w:w="1908"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07"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83"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42"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规范性文件</w:t>
            </w:r>
          </w:p>
        </w:tc>
        <w:tc>
          <w:tcPr>
            <w:tcW w:w="1908"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07"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c>
          <w:tcPr>
            <w:tcW w:w="1883" w:type="dxa"/>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30" w:type="dxa"/>
            <w:gridSpan w:val="4"/>
            <w:vAlign w:val="center"/>
          </w:tcPr>
          <w:p>
            <w:pPr>
              <w:pStyle w:val="8"/>
              <w:spacing w:before="43"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五</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43"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8"/>
              <w:spacing w:before="72" w:line="219"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45" w:line="220"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行政许可</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30" w:type="dxa"/>
            <w:gridSpan w:val="4"/>
            <w:vAlign w:val="center"/>
          </w:tcPr>
          <w:p>
            <w:pPr>
              <w:pStyle w:val="8"/>
              <w:spacing w:before="34"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六</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66"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8"/>
              <w:spacing w:before="64" w:line="219" w:lineRule="auto"/>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77" w:line="220" w:lineRule="auto"/>
              <w:ind w:left="85"/>
              <w:jc w:val="center"/>
              <w:rPr>
                <w:rFonts w:hint="eastAsia" w:ascii="宋体" w:hAnsi="宋体" w:eastAsia="仿宋_GB2312" w:cs="仿宋_GB2312"/>
                <w:sz w:val="21"/>
                <w:szCs w:val="21"/>
              </w:rPr>
            </w:pPr>
            <w:r>
              <w:rPr>
                <w:rFonts w:hint="eastAsia" w:ascii="宋体" w:hAnsi="宋体" w:eastAsia="仿宋_GB2312" w:cs="仿宋_GB2312"/>
                <w:spacing w:val="7"/>
                <w:sz w:val="21"/>
                <w:szCs w:val="21"/>
              </w:rPr>
              <w:t>行政处罚</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78" w:line="220" w:lineRule="auto"/>
              <w:ind w:left="85"/>
              <w:jc w:val="center"/>
              <w:rPr>
                <w:rFonts w:hint="eastAsia" w:ascii="宋体" w:hAnsi="宋体" w:eastAsia="仿宋_GB2312" w:cs="仿宋_GB2312"/>
                <w:sz w:val="21"/>
                <w:szCs w:val="21"/>
              </w:rPr>
            </w:pPr>
            <w:r>
              <w:rPr>
                <w:rFonts w:hint="eastAsia" w:ascii="宋体" w:hAnsi="宋体" w:eastAsia="仿宋_GB2312" w:cs="仿宋_GB2312"/>
                <w:spacing w:val="5"/>
                <w:sz w:val="21"/>
                <w:szCs w:val="21"/>
              </w:rPr>
              <w:t>行政强制</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430" w:type="dxa"/>
            <w:gridSpan w:val="4"/>
            <w:vAlign w:val="center"/>
          </w:tcPr>
          <w:p>
            <w:pPr>
              <w:pStyle w:val="8"/>
              <w:spacing w:before="78" w:line="219" w:lineRule="auto"/>
              <w:jc w:val="center"/>
              <w:rPr>
                <w:rFonts w:hint="eastAsia" w:ascii="宋体" w:hAnsi="宋体" w:eastAsia="仿宋_GB2312" w:cs="仿宋_GB2312"/>
                <w:sz w:val="21"/>
                <w:szCs w:val="21"/>
              </w:rPr>
            </w:pPr>
            <w:r>
              <w:rPr>
                <w:rFonts w:hint="eastAsia" w:ascii="宋体" w:hAnsi="宋体" w:eastAsia="仿宋_GB2312" w:cs="仿宋_GB2312"/>
                <w:spacing w:val="1"/>
                <w:sz w:val="21"/>
                <w:szCs w:val="21"/>
              </w:rPr>
              <w:t>第二十条第</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八</w:t>
            </w:r>
            <w:r>
              <w:rPr>
                <w:rFonts w:hint="eastAsia" w:ascii="宋体" w:hAnsi="宋体" w:eastAsia="仿宋_GB2312" w:cs="仿宋_GB2312"/>
                <w:spacing w:val="1"/>
                <w:sz w:val="21"/>
                <w:szCs w:val="21"/>
                <w:lang w:eastAsia="zh-CN"/>
              </w:rPr>
              <w:t>）</w:t>
            </w:r>
            <w:r>
              <w:rPr>
                <w:rFonts w:hint="eastAsia" w:ascii="宋体" w:hAnsi="宋体"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59" w:line="219" w:lineRule="auto"/>
              <w:jc w:val="center"/>
              <w:rPr>
                <w:rFonts w:hint="eastAsia" w:ascii="宋体" w:hAnsi="宋体" w:eastAsia="仿宋_GB2312" w:cs="仿宋_GB2312"/>
                <w:sz w:val="21"/>
                <w:szCs w:val="21"/>
              </w:rPr>
            </w:pPr>
            <w:r>
              <w:rPr>
                <w:rFonts w:hint="eastAsia" w:ascii="宋体" w:hAnsi="宋体" w:eastAsia="仿宋_GB2312" w:cs="仿宋_GB2312"/>
                <w:spacing w:val="3"/>
                <w:sz w:val="21"/>
                <w:szCs w:val="21"/>
              </w:rPr>
              <w:t>信息内容</w:t>
            </w:r>
          </w:p>
        </w:tc>
        <w:tc>
          <w:tcPr>
            <w:tcW w:w="5598" w:type="dxa"/>
            <w:gridSpan w:val="3"/>
            <w:vAlign w:val="center"/>
          </w:tcPr>
          <w:p>
            <w:pPr>
              <w:pStyle w:val="8"/>
              <w:spacing w:before="68" w:line="219" w:lineRule="auto"/>
              <w:jc w:val="center"/>
              <w:rPr>
                <w:rFonts w:hint="eastAsia" w:ascii="宋体" w:hAnsi="宋体" w:eastAsia="仿宋_GB2312" w:cs="仿宋_GB2312"/>
                <w:sz w:val="21"/>
                <w:szCs w:val="21"/>
                <w:lang w:eastAsia="zh-CN"/>
              </w:rPr>
            </w:pPr>
            <w:r>
              <w:rPr>
                <w:rFonts w:hint="eastAsia" w:ascii="宋体" w:hAnsi="宋体" w:eastAsia="仿宋_GB2312" w:cs="仿宋_GB2312"/>
                <w:spacing w:val="4"/>
                <w:sz w:val="21"/>
                <w:szCs w:val="21"/>
              </w:rPr>
              <w:t>本年收费金额</w:t>
            </w:r>
            <w:r>
              <w:rPr>
                <w:rFonts w:hint="eastAsia" w:ascii="宋体" w:hAnsi="宋体" w:eastAsia="仿宋_GB2312" w:cs="仿宋_GB2312"/>
                <w:spacing w:val="4"/>
                <w:sz w:val="21"/>
                <w:szCs w:val="21"/>
                <w:lang w:eastAsia="zh-CN"/>
              </w:rPr>
              <w:t>（</w:t>
            </w:r>
            <w:r>
              <w:rPr>
                <w:rFonts w:hint="eastAsia" w:ascii="宋体" w:hAnsi="宋体" w:eastAsia="仿宋_GB2312" w:cs="仿宋_GB2312"/>
                <w:spacing w:val="4"/>
                <w:sz w:val="21"/>
                <w:szCs w:val="21"/>
              </w:rPr>
              <w:t>单位：万元</w:t>
            </w:r>
            <w:r>
              <w:rPr>
                <w:rFonts w:hint="eastAsia" w:ascii="宋体" w:hAnsi="宋体"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32" w:type="dxa"/>
            <w:vAlign w:val="center"/>
          </w:tcPr>
          <w:p>
            <w:pPr>
              <w:pStyle w:val="8"/>
              <w:spacing w:before="60" w:line="219" w:lineRule="auto"/>
              <w:ind w:left="85"/>
              <w:jc w:val="center"/>
              <w:rPr>
                <w:rFonts w:hint="eastAsia" w:ascii="宋体" w:hAnsi="宋体" w:eastAsia="仿宋_GB2312" w:cs="仿宋_GB2312"/>
                <w:sz w:val="21"/>
                <w:szCs w:val="21"/>
              </w:rPr>
            </w:pPr>
            <w:r>
              <w:rPr>
                <w:rFonts w:hint="eastAsia" w:ascii="宋体" w:hAnsi="宋体" w:eastAsia="仿宋_GB2312" w:cs="仿宋_GB2312"/>
                <w:spacing w:val="2"/>
                <w:sz w:val="21"/>
                <w:szCs w:val="21"/>
              </w:rPr>
              <w:t>行政事业性收费</w:t>
            </w:r>
          </w:p>
        </w:tc>
        <w:tc>
          <w:tcPr>
            <w:tcW w:w="5598" w:type="dxa"/>
            <w:gridSpan w:val="3"/>
            <w:vAlign w:val="center"/>
          </w:tcPr>
          <w:p>
            <w:pPr>
              <w:jc w:val="center"/>
              <w:rPr>
                <w:rFonts w:hint="default" w:ascii="宋体" w:hAnsi="宋体" w:eastAsia="仿宋_GB2312" w:cs="仿宋_GB2312"/>
                <w:sz w:val="21"/>
                <w:szCs w:val="21"/>
              </w:rPr>
            </w:pPr>
            <w:r>
              <w:rPr>
                <w:rFonts w:hint="default" w:ascii="宋体" w:hAnsi="宋体" w:eastAsia="仿宋_GB2312" w:cs="仿宋_GB2312"/>
                <w:sz w:val="21"/>
                <w:szCs w:val="21"/>
              </w:rPr>
              <w:t>0</w:t>
            </w:r>
          </w:p>
        </w:tc>
      </w:tr>
    </w:tbl>
    <w:p>
      <w:pPr>
        <w:ind w:firstLine="632" w:firstLineChars="200"/>
        <w:rPr>
          <w:rFonts w:ascii="宋体" w:hAnsi="宋体" w:eastAsia="黑体" w:cs="黑体"/>
          <w:b w:val="0"/>
          <w:bCs w:val="0"/>
          <w:sz w:val="32"/>
          <w:szCs w:val="32"/>
        </w:rPr>
      </w:pPr>
      <w:r>
        <w:rPr>
          <w:rFonts w:ascii="宋体" w:hAnsi="宋体" w:eastAsia="黑体" w:cs="黑体"/>
          <w:b w:val="0"/>
          <w:bCs w:val="0"/>
          <w:spacing w:val="-2"/>
          <w:sz w:val="32"/>
          <w:szCs w:val="32"/>
        </w:rPr>
        <w:t>三、收到和处理政府信息公开申请情况</w:t>
      </w:r>
    </w:p>
    <w:p>
      <w:pPr>
        <w:spacing w:line="71" w:lineRule="auto"/>
        <w:rPr>
          <w:rFonts w:ascii="宋体" w:hAnsi="宋体"/>
          <w:sz w:val="2"/>
        </w:rPr>
      </w:pPr>
    </w:p>
    <w:tbl>
      <w:tblPr>
        <w:tblStyle w:val="9"/>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370" w:type="dxa"/>
            <w:vMerge w:val="restart"/>
            <w:tcBorders>
              <w:bottom w:val="nil"/>
            </w:tcBorders>
            <w:vAlign w:val="center"/>
          </w:tcPr>
          <w:p>
            <w:pPr>
              <w:pStyle w:val="8"/>
              <w:spacing w:before="75" w:line="206" w:lineRule="auto"/>
              <w:ind w:left="185" w:right="259" w:firstLine="109"/>
              <w:jc w:val="center"/>
              <w:rPr>
                <w:rFonts w:hint="eastAsia" w:ascii="宋体" w:hAnsi="宋体" w:eastAsia="方正仿宋_GB2312" w:cs="方正仿宋_GB2312"/>
                <w:sz w:val="21"/>
                <w:szCs w:val="21"/>
                <w:lang w:eastAsia="zh-CN"/>
              </w:rPr>
            </w:pPr>
            <w:r>
              <w:rPr>
                <w:rFonts w:hint="eastAsia" w:ascii="宋体" w:hAnsi="宋体" w:eastAsia="方正仿宋_GB2312" w:cs="方正仿宋_GB2312"/>
                <w:sz w:val="21"/>
                <w:szCs w:val="21"/>
                <w:lang w:eastAsia="zh-CN"/>
              </w:rPr>
              <w:t>（</w:t>
            </w:r>
            <w:r>
              <w:rPr>
                <w:rFonts w:hint="eastAsia" w:ascii="宋体" w:hAnsi="宋体" w:eastAsia="方正仿宋_GB2312" w:cs="方正仿宋_GB2312"/>
                <w:sz w:val="21"/>
                <w:szCs w:val="21"/>
              </w:rPr>
              <w:t>本列数据的勾稽关系为：第一项加第</w:t>
            </w:r>
            <w:r>
              <w:rPr>
                <w:rFonts w:hint="eastAsia" w:ascii="宋体" w:hAnsi="宋体" w:eastAsia="方正仿宋_GB2312" w:cs="方正仿宋_GB2312"/>
                <w:spacing w:val="2"/>
                <w:sz w:val="21"/>
                <w:szCs w:val="21"/>
              </w:rPr>
              <w:t>二项之和，等于第三项加第四项之和</w:t>
            </w:r>
            <w:r>
              <w:rPr>
                <w:rFonts w:hint="eastAsia" w:ascii="宋体" w:hAnsi="宋体" w:eastAsia="方正仿宋_GB2312" w:cs="方正仿宋_GB2312"/>
                <w:spacing w:val="2"/>
                <w:sz w:val="21"/>
                <w:szCs w:val="21"/>
                <w:lang w:eastAsia="zh-CN"/>
              </w:rPr>
              <w:t>）</w:t>
            </w:r>
          </w:p>
        </w:tc>
        <w:tc>
          <w:tcPr>
            <w:tcW w:w="3980" w:type="dxa"/>
            <w:gridSpan w:val="7"/>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4370" w:type="dxa"/>
            <w:vMerge w:val="continue"/>
            <w:tcBorders>
              <w:top w:val="nil"/>
              <w:bottom w:val="nil"/>
            </w:tcBorders>
            <w:vAlign w:val="center"/>
          </w:tcPr>
          <w:p>
            <w:pPr>
              <w:jc w:val="center"/>
              <w:rPr>
                <w:rFonts w:hint="eastAsia" w:ascii="宋体" w:hAnsi="宋体"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自然人</w:t>
            </w:r>
          </w:p>
        </w:tc>
        <w:tc>
          <w:tcPr>
            <w:tcW w:w="3066" w:type="dxa"/>
            <w:gridSpan w:val="5"/>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370" w:type="dxa"/>
            <w:vMerge w:val="continue"/>
            <w:tcBorders>
              <w:top w:val="nil"/>
            </w:tcBorders>
            <w:vAlign w:val="center"/>
          </w:tcPr>
          <w:p>
            <w:pPr>
              <w:jc w:val="center"/>
              <w:rPr>
                <w:rFonts w:hint="eastAsia" w:ascii="宋体" w:hAnsi="宋体"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宋体" w:hAnsi="宋体" w:eastAsia="方正仿宋_GB2312" w:cs="方正仿宋_GB2312"/>
                <w:sz w:val="21"/>
                <w:szCs w:val="21"/>
              </w:rPr>
            </w:pP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商业企业</w:t>
            </w: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科研机构</w:t>
            </w:r>
          </w:p>
        </w:tc>
        <w:tc>
          <w:tcPr>
            <w:tcW w:w="64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社会公益组织</w:t>
            </w:r>
          </w:p>
        </w:tc>
        <w:tc>
          <w:tcPr>
            <w:tcW w:w="659"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法律服务机构</w:t>
            </w:r>
          </w:p>
        </w:tc>
        <w:tc>
          <w:tcPr>
            <w:tcW w:w="460" w:type="dxa"/>
            <w:textDirection w:val="tbRlV"/>
            <w:vAlign w:val="center"/>
          </w:tcPr>
          <w:p>
            <w:pPr>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宋体" w:hAnsi="宋体"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70" w:type="dxa"/>
            <w:vAlign w:val="center"/>
          </w:tcPr>
          <w:p>
            <w:pPr>
              <w:pStyle w:val="8"/>
              <w:spacing w:before="75" w:line="219" w:lineRule="auto"/>
              <w:ind w:left="95"/>
              <w:jc w:val="center"/>
              <w:rPr>
                <w:rFonts w:hint="eastAsia" w:ascii="宋体" w:hAnsi="宋体" w:eastAsia="方正仿宋_GB2312" w:cs="方正仿宋_GB2312"/>
                <w:sz w:val="21"/>
                <w:szCs w:val="21"/>
              </w:rPr>
            </w:pPr>
            <w:r>
              <w:rPr>
                <w:rFonts w:hint="eastAsia" w:ascii="宋体" w:hAnsi="宋体" w:eastAsia="方正仿宋_GB2312" w:cs="方正仿宋_GB2312"/>
                <w:spacing w:val="-1"/>
                <w:sz w:val="21"/>
                <w:szCs w:val="21"/>
              </w:rPr>
              <w:t>一、本年新收政府信息公开申请数量</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5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54"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70" w:type="dxa"/>
            <w:vAlign w:val="center"/>
          </w:tcPr>
          <w:p>
            <w:pPr>
              <w:pStyle w:val="8"/>
              <w:spacing w:before="87" w:line="219" w:lineRule="auto"/>
              <w:ind w:left="95"/>
              <w:jc w:val="center"/>
              <w:rPr>
                <w:rFonts w:hint="eastAsia" w:ascii="宋体" w:hAnsi="宋体" w:eastAsia="方正仿宋_GB2312" w:cs="方正仿宋_GB2312"/>
                <w:sz w:val="21"/>
                <w:szCs w:val="21"/>
              </w:rPr>
            </w:pPr>
            <w:r>
              <w:rPr>
                <w:rFonts w:hint="eastAsia" w:ascii="宋体" w:hAnsi="宋体" w:eastAsia="方正仿宋_GB2312" w:cs="方正仿宋_GB2312"/>
                <w:sz w:val="21"/>
                <w:szCs w:val="21"/>
              </w:rPr>
              <w:t>二、上年结转政府信息公开申请数量</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4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659"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60"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c>
          <w:tcPr>
            <w:tcW w:w="454" w:type="dxa"/>
            <w:vAlign w:val="center"/>
          </w:tcPr>
          <w:p>
            <w:pPr>
              <w:jc w:val="center"/>
              <w:rPr>
                <w:rFonts w:hint="eastAsia" w:ascii="宋体" w:hAnsi="宋体" w:eastAsia="仿宋_GB2312" w:cs="仿宋_GB2312"/>
                <w:sz w:val="21"/>
                <w:szCs w:val="21"/>
              </w:rPr>
            </w:pPr>
            <w:r>
              <w:rPr>
                <w:rFonts w:hint="eastAsia" w:ascii="宋体" w:hAnsi="宋体" w:eastAsia="仿宋_GB2312" w:cs="仿宋_GB2312"/>
                <w:sz w:val="21"/>
                <w:szCs w:val="21"/>
              </w:rPr>
              <w:t>0</w:t>
            </w:r>
          </w:p>
        </w:tc>
      </w:tr>
    </w:tbl>
    <w:p>
      <w:pPr>
        <w:pStyle w:val="8"/>
        <w:keepNext/>
        <w:keepLines w:val="0"/>
        <w:pageBreakBefore w:val="0"/>
        <w:widowControl/>
        <w:kinsoku w:val="0"/>
        <w:wordWrap/>
        <w:overflowPunct/>
        <w:topLinePunct w:val="0"/>
        <w:autoSpaceDE w:val="0"/>
        <w:autoSpaceDN w:val="0"/>
        <w:bidi w:val="0"/>
        <w:adjustRightInd w:val="0"/>
        <w:snapToGrid w:val="0"/>
        <w:spacing w:before="75" w:line="180" w:lineRule="auto"/>
        <w:jc w:val="both"/>
        <w:textAlignment w:val="baseline"/>
        <w:rPr>
          <w:rFonts w:hint="eastAsia" w:ascii="宋体" w:hAnsi="宋体" w:eastAsia="方正仿宋_GB2312" w:cs="方正仿宋_GB2312"/>
          <w:spacing w:val="-22"/>
          <w:sz w:val="21"/>
          <w:szCs w:val="21"/>
        </w:rPr>
        <w:sectPr>
          <w:footerReference r:id="rId3" w:type="default"/>
          <w:pgSz w:w="11905" w:h="16838"/>
          <w:pgMar w:top="1701" w:right="1474" w:bottom="1531" w:left="1587" w:header="0" w:footer="1071"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9"/>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35" w:type="dxa"/>
            <w:vMerge w:val="restart"/>
            <w:tcBorders>
              <w:bottom w:val="nil"/>
            </w:tcBorders>
            <w:vAlign w:val="center"/>
          </w:tcPr>
          <w:p>
            <w:pPr>
              <w:pStyle w:val="8"/>
              <w:spacing w:before="75" w:line="180" w:lineRule="auto"/>
              <w:jc w:val="center"/>
              <w:rPr>
                <w:rFonts w:hint="eastAsia" w:ascii="宋体" w:hAnsi="宋体" w:eastAsia="方正仿宋_GB2312" w:cs="方正仿宋_GB2312"/>
                <w:sz w:val="21"/>
                <w:szCs w:val="21"/>
              </w:rPr>
            </w:pPr>
            <w:r>
              <w:rPr>
                <w:rFonts w:hint="eastAsia" w:ascii="宋体" w:hAnsi="宋体" w:eastAsia="方正仿宋_GB2312" w:cs="方正仿宋_GB2312"/>
                <w:spacing w:val="-22"/>
                <w:sz w:val="21"/>
                <w:szCs w:val="21"/>
              </w:rPr>
              <w:t>三、</w:t>
            </w:r>
          </w:p>
          <w:p>
            <w:pPr>
              <w:pStyle w:val="8"/>
              <w:spacing w:line="197"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3"/>
                <w:sz w:val="21"/>
                <w:szCs w:val="21"/>
              </w:rPr>
              <w:t>本年</w:t>
            </w:r>
          </w:p>
          <w:p>
            <w:pPr>
              <w:pStyle w:val="8"/>
              <w:spacing w:line="210"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6"/>
                <w:sz w:val="21"/>
                <w:szCs w:val="21"/>
              </w:rPr>
              <w:t>度办</w:t>
            </w:r>
          </w:p>
          <w:p>
            <w:pPr>
              <w:pStyle w:val="8"/>
              <w:spacing w:line="208" w:lineRule="auto"/>
              <w:ind w:left="105"/>
              <w:jc w:val="left"/>
              <w:rPr>
                <w:rFonts w:hint="eastAsia" w:ascii="宋体" w:hAnsi="宋体" w:eastAsia="方正仿宋_GB2312" w:cs="方正仿宋_GB2312"/>
                <w:sz w:val="21"/>
                <w:szCs w:val="21"/>
              </w:rPr>
            </w:pPr>
            <w:r>
              <w:rPr>
                <w:rFonts w:hint="eastAsia" w:ascii="宋体" w:hAnsi="宋体" w:eastAsia="方正仿宋_GB2312" w:cs="方正仿宋_GB2312"/>
                <w:spacing w:val="6"/>
                <w:sz w:val="21"/>
                <w:szCs w:val="21"/>
              </w:rPr>
              <w:t>理结</w:t>
            </w:r>
          </w:p>
          <w:p>
            <w:pPr>
              <w:pStyle w:val="8"/>
              <w:spacing w:line="220" w:lineRule="auto"/>
              <w:ind w:left="225"/>
              <w:jc w:val="left"/>
              <w:rPr>
                <w:rFonts w:hint="eastAsia" w:ascii="宋体" w:hAnsi="宋体" w:eastAsia="方正仿宋_GB2312" w:cs="方正仿宋_GB2312"/>
                <w:sz w:val="21"/>
                <w:szCs w:val="21"/>
              </w:rPr>
            </w:pPr>
            <w:r>
              <w:rPr>
                <w:rFonts w:hint="eastAsia" w:ascii="宋体" w:hAnsi="宋体"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一</w:t>
            </w:r>
            <w:r>
              <w:rPr>
                <w:rFonts w:hint="eastAsia" w:ascii="宋体" w:hAnsi="宋体" w:eastAsia="方正仿宋_GB2312" w:cs="方正仿宋_GB2312"/>
                <w:lang w:eastAsia="zh-CN"/>
              </w:rPr>
              <w:t>）</w:t>
            </w:r>
            <w:r>
              <w:rPr>
                <w:rFonts w:hint="eastAsia" w:ascii="宋体" w:hAnsi="宋体" w:eastAsia="方正仿宋_GB2312" w:cs="方正仿宋_GB2312"/>
              </w:rPr>
              <w:t>予以公开</w:t>
            </w:r>
          </w:p>
        </w:tc>
        <w:tc>
          <w:tcPr>
            <w:tcW w:w="460"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宋体" w:hAnsi="宋体" w:eastAsia="方正仿宋_GB2312" w:cs="方正仿宋_GB2312"/>
                <w:lang w:eastAsia="zh-CN"/>
              </w:rPr>
            </w:pPr>
            <w:r>
              <w:rPr>
                <w:rFonts w:hint="eastAsia" w:ascii="宋体" w:hAnsi="宋体" w:eastAsia="方正仿宋_GB2312" w:cs="方正仿宋_GB2312"/>
                <w:lang w:eastAsia="zh-CN"/>
              </w:rPr>
              <w:t>（</w:t>
            </w:r>
            <w:r>
              <w:rPr>
                <w:rFonts w:hint="eastAsia" w:ascii="宋体" w:hAnsi="宋体" w:eastAsia="方正仿宋_GB2312" w:cs="方正仿宋_GB2312"/>
              </w:rPr>
              <w:t>二</w:t>
            </w:r>
            <w:r>
              <w:rPr>
                <w:rFonts w:hint="eastAsia" w:ascii="宋体" w:hAnsi="宋体" w:eastAsia="方正仿宋_GB2312" w:cs="方正仿宋_GB2312"/>
                <w:lang w:eastAsia="zh-CN"/>
              </w:rPr>
              <w:t>）</w:t>
            </w:r>
            <w:r>
              <w:rPr>
                <w:rFonts w:hint="eastAsia" w:ascii="宋体" w:hAnsi="宋体" w:eastAsia="方正仿宋_GB2312" w:cs="方正仿宋_GB2312"/>
              </w:rPr>
              <w:t>部分公开</w:t>
            </w:r>
            <w:r>
              <w:rPr>
                <w:rFonts w:hint="eastAsia" w:ascii="宋体" w:hAnsi="宋体" w:eastAsia="方正仿宋_GB2312" w:cs="方正仿宋_GB2312"/>
                <w:lang w:eastAsia="zh-CN"/>
              </w:rPr>
              <w:t>（</w:t>
            </w:r>
            <w:r>
              <w:rPr>
                <w:rFonts w:hint="eastAsia" w:ascii="宋体" w:hAnsi="宋体" w:eastAsia="方正仿宋_GB2312" w:cs="方正仿宋_GB2312"/>
              </w:rPr>
              <w:t>区分处理的，只计这一情形，不计其他情形</w:t>
            </w:r>
            <w:r>
              <w:rPr>
                <w:rFonts w:hint="eastAsia" w:ascii="宋体" w:hAnsi="宋体" w:eastAsia="方正仿宋_GB2312" w:cs="方正仿宋_GB2312"/>
                <w:lang w:eastAsia="zh-CN"/>
              </w:rPr>
              <w:t>）</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三</w:t>
            </w:r>
            <w:r>
              <w:rPr>
                <w:rFonts w:hint="eastAsia" w:ascii="宋体" w:hAnsi="宋体" w:eastAsia="方正仿宋_GB2312" w:cs="方正仿宋_GB2312"/>
                <w:lang w:eastAsia="zh-CN"/>
              </w:rPr>
              <w:t>）</w:t>
            </w:r>
            <w:r>
              <w:rPr>
                <w:rFonts w:hint="eastAsia" w:ascii="宋体" w:hAnsi="宋体" w:eastAsia="方正仿宋_GB2312" w:cs="方正仿宋_GB2312"/>
              </w:rPr>
              <w:t>不予</w:t>
            </w:r>
          </w:p>
          <w:p>
            <w:pPr>
              <w:jc w:val="center"/>
              <w:rPr>
                <w:rFonts w:hint="eastAsia" w:ascii="宋体" w:hAnsi="宋体" w:eastAsia="方正仿宋_GB2312" w:cs="方正仿宋_GB2312"/>
              </w:rPr>
            </w:pPr>
            <w:r>
              <w:rPr>
                <w:rFonts w:hint="eastAsia" w:ascii="宋体" w:hAnsi="宋体"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1.属于国家秘密</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2.其他法律行政法规禁止公开</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3.危及“三安全一稳定”</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4.保护第三方合法权益</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5.属于三类内部事务信息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6.属于四类过程性信息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7.属于行政执法案卷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8.属于行政查询事项</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四</w:t>
            </w:r>
            <w:r>
              <w:rPr>
                <w:rFonts w:hint="eastAsia" w:ascii="宋体" w:hAnsi="宋体" w:eastAsia="方正仿宋_GB2312" w:cs="方正仿宋_GB2312"/>
                <w:lang w:eastAsia="zh-CN"/>
              </w:rPr>
              <w:t>）</w:t>
            </w:r>
            <w:r>
              <w:rPr>
                <w:rFonts w:hint="eastAsia" w:ascii="宋体" w:hAnsi="宋体" w:eastAsia="方正仿宋_GB2312" w:cs="方正仿宋_GB2312"/>
              </w:rPr>
              <w:t>无法</w:t>
            </w:r>
          </w:p>
          <w:p>
            <w:pPr>
              <w:jc w:val="center"/>
              <w:rPr>
                <w:rFonts w:hint="eastAsia" w:ascii="宋体" w:hAnsi="宋体" w:eastAsia="方正仿宋_GB2312" w:cs="方正仿宋_GB2312"/>
              </w:rPr>
            </w:pPr>
            <w:r>
              <w:rPr>
                <w:rFonts w:hint="eastAsia" w:ascii="宋体" w:hAnsi="宋体"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1.本机关不掌握相关政府信息</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2.没有现成信息需要另行制作</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3.补正后申请内容仍不明确</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五</w:t>
            </w:r>
            <w:r>
              <w:rPr>
                <w:rFonts w:hint="eastAsia" w:ascii="宋体" w:hAnsi="宋体" w:eastAsia="方正仿宋_GB2312" w:cs="方正仿宋_GB2312"/>
                <w:lang w:eastAsia="zh-CN"/>
              </w:rPr>
              <w:t>）</w:t>
            </w:r>
            <w:r>
              <w:rPr>
                <w:rFonts w:hint="eastAsia" w:ascii="宋体" w:hAnsi="宋体" w:eastAsia="方正仿宋_GB2312" w:cs="方正仿宋_GB2312"/>
              </w:rPr>
              <w:t>不予</w:t>
            </w:r>
          </w:p>
          <w:p>
            <w:pPr>
              <w:jc w:val="center"/>
              <w:rPr>
                <w:rFonts w:hint="eastAsia" w:ascii="宋体" w:hAnsi="宋体" w:eastAsia="方正仿宋_GB2312" w:cs="方正仿宋_GB2312"/>
              </w:rPr>
            </w:pPr>
            <w:r>
              <w:rPr>
                <w:rFonts w:hint="eastAsia" w:ascii="宋体" w:hAnsi="宋体"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1.信访举报投诉类申请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2.重复申请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3.要求提供公开出版物</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4.无正当理由大量反复申请</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center"/>
          </w:tcPr>
          <w:p>
            <w:pPr>
              <w:jc w:val="cente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5.要求行政机关确认或重新出具已获取信息</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restart"/>
            <w:tcBorders>
              <w:bottom w:val="nil"/>
            </w:tcBorders>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六</w:t>
            </w:r>
            <w:r>
              <w:rPr>
                <w:rFonts w:hint="eastAsia" w:ascii="宋体" w:hAnsi="宋体" w:eastAsia="方正仿宋_GB2312" w:cs="方正仿宋_GB2312"/>
                <w:lang w:eastAsia="zh-CN"/>
              </w:rPr>
              <w:t>）</w:t>
            </w:r>
            <w:r>
              <w:rPr>
                <w:rFonts w:hint="eastAsia" w:ascii="宋体" w:hAnsi="宋体" w:eastAsia="方正仿宋_GB2312" w:cs="方正仿宋_GB2312"/>
              </w:rPr>
              <w:t>其他</w:t>
            </w:r>
          </w:p>
          <w:p>
            <w:pPr>
              <w:jc w:val="center"/>
              <w:rPr>
                <w:rFonts w:hint="eastAsia" w:ascii="宋体" w:hAnsi="宋体" w:eastAsia="方正仿宋_GB2312" w:cs="方正仿宋_GB2312"/>
              </w:rPr>
            </w:pPr>
            <w:r>
              <w:rPr>
                <w:rFonts w:hint="eastAsia" w:ascii="宋体" w:hAnsi="宋体"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0"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sz w:val="20"/>
                <w:szCs w:val="20"/>
              </w:rPr>
              <w:t>1.申请人无正当理由逾期不补正、行政机关不再处理其政府信息公开申请</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bottom w:val="nil"/>
            </w:tcBorders>
            <w:vAlign w:val="top"/>
          </w:tcPr>
          <w:p>
            <w:pP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宋体" w:hAnsi="宋体" w:eastAsia="方正仿宋_GB2312" w:cs="方正仿宋_GB2312"/>
              </w:rPr>
            </w:pPr>
            <w:r>
              <w:rPr>
                <w:rFonts w:hint="eastAsia" w:ascii="宋体" w:hAnsi="宋体" w:eastAsia="方正仿宋_GB2312" w:cs="方正仿宋_GB2312"/>
              </w:rPr>
              <w:t>2.申请人逾期未按收费通知要求缴纳费用、行政机关不再处理其政府信息公开申请</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rPr>
            </w:pPr>
          </w:p>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宋体" w:hAnsi="宋体" w:eastAsia="方正仿宋_GB2312" w:cs="方正仿宋_GB2312"/>
                <w:sz w:val="21"/>
                <w:szCs w:val="21"/>
              </w:rPr>
            </w:pPr>
          </w:p>
        </w:tc>
        <w:tc>
          <w:tcPr>
            <w:tcW w:w="749" w:type="dxa"/>
            <w:vMerge w:val="continue"/>
            <w:tcBorders>
              <w:top w:val="nil"/>
            </w:tcBorders>
            <w:vAlign w:val="top"/>
          </w:tcPr>
          <w:p>
            <w:pPr>
              <w:rPr>
                <w:rFonts w:hint="eastAsia" w:ascii="宋体" w:hAnsi="宋体"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宋体" w:hAnsi="宋体" w:eastAsia="方正仿宋_GB2312" w:cs="方正仿宋_GB2312"/>
              </w:rPr>
            </w:pPr>
            <w:r>
              <w:rPr>
                <w:rFonts w:hint="eastAsia" w:ascii="宋体" w:hAnsi="宋体" w:eastAsia="方正仿宋_GB2312" w:cs="方正仿宋_GB2312"/>
              </w:rPr>
              <w:t>3.其他</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35" w:type="dxa"/>
            <w:vMerge w:val="continue"/>
            <w:tcBorders>
              <w:top w:val="nil"/>
            </w:tcBorders>
            <w:vAlign w:val="top"/>
          </w:tcPr>
          <w:p>
            <w:pPr>
              <w:jc w:val="center"/>
              <w:rPr>
                <w:rFonts w:hint="eastAsia" w:ascii="宋体" w:hAnsi="宋体" w:eastAsia="方正仿宋_GB2312" w:cs="方正仿宋_GB2312"/>
                <w:sz w:val="21"/>
                <w:szCs w:val="21"/>
              </w:rPr>
            </w:pPr>
          </w:p>
        </w:tc>
        <w:tc>
          <w:tcPr>
            <w:tcW w:w="3635" w:type="dxa"/>
            <w:gridSpan w:val="2"/>
            <w:vAlign w:val="center"/>
          </w:tcPr>
          <w:p>
            <w:pPr>
              <w:jc w:val="center"/>
              <w:rPr>
                <w:rFonts w:hint="eastAsia" w:ascii="宋体" w:hAnsi="宋体" w:eastAsia="方正仿宋_GB2312" w:cs="方正仿宋_GB2312"/>
              </w:rPr>
            </w:pPr>
            <w:r>
              <w:rPr>
                <w:rFonts w:hint="eastAsia" w:ascii="宋体" w:hAnsi="宋体" w:eastAsia="方正仿宋_GB2312" w:cs="方正仿宋_GB2312"/>
                <w:lang w:eastAsia="zh-CN"/>
              </w:rPr>
              <w:t>（</w:t>
            </w:r>
            <w:r>
              <w:rPr>
                <w:rFonts w:hint="eastAsia" w:ascii="宋体" w:hAnsi="宋体" w:eastAsia="方正仿宋_GB2312" w:cs="方正仿宋_GB2312"/>
              </w:rPr>
              <w:t>七</w:t>
            </w:r>
            <w:r>
              <w:rPr>
                <w:rFonts w:hint="eastAsia" w:ascii="宋体" w:hAnsi="宋体" w:eastAsia="方正仿宋_GB2312" w:cs="方正仿宋_GB2312"/>
                <w:lang w:eastAsia="zh-CN"/>
              </w:rPr>
              <w:t>）</w:t>
            </w:r>
            <w:r>
              <w:rPr>
                <w:rFonts w:hint="eastAsia" w:ascii="宋体" w:hAnsi="宋体" w:eastAsia="方正仿宋_GB2312" w:cs="方正仿宋_GB2312"/>
              </w:rPr>
              <w:t>总计</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370" w:type="dxa"/>
            <w:gridSpan w:val="3"/>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四、结转下年度继续办理</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4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659"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60"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c>
          <w:tcPr>
            <w:tcW w:w="454" w:type="dxa"/>
            <w:vAlign w:val="top"/>
          </w:tcPr>
          <w:p>
            <w:pPr>
              <w:jc w:val="center"/>
              <w:rPr>
                <w:rFonts w:hint="eastAsia" w:ascii="宋体" w:hAnsi="宋体" w:eastAsia="仿宋_GB2312" w:cs="仿宋_GB2312"/>
                <w:snapToGrid w:val="0"/>
                <w:color w:val="000000"/>
                <w:kern w:val="0"/>
                <w:sz w:val="21"/>
                <w:szCs w:val="21"/>
                <w:lang w:val="en-US" w:eastAsia="en-US" w:bidi="ar-SA"/>
              </w:rPr>
            </w:pPr>
            <w:r>
              <w:rPr>
                <w:rFonts w:hint="eastAsia" w:ascii="宋体" w:hAnsi="宋体" w:eastAsia="仿宋_GB2312" w:cs="仿宋_GB2312"/>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宋体" w:hAnsi="宋体" w:eastAsia="黑体" w:cs="黑体"/>
          <w:b w:val="0"/>
          <w:bCs w:val="0"/>
          <w:sz w:val="32"/>
          <w:szCs w:val="32"/>
        </w:rPr>
      </w:pPr>
      <w:r>
        <w:rPr>
          <w:rFonts w:hint="eastAsia" w:ascii="宋体" w:hAnsi="宋体" w:eastAsia="黑体" w:cs="黑体"/>
          <w:b w:val="0"/>
          <w:bCs w:val="0"/>
          <w:spacing w:val="-4"/>
          <w:sz w:val="32"/>
          <w:szCs w:val="32"/>
        </w:rPr>
        <w:t>四、政府信息公开行政复议、行政诉讼情况</w:t>
      </w:r>
    </w:p>
    <w:tbl>
      <w:tblPr>
        <w:tblStyle w:val="9"/>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2825"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行政复议</w:t>
            </w:r>
          </w:p>
        </w:tc>
        <w:tc>
          <w:tcPr>
            <w:tcW w:w="5654" w:type="dxa"/>
            <w:gridSpan w:val="10"/>
            <w:vAlign w:val="center"/>
          </w:tcPr>
          <w:p>
            <w:pPr>
              <w:jc w:val="center"/>
              <w:rPr>
                <w:rFonts w:hint="eastAsia" w:ascii="宋体" w:hAnsi="宋体" w:eastAsia="方正仿宋_GB2312" w:cs="方正仿宋_GB2312"/>
              </w:rPr>
            </w:pPr>
            <w:r>
              <w:rPr>
                <w:rFonts w:hint="eastAsia" w:ascii="宋体" w:hAnsi="宋体"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5" w:type="dxa"/>
            <w:vMerge w:val="restart"/>
            <w:tcBorders>
              <w:bottom w:val="nil"/>
            </w:tcBorders>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c>
          <w:tcPr>
            <w:tcW w:w="2825"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未经复议直接起诉</w:t>
            </w:r>
          </w:p>
        </w:tc>
        <w:tc>
          <w:tcPr>
            <w:tcW w:w="2829" w:type="dxa"/>
            <w:gridSpan w:val="5"/>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vMerge w:val="continue"/>
            <w:tcBorders>
              <w:top w:val="nil"/>
            </w:tcBorders>
            <w:textDirection w:val="tbRlV"/>
            <w:vAlign w:val="center"/>
          </w:tcPr>
          <w:p>
            <w:pPr>
              <w:jc w:val="center"/>
              <w:rPr>
                <w:rFonts w:hint="eastAsia" w:ascii="宋体" w:hAnsi="宋体" w:eastAsia="方正仿宋_GB2312" w:cs="方正仿宋_GB2312"/>
              </w:rPr>
            </w:pP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c>
          <w:tcPr>
            <w:tcW w:w="565"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结果维持</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结果纠正</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其他结果</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尚未审结</w:t>
            </w:r>
          </w:p>
        </w:tc>
        <w:tc>
          <w:tcPr>
            <w:tcW w:w="566" w:type="dxa"/>
            <w:textDirection w:val="tbRlV"/>
            <w:vAlign w:val="center"/>
          </w:tcPr>
          <w:p>
            <w:pPr>
              <w:jc w:val="center"/>
              <w:rPr>
                <w:rFonts w:hint="eastAsia" w:ascii="宋体" w:hAnsi="宋体" w:eastAsia="方正仿宋_GB2312" w:cs="方正仿宋_GB2312"/>
              </w:rPr>
            </w:pPr>
            <w:r>
              <w:rPr>
                <w:rFonts w:hint="eastAsia" w:ascii="宋体" w:hAnsi="宋体"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eastAsia" w:ascii="宋体" w:hAnsi="宋体" w:eastAsia="仿宋_GB2312" w:cs="仿宋_GB2312"/>
                <w:i w:val="0"/>
                <w:iCs w:val="0"/>
                <w:caps w:val="0"/>
                <w:snapToGrid w:val="0"/>
                <w:color w:val="333333"/>
                <w:spacing w:val="0"/>
                <w:kern w:val="0"/>
                <w:sz w:val="18"/>
                <w:szCs w:val="18"/>
                <w:lang w:eastAsia="zh-CN" w:bidi="ar-SA"/>
              </w:rPr>
            </w:pPr>
            <w:r>
              <w:rPr>
                <w:rFonts w:hint="eastAsia" w:ascii="宋体" w:hAnsi="宋体" w:eastAsia="仿宋_GB2312" w:cs="仿宋_GB2312"/>
                <w:i w:val="0"/>
                <w:iCs w:val="0"/>
                <w:caps w:val="0"/>
                <w:snapToGrid w:val="0"/>
                <w:color w:val="333333"/>
                <w:spacing w:val="0"/>
                <w:kern w:val="0"/>
                <w:sz w:val="18"/>
                <w:szCs w:val="18"/>
                <w:lang w:val="en-US" w:eastAsia="zh-CN"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eastAsia" w:ascii="宋体" w:hAnsi="宋体" w:eastAsia="仿宋_GB2312" w:cs="仿宋_GB2312"/>
                <w:i w:val="0"/>
                <w:iCs w:val="0"/>
                <w:caps w:val="0"/>
                <w:snapToGrid w:val="0"/>
                <w:color w:val="333333"/>
                <w:spacing w:val="0"/>
                <w:kern w:val="0"/>
                <w:sz w:val="18"/>
                <w:szCs w:val="18"/>
                <w:lang w:eastAsia="zh-CN" w:bidi="ar-SA"/>
              </w:rPr>
            </w:pPr>
            <w:r>
              <w:rPr>
                <w:rFonts w:hint="eastAsia" w:ascii="宋体" w:hAnsi="宋体" w:eastAsia="仿宋_GB2312" w:cs="仿宋_GB2312"/>
                <w:i w:val="0"/>
                <w:iCs w:val="0"/>
                <w:caps w:val="0"/>
                <w:snapToGrid w:val="0"/>
                <w:color w:val="333333"/>
                <w:spacing w:val="0"/>
                <w:kern w:val="0"/>
                <w:sz w:val="18"/>
                <w:szCs w:val="18"/>
                <w:lang w:val="en-US" w:eastAsia="zh-CN"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eastAsia" w:ascii="宋体" w:hAnsi="宋体" w:eastAsia="仿宋_GB2312" w:cs="仿宋_GB2312"/>
                <w:i w:val="0"/>
                <w:iCs w:val="0"/>
                <w:caps w:val="0"/>
                <w:snapToGrid w:val="0"/>
                <w:color w:val="333333"/>
                <w:spacing w:val="0"/>
                <w:kern w:val="0"/>
                <w:sz w:val="18"/>
                <w:szCs w:val="18"/>
                <w:lang w:eastAsia="zh-CN" w:bidi="ar-SA"/>
              </w:rPr>
            </w:pPr>
            <w:r>
              <w:rPr>
                <w:rFonts w:hint="eastAsia" w:ascii="宋体" w:hAnsi="宋体" w:eastAsia="仿宋_GB2312" w:cs="仿宋_GB2312"/>
                <w:i w:val="0"/>
                <w:iCs w:val="0"/>
                <w:caps w:val="0"/>
                <w:snapToGrid w:val="0"/>
                <w:color w:val="333333"/>
                <w:spacing w:val="0"/>
                <w:kern w:val="0"/>
                <w:sz w:val="18"/>
                <w:szCs w:val="18"/>
                <w:lang w:val="en-US" w:eastAsia="zh-CN"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default" w:ascii="宋体" w:hAnsi="宋体" w:eastAsia="仿宋_GB2312" w:cs="仿宋_GB2312"/>
                <w:i w:val="0"/>
                <w:iCs w:val="0"/>
                <w:caps w:val="0"/>
                <w:snapToGrid w:val="0"/>
                <w:color w:val="333333"/>
                <w:spacing w:val="0"/>
                <w:kern w:val="0"/>
                <w:sz w:val="18"/>
                <w:szCs w:val="18"/>
                <w:lang w:eastAsia="en-US" w:bidi="ar-SA"/>
              </w:rPr>
            </w:pPr>
            <w:r>
              <w:rPr>
                <w:rFonts w:hint="default" w:ascii="宋体" w:hAnsi="宋体" w:eastAsia="仿宋_GB2312" w:cs="仿宋_GB2312"/>
                <w:i w:val="0"/>
                <w:iCs w:val="0"/>
                <w:caps w:val="0"/>
                <w:snapToGrid w:val="0"/>
                <w:color w:val="333333"/>
                <w:spacing w:val="0"/>
                <w:kern w:val="0"/>
                <w:sz w:val="18"/>
                <w:szCs w:val="18"/>
                <w:lang w:eastAsia="en-US"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eastAsia" w:ascii="宋体" w:hAnsi="宋体" w:eastAsia="仿宋_GB2312" w:cs="仿宋_GB2312"/>
                <w:i w:val="0"/>
                <w:iCs w:val="0"/>
                <w:caps w:val="0"/>
                <w:snapToGrid w:val="0"/>
                <w:color w:val="333333"/>
                <w:spacing w:val="0"/>
                <w:kern w:val="0"/>
                <w:sz w:val="18"/>
                <w:szCs w:val="18"/>
                <w:lang w:eastAsia="zh-CN" w:bidi="ar-SA"/>
              </w:rPr>
            </w:pPr>
            <w:r>
              <w:rPr>
                <w:rFonts w:hint="eastAsia" w:ascii="宋体" w:hAnsi="宋体" w:eastAsia="仿宋_GB2312" w:cs="仿宋_GB2312"/>
                <w:i w:val="0"/>
                <w:iCs w:val="0"/>
                <w:caps w:val="0"/>
                <w:snapToGrid w:val="0"/>
                <w:color w:val="333333"/>
                <w:spacing w:val="0"/>
                <w:kern w:val="0"/>
                <w:sz w:val="18"/>
                <w:szCs w:val="18"/>
                <w:lang w:val="en-US" w:eastAsia="zh-CN" w:bidi="ar-SA"/>
              </w:rPr>
              <w:t>0</w:t>
            </w:r>
          </w:p>
        </w:tc>
        <w:tc>
          <w:tcPr>
            <w:tcW w:w="56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leftChars="0" w:right="0" w:rightChars="0" w:firstLine="0" w:firstLineChars="0"/>
              <w:jc w:val="center"/>
              <w:textAlignment w:val="center"/>
              <w:rPr>
                <w:rFonts w:hint="eastAsia" w:ascii="宋体" w:hAnsi="宋体" w:eastAsia="仿宋_GB2312" w:cs="仿宋_GB2312"/>
                <w:i w:val="0"/>
                <w:iCs w:val="0"/>
                <w:caps w:val="0"/>
                <w:snapToGrid w:val="0"/>
                <w:color w:val="333333"/>
                <w:spacing w:val="0"/>
                <w:kern w:val="0"/>
                <w:sz w:val="18"/>
                <w:szCs w:val="18"/>
                <w:lang w:eastAsia="zh-CN" w:bidi="ar-SA"/>
              </w:rPr>
            </w:pPr>
            <w:r>
              <w:rPr>
                <w:rFonts w:hint="eastAsia" w:ascii="宋体" w:hAnsi="宋体" w:eastAsia="仿宋_GB2312" w:cs="仿宋_GB2312"/>
                <w:i w:val="0"/>
                <w:iCs w:val="0"/>
                <w:caps w:val="0"/>
                <w:snapToGrid w:val="0"/>
                <w:color w:val="333333"/>
                <w:spacing w:val="0"/>
                <w:kern w:val="0"/>
                <w:sz w:val="18"/>
                <w:szCs w:val="18"/>
                <w:lang w:val="en-US" w:eastAsia="zh-CN"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default" w:ascii="宋体" w:hAnsi="宋体" w:eastAsia="仿宋_GB2312" w:cs="仿宋_GB2312"/>
          <w:i w:val="0"/>
          <w:iCs w:val="0"/>
          <w:caps w:val="0"/>
          <w:color w:val="333333"/>
          <w:spacing w:val="0"/>
          <w:kern w:val="2"/>
          <w:sz w:val="32"/>
          <w:szCs w:val="32"/>
          <w:shd w:val="clear" w:fill="FFFFFF"/>
          <w:lang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（一）</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存在的主要问题：</w:t>
      </w:r>
      <w:r>
        <w:rPr>
          <w:rFonts w:hint="eastAsia" w:ascii="宋体" w:hAnsi="宋体" w:eastAsia="仿宋_GB2312" w:cs="仿宋_GB2312"/>
          <w:i w:val="0"/>
          <w:iCs w:val="0"/>
          <w:caps w:val="0"/>
          <w:color w:val="333333"/>
          <w:spacing w:val="0"/>
          <w:kern w:val="2"/>
          <w:sz w:val="32"/>
          <w:szCs w:val="32"/>
          <w:shd w:val="clear" w:fill="FFFFFF"/>
          <w:lang w:val="en-US" w:eastAsia="zh-CN" w:bidi="ar-SA"/>
        </w:rPr>
        <w:t>2024年</w:t>
      </w:r>
      <w:r>
        <w:rPr>
          <w:rFonts w:hint="default" w:ascii="宋体" w:hAnsi="宋体" w:eastAsia="仿宋_GB2312" w:cs="仿宋_GB2312"/>
          <w:i w:val="0"/>
          <w:iCs w:val="0"/>
          <w:caps w:val="0"/>
          <w:color w:val="333333"/>
          <w:spacing w:val="0"/>
          <w:kern w:val="2"/>
          <w:sz w:val="32"/>
          <w:szCs w:val="32"/>
          <w:shd w:val="clear" w:fill="FFFFFF"/>
          <w:lang w:eastAsia="zh-CN" w:bidi="ar-SA"/>
        </w:rPr>
        <w:t>和田地区</w:t>
      </w:r>
      <w:r>
        <w:rPr>
          <w:rFonts w:hint="eastAsia" w:ascii="宋体" w:hAnsi="宋体" w:eastAsia="仿宋_GB2312" w:cs="仿宋_GB2312"/>
          <w:i w:val="0"/>
          <w:iCs w:val="0"/>
          <w:caps w:val="0"/>
          <w:color w:val="333333"/>
          <w:spacing w:val="0"/>
          <w:kern w:val="2"/>
          <w:sz w:val="32"/>
          <w:szCs w:val="32"/>
          <w:shd w:val="clear" w:fill="FFFFFF"/>
          <w:lang w:val="en-US" w:eastAsia="zh-CN" w:bidi="ar-SA"/>
        </w:rPr>
        <w:t>司法局政府信息公开工作满足了社会公众关切需求，方便了群众办事，取得了一定的成效，但仍存在诸多不足。</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一是</w:t>
      </w:r>
      <w:r>
        <w:rPr>
          <w:rFonts w:hint="eastAsia" w:ascii="宋体" w:hAnsi="宋体" w:eastAsia="仿宋_GB2312" w:cs="仿宋_GB2312"/>
          <w:i w:val="0"/>
          <w:iCs w:val="0"/>
          <w:caps w:val="0"/>
          <w:color w:val="333333"/>
          <w:spacing w:val="0"/>
          <w:kern w:val="2"/>
          <w:sz w:val="32"/>
          <w:szCs w:val="32"/>
          <w:shd w:val="clear" w:fill="FFFFFF"/>
          <w:lang w:val="en-US" w:eastAsia="zh-CN" w:bidi="ar-SA"/>
        </w:rPr>
        <w:t>政务公开工作人员业务能力有待进一步提高，政府信息公开质量不高。</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二是</w:t>
      </w:r>
      <w:r>
        <w:rPr>
          <w:rFonts w:hint="default" w:ascii="宋体" w:hAnsi="宋体" w:eastAsia="仿宋_GB2312" w:cs="仿宋_GB2312"/>
          <w:i w:val="0"/>
          <w:iCs w:val="0"/>
          <w:caps w:val="0"/>
          <w:color w:val="333333"/>
          <w:spacing w:val="0"/>
          <w:kern w:val="2"/>
          <w:sz w:val="32"/>
          <w:szCs w:val="32"/>
          <w:shd w:val="clear" w:fill="FFFFFF"/>
          <w:lang w:eastAsia="zh-CN" w:bidi="ar-SA"/>
        </w:rPr>
        <w:t>政府信息公开形式多样性不足、可读性不强。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default" w:ascii="宋体" w:hAnsi="宋体" w:eastAsia="方正楷体_GBK" w:cs="方正楷体_GBK"/>
          <w:b/>
          <w:bCs/>
          <w:i w:val="0"/>
          <w:iCs w:val="0"/>
          <w:caps w:val="0"/>
          <w:color w:val="333333"/>
          <w:spacing w:val="0"/>
          <w:kern w:val="2"/>
          <w:sz w:val="32"/>
          <w:szCs w:val="32"/>
          <w:shd w:val="clear" w:fill="FFFFFF"/>
          <w:lang w:eastAsia="zh-CN" w:bidi="ar-SA"/>
        </w:rPr>
        <w:t>（二）</w:t>
      </w:r>
      <w:r>
        <w:rPr>
          <w:rFonts w:hint="eastAsia" w:ascii="宋体" w:hAnsi="宋体" w:eastAsia="方正楷体_GBK" w:cs="方正楷体_GBK"/>
          <w:b/>
          <w:bCs/>
          <w:i w:val="0"/>
          <w:iCs w:val="0"/>
          <w:caps w:val="0"/>
          <w:color w:val="333333"/>
          <w:spacing w:val="0"/>
          <w:kern w:val="2"/>
          <w:sz w:val="32"/>
          <w:szCs w:val="32"/>
          <w:shd w:val="clear" w:fill="FFFFFF"/>
          <w:lang w:val="en-US" w:eastAsia="zh-CN" w:bidi="ar-SA"/>
        </w:rPr>
        <w:t>改进情况：</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一是</w:t>
      </w:r>
      <w:r>
        <w:rPr>
          <w:rFonts w:hint="eastAsia" w:ascii="宋体" w:hAnsi="宋体" w:eastAsia="仿宋_GB2312" w:cs="仿宋_GB2312"/>
          <w:i w:val="0"/>
          <w:iCs w:val="0"/>
          <w:caps w:val="0"/>
          <w:color w:val="333333"/>
          <w:spacing w:val="0"/>
          <w:kern w:val="2"/>
          <w:sz w:val="32"/>
          <w:szCs w:val="32"/>
          <w:shd w:val="clear" w:fill="FFFFFF"/>
          <w:lang w:val="en-US" w:eastAsia="zh-CN" w:bidi="ar-SA"/>
        </w:rPr>
        <w:t>进一步加强政府信息公开人员的业务培训，持续深化学习，不断提升政府信息公开工作水平</w:t>
      </w:r>
      <w:r>
        <w:rPr>
          <w:rFonts w:hint="default" w:ascii="宋体" w:hAnsi="宋体" w:eastAsia="仿宋_GB2312" w:cs="仿宋_GB2312"/>
          <w:i w:val="0"/>
          <w:iCs w:val="0"/>
          <w:caps w:val="0"/>
          <w:color w:val="333333"/>
          <w:spacing w:val="0"/>
          <w:kern w:val="2"/>
          <w:sz w:val="32"/>
          <w:szCs w:val="32"/>
          <w:shd w:val="clear" w:fill="FFFFFF"/>
          <w:lang w:val="en-US" w:eastAsia="zh-CN" w:bidi="ar-SA"/>
        </w:rPr>
        <w:t>，</w:t>
      </w:r>
      <w:r>
        <w:rPr>
          <w:rFonts w:hint="eastAsia" w:ascii="宋体" w:hAnsi="宋体" w:eastAsia="仿宋_GB2312" w:cs="仿宋_GB2312"/>
          <w:i w:val="0"/>
          <w:iCs w:val="0"/>
          <w:caps w:val="0"/>
          <w:color w:val="333333"/>
          <w:spacing w:val="0"/>
          <w:kern w:val="2"/>
          <w:sz w:val="32"/>
          <w:szCs w:val="32"/>
          <w:shd w:val="clear" w:fill="FFFFFF"/>
          <w:lang w:val="en-US" w:eastAsia="zh-CN" w:bidi="ar-SA"/>
        </w:rPr>
        <w:t>确保政府信息公开工作有序高效进行。</w:t>
      </w:r>
      <w:r>
        <w:rPr>
          <w:rFonts w:hint="eastAsia" w:ascii="宋体" w:hAnsi="宋体" w:eastAsia="仿宋_GB2312" w:cs="仿宋_GB2312"/>
          <w:b/>
          <w:bCs/>
          <w:i w:val="0"/>
          <w:iCs w:val="0"/>
          <w:caps w:val="0"/>
          <w:color w:val="333333"/>
          <w:spacing w:val="0"/>
          <w:kern w:val="2"/>
          <w:sz w:val="32"/>
          <w:szCs w:val="32"/>
          <w:shd w:val="clear" w:fill="FFFFFF"/>
          <w:lang w:val="en-US" w:eastAsia="zh-CN" w:bidi="ar-SA"/>
        </w:rPr>
        <w:t>二是</w:t>
      </w:r>
      <w:r>
        <w:rPr>
          <w:rFonts w:hint="default" w:ascii="宋体" w:hAnsi="宋体" w:eastAsia="仿宋_GB2312" w:cs="仿宋_GB2312"/>
          <w:i w:val="0"/>
          <w:iCs w:val="0"/>
          <w:caps w:val="0"/>
          <w:color w:val="333333"/>
          <w:spacing w:val="0"/>
          <w:kern w:val="2"/>
          <w:sz w:val="32"/>
          <w:szCs w:val="32"/>
          <w:shd w:val="clear" w:fill="FFFFFF"/>
          <w:lang w:eastAsia="zh-CN" w:bidi="ar-SA"/>
        </w:rPr>
        <w:t>进一步创新政府信息公开形式，拓展政府信息公开渠道，增强政府信息公开的广泛性，提高普及性和便民性。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黑体" w:cs="黑体"/>
          <w:i w:val="0"/>
          <w:iCs w:val="0"/>
          <w:caps w:val="0"/>
          <w:color w:val="333333"/>
          <w:spacing w:val="0"/>
          <w:kern w:val="2"/>
          <w:sz w:val="32"/>
          <w:szCs w:val="32"/>
          <w:shd w:val="clear" w:fill="FFFFFF"/>
          <w:lang w:val="en-US" w:eastAsia="zh-CN" w:bidi="ar-SA"/>
        </w:rPr>
      </w:pPr>
      <w:r>
        <w:rPr>
          <w:rFonts w:hint="eastAsia" w:ascii="宋体" w:hAnsi="宋体" w:eastAsia="黑体" w:cs="黑体"/>
          <w:i w:val="0"/>
          <w:iCs w:val="0"/>
          <w:caps w:val="0"/>
          <w:color w:val="333333"/>
          <w:spacing w:val="0"/>
          <w:kern w:val="2"/>
          <w:sz w:val="32"/>
          <w:szCs w:val="32"/>
          <w:shd w:val="clear" w:fill="FFFFFF"/>
          <w:lang w:val="en-US" w:eastAsia="zh-CN" w:bidi="ar-SA"/>
        </w:rPr>
        <w:t>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202</w:t>
      </w:r>
      <w:r>
        <w:rPr>
          <w:rFonts w:hint="default" w:ascii="宋体" w:hAnsi="宋体" w:eastAsia="仿宋_GB2312" w:cs="仿宋_GB2312"/>
          <w:i w:val="0"/>
          <w:iCs w:val="0"/>
          <w:caps w:val="0"/>
          <w:color w:val="333333"/>
          <w:spacing w:val="0"/>
          <w:kern w:val="2"/>
          <w:sz w:val="32"/>
          <w:szCs w:val="32"/>
          <w:shd w:val="clear" w:fill="FFFFFF"/>
          <w:lang w:val="en-US" w:eastAsia="zh-CN" w:bidi="ar-SA"/>
        </w:rPr>
        <w:t>4</w:t>
      </w:r>
      <w:r>
        <w:rPr>
          <w:rFonts w:hint="eastAsia" w:ascii="宋体" w:hAnsi="宋体" w:eastAsia="仿宋_GB2312" w:cs="仿宋_GB2312"/>
          <w:i w:val="0"/>
          <w:iCs w:val="0"/>
          <w:caps w:val="0"/>
          <w:color w:val="333333"/>
          <w:spacing w:val="0"/>
          <w:kern w:val="2"/>
          <w:sz w:val="32"/>
          <w:szCs w:val="32"/>
          <w:shd w:val="clear" w:fill="FFFFFF"/>
          <w:lang w:val="en-US" w:eastAsia="zh-CN" w:bidi="ar-SA"/>
        </w:rPr>
        <w:t>年度，按照《国务院办公厅关于印发&lt;政府信息公开处理费管理办法&gt;的通知》（国办函〔2020〕109号）规定的按件、按量收费标准，我局未产生信息公开处理费。无其他需要报告的事项。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5280" w:firstLineChars="1650"/>
        <w:jc w:val="left"/>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和田地区司法局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5120" w:firstLineChars="1600"/>
        <w:jc w:val="left"/>
        <w:textAlignment w:val="auto"/>
        <w:rPr>
          <w:rFonts w:hint="eastAsia" w:ascii="宋体" w:hAnsi="宋体" w:eastAsia="仿宋_GB2312" w:cs="仿宋_GB2312"/>
          <w:i w:val="0"/>
          <w:iCs w:val="0"/>
          <w:caps w:val="0"/>
          <w:color w:val="333333"/>
          <w:spacing w:val="0"/>
          <w:kern w:val="2"/>
          <w:sz w:val="32"/>
          <w:szCs w:val="32"/>
          <w:shd w:val="clear" w:fill="FFFFFF"/>
          <w:lang w:val="en-US" w:eastAsia="zh-CN" w:bidi="ar-SA"/>
        </w:rPr>
      </w:pPr>
      <w:r>
        <w:rPr>
          <w:rFonts w:hint="eastAsia" w:ascii="宋体" w:hAnsi="宋体" w:eastAsia="仿宋_GB2312" w:cs="仿宋_GB2312"/>
          <w:i w:val="0"/>
          <w:iCs w:val="0"/>
          <w:caps w:val="0"/>
          <w:color w:val="333333"/>
          <w:spacing w:val="0"/>
          <w:kern w:val="2"/>
          <w:sz w:val="32"/>
          <w:szCs w:val="32"/>
          <w:shd w:val="clear" w:fill="FFFFFF"/>
          <w:lang w:val="en-US" w:eastAsia="zh-CN" w:bidi="ar-SA"/>
        </w:rPr>
        <w:t>202</w:t>
      </w:r>
      <w:r>
        <w:rPr>
          <w:rFonts w:hint="default" w:ascii="宋体" w:hAnsi="宋体" w:eastAsia="仿宋_GB2312" w:cs="仿宋_GB2312"/>
          <w:i w:val="0"/>
          <w:iCs w:val="0"/>
          <w:caps w:val="0"/>
          <w:color w:val="333333"/>
          <w:spacing w:val="0"/>
          <w:kern w:val="2"/>
          <w:sz w:val="32"/>
          <w:szCs w:val="32"/>
          <w:shd w:val="clear" w:fill="FFFFFF"/>
          <w:lang w:eastAsia="zh-CN" w:bidi="ar-SA"/>
        </w:rPr>
        <w:t>5</w:t>
      </w:r>
      <w:r>
        <w:rPr>
          <w:rFonts w:hint="eastAsia" w:ascii="宋体" w:hAnsi="宋体" w:eastAsia="仿宋_GB2312" w:cs="仿宋_GB2312"/>
          <w:i w:val="0"/>
          <w:iCs w:val="0"/>
          <w:caps w:val="0"/>
          <w:color w:val="333333"/>
          <w:spacing w:val="0"/>
          <w:kern w:val="2"/>
          <w:sz w:val="32"/>
          <w:szCs w:val="32"/>
          <w:shd w:val="clear" w:fill="FFFFFF"/>
          <w:lang w:val="en-US" w:eastAsia="zh-CN" w:bidi="ar-SA"/>
        </w:rPr>
        <w:t>年1月</w:t>
      </w:r>
      <w:r>
        <w:rPr>
          <w:rFonts w:hint="default" w:ascii="宋体" w:hAnsi="宋体" w:eastAsia="仿宋_GB2312" w:cs="仿宋_GB2312"/>
          <w:i w:val="0"/>
          <w:iCs w:val="0"/>
          <w:caps w:val="0"/>
          <w:color w:val="333333"/>
          <w:spacing w:val="0"/>
          <w:kern w:val="2"/>
          <w:sz w:val="32"/>
          <w:szCs w:val="32"/>
          <w:shd w:val="clear" w:fill="FFFFFF"/>
          <w:lang w:eastAsia="zh-CN" w:bidi="ar-SA"/>
        </w:rPr>
        <w:t>16日</w:t>
      </w: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48"/>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32"/>
                        <w:szCs w:val="48"/>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045CF"/>
    <w:multiLevelType w:val="singleLevel"/>
    <w:tmpl w:val="3DB045C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MTgxOWUxMWMzYzViYzM3YWViMGMwZGJjMjJjMDEifQ=="/>
  </w:docVars>
  <w:rsids>
    <w:rsidRoot w:val="00000000"/>
    <w:rsid w:val="00E645F8"/>
    <w:rsid w:val="00FE7B94"/>
    <w:rsid w:val="01A93FA3"/>
    <w:rsid w:val="035B751F"/>
    <w:rsid w:val="04333FF8"/>
    <w:rsid w:val="046C3066"/>
    <w:rsid w:val="06936FD0"/>
    <w:rsid w:val="07DB0C2F"/>
    <w:rsid w:val="086414AE"/>
    <w:rsid w:val="08A2174C"/>
    <w:rsid w:val="08AA0601"/>
    <w:rsid w:val="0923288D"/>
    <w:rsid w:val="094052EA"/>
    <w:rsid w:val="095E38C5"/>
    <w:rsid w:val="0A1B17B6"/>
    <w:rsid w:val="0B1C57E6"/>
    <w:rsid w:val="0D156991"/>
    <w:rsid w:val="0DDC74AE"/>
    <w:rsid w:val="0E87566C"/>
    <w:rsid w:val="0F2322FC"/>
    <w:rsid w:val="0FCD52CD"/>
    <w:rsid w:val="1008458B"/>
    <w:rsid w:val="10280789"/>
    <w:rsid w:val="102B243E"/>
    <w:rsid w:val="10482F7E"/>
    <w:rsid w:val="108D683E"/>
    <w:rsid w:val="11230F50"/>
    <w:rsid w:val="11C10E95"/>
    <w:rsid w:val="135F0966"/>
    <w:rsid w:val="13637D2A"/>
    <w:rsid w:val="14D07641"/>
    <w:rsid w:val="15E46F00"/>
    <w:rsid w:val="16F412E8"/>
    <w:rsid w:val="18534811"/>
    <w:rsid w:val="18A94431"/>
    <w:rsid w:val="19524AC9"/>
    <w:rsid w:val="1AB377E9"/>
    <w:rsid w:val="1AC67B6D"/>
    <w:rsid w:val="1B155DAE"/>
    <w:rsid w:val="1E74728F"/>
    <w:rsid w:val="1F115B39"/>
    <w:rsid w:val="200F54C2"/>
    <w:rsid w:val="20142AD8"/>
    <w:rsid w:val="219A0DBB"/>
    <w:rsid w:val="22196184"/>
    <w:rsid w:val="225673D8"/>
    <w:rsid w:val="23B75C54"/>
    <w:rsid w:val="24284DA4"/>
    <w:rsid w:val="256C6F12"/>
    <w:rsid w:val="260B672B"/>
    <w:rsid w:val="26CC5EBA"/>
    <w:rsid w:val="26F1147D"/>
    <w:rsid w:val="28530F70"/>
    <w:rsid w:val="29890093"/>
    <w:rsid w:val="299A3B46"/>
    <w:rsid w:val="2A0E67EA"/>
    <w:rsid w:val="2B3B360F"/>
    <w:rsid w:val="2C42277B"/>
    <w:rsid w:val="2D300825"/>
    <w:rsid w:val="2E606ED7"/>
    <w:rsid w:val="2F1523C9"/>
    <w:rsid w:val="2F3E547B"/>
    <w:rsid w:val="2F8476A3"/>
    <w:rsid w:val="2FF41FDE"/>
    <w:rsid w:val="307F5D4C"/>
    <w:rsid w:val="311E37B6"/>
    <w:rsid w:val="32C0264B"/>
    <w:rsid w:val="33C23C0F"/>
    <w:rsid w:val="33E67E90"/>
    <w:rsid w:val="3475718E"/>
    <w:rsid w:val="358B20B8"/>
    <w:rsid w:val="36FB1DD0"/>
    <w:rsid w:val="39822409"/>
    <w:rsid w:val="3A914B72"/>
    <w:rsid w:val="3B1B0D67"/>
    <w:rsid w:val="3B9FC916"/>
    <w:rsid w:val="3BE92C13"/>
    <w:rsid w:val="3D255ECD"/>
    <w:rsid w:val="3E175815"/>
    <w:rsid w:val="3E42660A"/>
    <w:rsid w:val="3E656C34"/>
    <w:rsid w:val="3FEF86FD"/>
    <w:rsid w:val="3FF6D7C0"/>
    <w:rsid w:val="402B37FA"/>
    <w:rsid w:val="40C47319"/>
    <w:rsid w:val="410B53D9"/>
    <w:rsid w:val="41200E85"/>
    <w:rsid w:val="420F4A55"/>
    <w:rsid w:val="42291FBB"/>
    <w:rsid w:val="42733236"/>
    <w:rsid w:val="42876CE2"/>
    <w:rsid w:val="449A0F4E"/>
    <w:rsid w:val="46DD3374"/>
    <w:rsid w:val="46E97F6B"/>
    <w:rsid w:val="47615D53"/>
    <w:rsid w:val="47E0136E"/>
    <w:rsid w:val="47F70466"/>
    <w:rsid w:val="4A192915"/>
    <w:rsid w:val="4A7B712C"/>
    <w:rsid w:val="4B1355B6"/>
    <w:rsid w:val="4C717FF4"/>
    <w:rsid w:val="4CBD3A2C"/>
    <w:rsid w:val="4DA846DC"/>
    <w:rsid w:val="4E830CA5"/>
    <w:rsid w:val="4EC015B1"/>
    <w:rsid w:val="4FA2515B"/>
    <w:rsid w:val="500D0826"/>
    <w:rsid w:val="50903205"/>
    <w:rsid w:val="5253273C"/>
    <w:rsid w:val="52831274"/>
    <w:rsid w:val="529246C2"/>
    <w:rsid w:val="53FC12DE"/>
    <w:rsid w:val="545306DF"/>
    <w:rsid w:val="552C79A0"/>
    <w:rsid w:val="559D089E"/>
    <w:rsid w:val="5664316A"/>
    <w:rsid w:val="56CDBE3F"/>
    <w:rsid w:val="56EF512A"/>
    <w:rsid w:val="56F23CB9"/>
    <w:rsid w:val="57601B83"/>
    <w:rsid w:val="579E445A"/>
    <w:rsid w:val="59AC7302"/>
    <w:rsid w:val="5A056A12"/>
    <w:rsid w:val="5A380B96"/>
    <w:rsid w:val="5A48797F"/>
    <w:rsid w:val="5B70610D"/>
    <w:rsid w:val="5BBE911B"/>
    <w:rsid w:val="5BCC754A"/>
    <w:rsid w:val="5BD13092"/>
    <w:rsid w:val="5C553C81"/>
    <w:rsid w:val="5D101956"/>
    <w:rsid w:val="5D7E0FB5"/>
    <w:rsid w:val="5DD0252E"/>
    <w:rsid w:val="5DFFB620"/>
    <w:rsid w:val="5ECE7D1A"/>
    <w:rsid w:val="5EE17A4E"/>
    <w:rsid w:val="5F3C34CB"/>
    <w:rsid w:val="5F434859"/>
    <w:rsid w:val="5F6E6E08"/>
    <w:rsid w:val="5FFC2665"/>
    <w:rsid w:val="605D3104"/>
    <w:rsid w:val="60CC028A"/>
    <w:rsid w:val="61712D02"/>
    <w:rsid w:val="62FA10DE"/>
    <w:rsid w:val="64994927"/>
    <w:rsid w:val="65312DB1"/>
    <w:rsid w:val="65CE0600"/>
    <w:rsid w:val="65FF8CB7"/>
    <w:rsid w:val="66F21379"/>
    <w:rsid w:val="66F44096"/>
    <w:rsid w:val="68660FC4"/>
    <w:rsid w:val="69140A20"/>
    <w:rsid w:val="69A15835"/>
    <w:rsid w:val="69CA7330"/>
    <w:rsid w:val="6AD95A7D"/>
    <w:rsid w:val="6BD66460"/>
    <w:rsid w:val="6CAD1E57"/>
    <w:rsid w:val="6D2D3E5E"/>
    <w:rsid w:val="6D8B6DD7"/>
    <w:rsid w:val="6DCF13B9"/>
    <w:rsid w:val="6E5813AF"/>
    <w:rsid w:val="6F3F6586"/>
    <w:rsid w:val="707D6EAA"/>
    <w:rsid w:val="709C1A26"/>
    <w:rsid w:val="71836742"/>
    <w:rsid w:val="71EC253A"/>
    <w:rsid w:val="7343262D"/>
    <w:rsid w:val="73A0794E"/>
    <w:rsid w:val="747847C1"/>
    <w:rsid w:val="75792336"/>
    <w:rsid w:val="77701517"/>
    <w:rsid w:val="79BE59B7"/>
    <w:rsid w:val="7A0D74F1"/>
    <w:rsid w:val="7A6B246A"/>
    <w:rsid w:val="7A7B26AD"/>
    <w:rsid w:val="7B242D44"/>
    <w:rsid w:val="7B4945AF"/>
    <w:rsid w:val="7BE63513"/>
    <w:rsid w:val="7BEC1388"/>
    <w:rsid w:val="7C6453C2"/>
    <w:rsid w:val="7CD62D0D"/>
    <w:rsid w:val="7D0D7808"/>
    <w:rsid w:val="7D140B97"/>
    <w:rsid w:val="7E097FCF"/>
    <w:rsid w:val="7E5E1E8F"/>
    <w:rsid w:val="7E6D67B0"/>
    <w:rsid w:val="7E7A2C7B"/>
    <w:rsid w:val="7E7F64E4"/>
    <w:rsid w:val="7EB69707"/>
    <w:rsid w:val="7F032C71"/>
    <w:rsid w:val="7F6DCAF4"/>
    <w:rsid w:val="7F6F47AA"/>
    <w:rsid w:val="7F802513"/>
    <w:rsid w:val="7F9B559F"/>
    <w:rsid w:val="7FDDB3C2"/>
    <w:rsid w:val="7FED04D7"/>
    <w:rsid w:val="7FF8654D"/>
    <w:rsid w:val="7FFFE7F9"/>
    <w:rsid w:val="B5FDDABE"/>
    <w:rsid w:val="BDDF538F"/>
    <w:rsid w:val="CAF24E32"/>
    <w:rsid w:val="E5DF6876"/>
    <w:rsid w:val="EF79D9CB"/>
    <w:rsid w:val="F39C98A3"/>
    <w:rsid w:val="FD7F0805"/>
    <w:rsid w:val="FDBF2255"/>
    <w:rsid w:val="FDEA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2023-10-26T18:23:00Z</dcterms:created>
  <dc:creator>Administrator</dc:creator>
  <cp:lastModifiedBy>user</cp:lastModifiedBy>
  <cp:lastPrinted>2025-01-22T18:54:31Z</cp:lastPrinted>
  <dcterms:modified xsi:type="dcterms:W3CDTF">2025-01-22T18:54:35Z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F9BD7320CC864232A8F5C4BBE24B3422_12</vt:lpwstr>
  </property>
</Properties>
</file>