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right="269" w:rightChars="128"/>
        <w:jc w:val="center"/>
        <w:textAlignment w:val="auto"/>
        <w:outlineLvl w:val="9"/>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和田地区发展和改革委员会202</w:t>
      </w:r>
      <w:r>
        <w:rPr>
          <w:rFonts w:hint="eastAsia" w:ascii="方正小标宋简体" w:hAnsi="方正小标宋简体" w:eastAsia="方正小标宋简体" w:cs="方正小标宋简体"/>
          <w:sz w:val="44"/>
          <w:szCs w:val="44"/>
          <w:shd w:val="clear" w:color="auto" w:fill="FFFFFF"/>
          <w:lang w:val="en-US" w:eastAsia="zh-CN"/>
        </w:rPr>
        <w:t>4</w:t>
      </w:r>
      <w:r>
        <w:rPr>
          <w:rFonts w:hint="eastAsia" w:ascii="方正小标宋简体" w:hAnsi="方正小标宋简体" w:eastAsia="方正小标宋简体" w:cs="方正小标宋简体"/>
          <w:sz w:val="44"/>
          <w:szCs w:val="44"/>
          <w:shd w:val="clear" w:color="auto" w:fill="FFFFFF"/>
        </w:rPr>
        <w:t>年政府</w:t>
      </w:r>
    </w:p>
    <w:p>
      <w:pPr>
        <w:keepNext w:val="0"/>
        <w:keepLines w:val="0"/>
        <w:pageBreakBefore w:val="0"/>
        <w:widowControl/>
        <w:kinsoku/>
        <w:wordWrap/>
        <w:overflowPunct/>
        <w:topLinePunct w:val="0"/>
        <w:autoSpaceDE/>
        <w:autoSpaceDN/>
        <w:bidi w:val="0"/>
        <w:adjustRightInd/>
        <w:snapToGrid/>
        <w:spacing w:line="560" w:lineRule="exact"/>
        <w:ind w:right="269" w:rightChars="128"/>
        <w:jc w:val="center"/>
        <w:textAlignment w:val="auto"/>
        <w:outlineLvl w:val="9"/>
        <w:rPr>
          <w:rFonts w:hint="eastAsia" w:ascii="微软雅黑" w:hAnsi="微软雅黑" w:eastAsia="微软雅黑" w:cs="微软雅黑"/>
          <w:sz w:val="44"/>
          <w:szCs w:val="44"/>
        </w:rPr>
      </w:pPr>
      <w:r>
        <w:rPr>
          <w:rFonts w:hint="eastAsia" w:ascii="方正小标宋简体" w:hAnsi="方正小标宋简体" w:eastAsia="方正小标宋简体" w:cs="方正小标宋简体"/>
          <w:sz w:val="44"/>
          <w:szCs w:val="44"/>
          <w:shd w:val="clear" w:color="auto" w:fill="FFFFFF"/>
        </w:rPr>
        <w:t>信息公开工作</w:t>
      </w:r>
      <w:r>
        <w:rPr>
          <w:rFonts w:hint="eastAsia" w:ascii="方正小标宋简体" w:hAnsi="方正小标宋简体" w:eastAsia="方正小标宋简体" w:cs="方正小标宋简体"/>
          <w:sz w:val="44"/>
          <w:szCs w:val="44"/>
          <w:shd w:val="clear" w:color="auto" w:fill="FFFFFF"/>
          <w:lang w:eastAsia="zh-CN"/>
        </w:rPr>
        <w:t>年度</w:t>
      </w:r>
      <w:r>
        <w:rPr>
          <w:rFonts w:hint="eastAsia" w:ascii="方正小标宋简体" w:hAnsi="方正小标宋简体" w:eastAsia="方正小标宋简体" w:cs="方正小标宋简体"/>
          <w:sz w:val="44"/>
          <w:szCs w:val="44"/>
          <w:shd w:val="clear" w:color="auto" w:fill="FFFFFF"/>
        </w:rPr>
        <w:t>报告</w:t>
      </w:r>
    </w:p>
    <w:p>
      <w:pPr>
        <w:spacing w:line="303" w:lineRule="auto"/>
        <w:rPr>
          <w:rFonts w:ascii="Arial"/>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依据《中华人民共和国政府信息公开条例》编制。由总体情况，主动公开政府信息情况，收到和处理政府信息公开申请情况，政府信息公开行政复议、行政诉讼情况，存在的主要问题及改进情况，其他需要报告的事项等6部分组成，所列数据统计期限自2024年1月1日至2024年12月31日。</w:t>
      </w:r>
    </w:p>
    <w:p>
      <w:pPr>
        <w:keepNext w:val="0"/>
        <w:keepLines w:val="0"/>
        <w:pageBreakBefore w:val="0"/>
        <w:widowControl/>
        <w:wordWrap/>
        <w:overflowPunct/>
        <w:topLinePunct w:val="0"/>
        <w:bidi w:val="0"/>
        <w:spacing w:line="560" w:lineRule="exact"/>
        <w:ind w:left="0" w:firstLine="640" w:firstLineChars="200"/>
        <w:outlineLvl w:val="1"/>
        <w:rPr>
          <w:rFonts w:ascii="黑体" w:hAnsi="黑体" w:eastAsia="黑体" w:cs="黑体"/>
          <w:b w:val="0"/>
          <w:bCs w:val="0"/>
          <w:sz w:val="32"/>
          <w:szCs w:val="32"/>
        </w:rPr>
      </w:pPr>
      <w:r>
        <w:rPr>
          <w:rFonts w:ascii="黑体" w:hAnsi="黑体" w:eastAsia="黑体" w:cs="黑体"/>
          <w:b w:val="0"/>
          <w:bCs w:val="0"/>
          <w:sz w:val="32"/>
          <w:szCs w:val="32"/>
        </w:rPr>
        <w:t>一、总体情况</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年，和田地区发展改革委坚持以习近平新时代中国特色社会主义思想为指导，全面贯彻党的二十届三中全会精神，认真贯彻落实《中华人民共和国政府信息公开条例》，扎实推进政府信息公开工作，进一步规范政务公开内容,</w:t>
      </w:r>
      <w:r>
        <w:rPr>
          <w:rFonts w:hint="eastAsia" w:ascii="仿宋_GB2312" w:eastAsia="仿宋_GB2312" w:cs="仿宋_GB2312"/>
          <w:color w:val="000000"/>
          <w:kern w:val="0"/>
          <w:sz w:val="32"/>
          <w:szCs w:val="32"/>
          <w:lang w:val="en-US" w:eastAsia="zh-CN"/>
        </w:rPr>
        <w:t>以公开“促落实、促规范、促服务</w:t>
      </w:r>
      <w:r>
        <w:rPr>
          <w:rFonts w:hint="default" w:ascii="仿宋_GB2312" w:eastAsia="仿宋_GB2312" w:cs="仿宋_GB2312"/>
          <w:color w:val="000000"/>
          <w:kern w:val="0"/>
          <w:sz w:val="32"/>
          <w:szCs w:val="32"/>
          <w:lang w:val="en-US" w:eastAsia="zh-CN"/>
        </w:rPr>
        <w:t>”</w:t>
      </w:r>
      <w:r>
        <w:rPr>
          <w:rFonts w:hint="eastAsia" w:ascii="仿宋_GB2312" w:hAnsi="仿宋_GB2312" w:eastAsia="仿宋_GB2312" w:cs="仿宋_GB2312"/>
          <w:sz w:val="32"/>
          <w:szCs w:val="32"/>
          <w:lang w:val="en-US" w:eastAsia="zh-CN"/>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CESI楷体-GB2312"/>
          <w:b w:val="0"/>
          <w:bCs w:val="0"/>
          <w:sz w:val="32"/>
          <w:szCs w:val="32"/>
        </w:rPr>
        <w:t>（一）主动公开情况。</w:t>
      </w:r>
      <w:r>
        <w:rPr>
          <w:rFonts w:hint="eastAsia" w:ascii="仿宋_GB2312" w:hAnsi="仿宋_GB2312" w:eastAsia="仿宋_GB2312" w:cs="仿宋_GB2312"/>
          <w:kern w:val="2"/>
          <w:sz w:val="32"/>
          <w:szCs w:val="32"/>
          <w:lang w:val="en-US" w:eastAsia="zh-CN" w:bidi="ar-SA"/>
        </w:rPr>
        <w:t>持续加大信息公开力度，稳步推进信息公开。通过和田地区行政公署网站主动公开</w:t>
      </w:r>
      <w:r>
        <w:rPr>
          <w:rFonts w:hint="eastAsia" w:ascii="仿宋_GB2312" w:hAnsi="仿宋_GB2312" w:eastAsia="仿宋_GB2312" w:cs="仿宋_GB2312"/>
          <w:color w:val="auto"/>
          <w:kern w:val="2"/>
          <w:sz w:val="32"/>
          <w:szCs w:val="32"/>
          <w:highlight w:val="none"/>
          <w:lang w:val="en-US" w:eastAsia="zh-CN" w:bidi="ar-SA"/>
        </w:rPr>
        <w:t>2024年度行政事业性收费目录清单，2024年度和田地区收购粮食质量安全检验监测结果公示，和田地区2024年度粮食节约和反食品浪费工作开展情况报告，关于“和墨洛昆”公交一体化线路运行票价的通知，和田地区2024年度政府定价经营服务性收费目录清单等信息；通过</w:t>
      </w:r>
      <w:r>
        <w:rPr>
          <w:rFonts w:hint="eastAsia" w:ascii="仿宋_GB2312" w:hAnsi="仿宋_GB2312" w:eastAsia="仿宋_GB2312" w:cs="仿宋_GB2312"/>
          <w:kern w:val="2"/>
          <w:sz w:val="32"/>
          <w:szCs w:val="32"/>
          <w:highlight w:val="none"/>
          <w:lang w:val="en-US" w:eastAsia="zh-CN" w:bidi="ar-SA"/>
        </w:rPr>
        <w:t>新疆政务服务网内设的投资</w:t>
      </w:r>
      <w:r>
        <w:rPr>
          <w:rFonts w:hint="eastAsia" w:ascii="仿宋_GB2312" w:hAnsi="仿宋_GB2312" w:eastAsia="仿宋_GB2312" w:cs="仿宋_GB2312"/>
          <w:kern w:val="2"/>
          <w:sz w:val="32"/>
          <w:szCs w:val="32"/>
          <w:lang w:val="en-US" w:eastAsia="zh-CN" w:bidi="ar-SA"/>
        </w:rPr>
        <w:t>项目在线审批监管平台网上办结政府投资项目审批、企业投资项目核准、备案信息</w:t>
      </w:r>
      <w:r>
        <w:rPr>
          <w:rFonts w:hint="eastAsia" w:ascii="仿宋_GB2312" w:hAnsi="仿宋_GB2312" w:eastAsia="仿宋_GB2312" w:cs="仿宋_GB2312"/>
          <w:kern w:val="2"/>
          <w:sz w:val="32"/>
          <w:szCs w:val="32"/>
          <w:highlight w:val="none"/>
          <w:lang w:val="en-US" w:eastAsia="zh-CN" w:bidi="ar-SA"/>
        </w:rPr>
        <w:t>1269条。</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CESI楷体-GB2312"/>
          <w:b w:val="0"/>
          <w:bCs w:val="0"/>
          <w:kern w:val="0"/>
          <w:sz w:val="32"/>
          <w:szCs w:val="32"/>
          <w:lang w:val="en-US" w:eastAsia="zh-CN" w:bidi="ar-SA"/>
        </w:rPr>
        <w:t>（二）依申请公开情况。</w:t>
      </w:r>
      <w:r>
        <w:rPr>
          <w:rFonts w:hint="eastAsia" w:ascii="仿宋_GB2312" w:hAnsi="仿宋_GB2312" w:eastAsia="仿宋_GB2312" w:cs="仿宋_GB2312"/>
          <w:color w:val="auto"/>
          <w:kern w:val="2"/>
          <w:sz w:val="32"/>
          <w:szCs w:val="32"/>
          <w:highlight w:val="none"/>
          <w:lang w:val="en-US" w:eastAsia="zh-CN" w:bidi="ar-SA"/>
        </w:rPr>
        <w:t>2024年，本机关收到5条政府信息公开申请，向申请人予以公开4条，不属于本部门职责1条，已向申请人反馈。</w:t>
      </w:r>
    </w:p>
    <w:p>
      <w:pPr>
        <w:keepNext w:val="0"/>
        <w:keepLines w:val="0"/>
        <w:pageBreakBefore w:val="0"/>
        <w:widowControl/>
        <w:suppressLineNumbers w:val="0"/>
        <w:wordWrap/>
        <w:overflowPunct/>
        <w:topLinePunct w:val="0"/>
        <w:bidi w:val="0"/>
        <w:spacing w:line="560" w:lineRule="exact"/>
        <w:ind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CESI楷体-GB2312"/>
          <w:b w:val="0"/>
          <w:bCs w:val="0"/>
          <w:kern w:val="0"/>
          <w:sz w:val="32"/>
          <w:szCs w:val="32"/>
          <w:lang w:val="en-US" w:eastAsia="zh-CN" w:bidi="ar-SA"/>
        </w:rPr>
        <w:t>（三）政府信息管理情况。</w:t>
      </w:r>
      <w:r>
        <w:rPr>
          <w:rFonts w:hint="eastAsia" w:ascii="仿宋_GB2312" w:hAnsi="仿宋_GB2312" w:eastAsia="仿宋_GB2312" w:cs="仿宋_GB2312"/>
          <w:color w:val="auto"/>
          <w:kern w:val="2"/>
          <w:sz w:val="32"/>
          <w:szCs w:val="32"/>
          <w:highlight w:val="none"/>
          <w:lang w:val="en-US" w:eastAsia="zh-CN" w:bidi="ar-SA"/>
        </w:rPr>
        <w:t>我委高度重视政府信息公开工作。为确保政府信息公开工作有序推进，实行“主要负责同志亲自抓，分管负责同志牵头抓，科室负责同志具体抓”的工作机制，</w:t>
      </w:r>
      <w:r>
        <w:rPr>
          <w:rFonts w:hint="eastAsia" w:ascii="仿宋_GB2312" w:hAnsi="仿宋_GB2312" w:eastAsia="仿宋_GB2312" w:cs="仿宋_GB2312"/>
          <w:sz w:val="32"/>
          <w:szCs w:val="32"/>
          <w:lang w:eastAsia="zh-CN"/>
        </w:rPr>
        <w:t>确保信息安全与合理使用</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CESI楷体-GB2312"/>
          <w:b w:val="0"/>
          <w:bCs w:val="0"/>
          <w:kern w:val="0"/>
          <w:sz w:val="32"/>
          <w:szCs w:val="32"/>
          <w:lang w:val="en-US" w:eastAsia="zh-CN" w:bidi="ar-SA"/>
        </w:rPr>
        <w:t>（四）政府信息公开平台建设情况。</w:t>
      </w:r>
      <w:r>
        <w:rPr>
          <w:rFonts w:hint="eastAsia" w:ascii="仿宋_GB2312" w:hAnsi="仿宋_GB2312" w:eastAsia="仿宋_GB2312" w:cs="仿宋_GB2312"/>
          <w:color w:val="000000"/>
          <w:sz w:val="32"/>
          <w:szCs w:val="32"/>
          <w:lang w:eastAsia="zh-CN"/>
        </w:rPr>
        <w:t>地区发展改革委未建设门户网站，</w:t>
      </w:r>
      <w:r>
        <w:rPr>
          <w:rFonts w:hint="eastAsia" w:ascii="仿宋_GB2312" w:hAnsi="仿宋_GB2312" w:eastAsia="仿宋_GB2312" w:cs="仿宋_GB2312"/>
          <w:color w:val="000000"/>
          <w:sz w:val="32"/>
          <w:szCs w:val="32"/>
        </w:rPr>
        <w:t>政府信息公开主要通过和田</w:t>
      </w:r>
      <w:r>
        <w:rPr>
          <w:rFonts w:hint="eastAsia" w:ascii="仿宋_GB2312" w:hAnsi="仿宋_GB2312" w:eastAsia="仿宋_GB2312" w:cs="仿宋_GB2312"/>
          <w:color w:val="000000"/>
          <w:sz w:val="32"/>
          <w:szCs w:val="32"/>
          <w:lang w:eastAsia="zh-CN"/>
        </w:rPr>
        <w:t>地区行政公署</w:t>
      </w:r>
      <w:r>
        <w:rPr>
          <w:rFonts w:hint="eastAsia" w:ascii="仿宋_GB2312" w:hAnsi="仿宋_GB2312" w:eastAsia="仿宋_GB2312" w:cs="仿宋_GB2312"/>
          <w:color w:val="000000"/>
          <w:sz w:val="32"/>
          <w:szCs w:val="32"/>
        </w:rPr>
        <w:t>网</w:t>
      </w:r>
      <w:r>
        <w:rPr>
          <w:rFonts w:hint="eastAsia" w:ascii="仿宋_GB2312" w:hAnsi="仿宋_GB2312" w:eastAsia="仿宋_GB2312" w:cs="仿宋_GB2312"/>
          <w:color w:val="000000"/>
          <w:sz w:val="32"/>
          <w:szCs w:val="32"/>
          <w:lang w:eastAsia="zh-CN"/>
        </w:rPr>
        <w:t>站</w:t>
      </w:r>
      <w:r>
        <w:rPr>
          <w:rFonts w:hint="eastAsia" w:ascii="仿宋_GB2312" w:hAnsi="仿宋_GB2312" w:eastAsia="仿宋_GB2312" w:cs="仿宋_GB2312"/>
          <w:color w:val="000000"/>
          <w:sz w:val="32"/>
          <w:szCs w:val="32"/>
        </w:rPr>
        <w:t>进行公开。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outlineLvl w:val="1"/>
        <w:rPr>
          <w:rFonts w:hint="eastAsia" w:ascii="楷体_GB2312" w:hAnsi="楷体_GB2312" w:eastAsia="楷体_GB2312" w:cs="CESI楷体-GB2312"/>
          <w:b w:val="0"/>
          <w:bCs w:val="0"/>
          <w:kern w:val="0"/>
          <w:sz w:val="32"/>
          <w:szCs w:val="32"/>
          <w:lang w:val="en-US" w:eastAsia="zh-CN" w:bidi="ar-SA"/>
        </w:rPr>
      </w:pPr>
      <w:r>
        <w:rPr>
          <w:rFonts w:hint="eastAsia" w:ascii="楷体_GB2312" w:hAnsi="楷体_GB2312" w:eastAsia="楷体_GB2312" w:cs="CESI楷体-GB2312"/>
          <w:b w:val="0"/>
          <w:bCs w:val="0"/>
          <w:kern w:val="0"/>
          <w:sz w:val="32"/>
          <w:szCs w:val="32"/>
          <w:lang w:val="en-US" w:eastAsia="zh-CN" w:bidi="ar-SA"/>
        </w:rPr>
        <w:t>（五）监督保障情况。</w:t>
      </w:r>
      <w:r>
        <w:rPr>
          <w:rFonts w:hint="eastAsia" w:ascii="仿宋_GB2312" w:hAnsi="仿宋_GB2312" w:eastAsia="仿宋_GB2312" w:cs="仿宋_GB2312"/>
          <w:b/>
          <w:bCs/>
          <w:snapToGrid w:val="0"/>
          <w:color w:val="000000"/>
          <w:kern w:val="2"/>
          <w:sz w:val="32"/>
          <w:szCs w:val="32"/>
          <w:lang w:val="en-US" w:eastAsia="zh-CN" w:bidi="ar-SA"/>
        </w:rPr>
        <w:t>一是</w:t>
      </w:r>
      <w:r>
        <w:rPr>
          <w:rFonts w:hint="eastAsia" w:ascii="仿宋_GB2312" w:hAnsi="仿宋_GB2312" w:eastAsia="仿宋_GB2312" w:cs="仿宋_GB2312"/>
          <w:snapToGrid w:val="0"/>
          <w:color w:val="000000"/>
          <w:kern w:val="2"/>
          <w:sz w:val="32"/>
          <w:szCs w:val="32"/>
          <w:lang w:val="en-US" w:eastAsia="zh-CN" w:bidi="ar-SA"/>
        </w:rPr>
        <w:t>由委主要领导担任信息工作领导小组组长，</w:t>
      </w:r>
      <w:r>
        <w:rPr>
          <w:rFonts w:hint="eastAsia" w:ascii="仿宋_GB2312" w:hAnsi="仿宋_GB2312" w:eastAsia="仿宋_GB2312" w:cs="仿宋_GB2312"/>
          <w:color w:val="000000"/>
          <w:sz w:val="32"/>
          <w:szCs w:val="32"/>
          <w:lang w:val="en-US" w:eastAsia="zh-CN"/>
        </w:rPr>
        <w:t>将政务公开工作要点逐项细化分解，明确责任分工，</w:t>
      </w:r>
      <w:r>
        <w:rPr>
          <w:rFonts w:hint="eastAsia" w:ascii="仿宋_GB2312" w:hAnsi="仿宋_GB2312" w:eastAsia="仿宋_GB2312" w:cs="仿宋_GB2312"/>
          <w:snapToGrid w:val="0"/>
          <w:color w:val="000000"/>
          <w:kern w:val="2"/>
          <w:sz w:val="32"/>
          <w:szCs w:val="32"/>
          <w:lang w:val="en-US" w:eastAsia="zh-CN" w:bidi="ar-SA"/>
        </w:rPr>
        <w:t>促进政务公开工作科学化、规范化、制度化开展。</w:t>
      </w:r>
      <w:r>
        <w:rPr>
          <w:rFonts w:hint="eastAsia" w:ascii="仿宋_GB2312" w:hAnsi="仿宋_GB2312" w:eastAsia="仿宋_GB2312" w:cs="仿宋_GB2312"/>
          <w:b/>
          <w:bCs/>
          <w:snapToGrid w:val="0"/>
          <w:color w:val="000000"/>
          <w:kern w:val="2"/>
          <w:sz w:val="32"/>
          <w:szCs w:val="32"/>
          <w:lang w:val="en-US" w:eastAsia="zh-CN" w:bidi="ar-SA"/>
        </w:rPr>
        <w:t>二是</w:t>
      </w:r>
      <w:r>
        <w:rPr>
          <w:rFonts w:hint="eastAsia" w:ascii="仿宋_GB2312" w:hAnsi="仿宋_GB2312" w:eastAsia="仿宋_GB2312" w:cs="仿宋_GB2312"/>
          <w:snapToGrid w:val="0"/>
          <w:color w:val="000000"/>
          <w:kern w:val="2"/>
          <w:sz w:val="32"/>
          <w:szCs w:val="32"/>
          <w:lang w:val="en-US" w:eastAsia="zh-CN" w:bidi="ar-SA"/>
        </w:rPr>
        <w:t>开展粮食、能源、节能监察等领域普法宣传活动，扩大群众的知情权，加强对政务公开工作的监督，及时公开涉及民生的相关报告及数据。</w:t>
      </w:r>
      <w:r>
        <w:rPr>
          <w:rFonts w:hint="eastAsia" w:ascii="仿宋_GB2312" w:hAnsi="仿宋_GB2312" w:eastAsia="仿宋_GB2312" w:cs="仿宋_GB2312"/>
          <w:b/>
          <w:bCs/>
          <w:snapToGrid w:val="0"/>
          <w:color w:val="000000"/>
          <w:kern w:val="2"/>
          <w:sz w:val="32"/>
          <w:szCs w:val="32"/>
          <w:lang w:val="en-US" w:eastAsia="zh-CN" w:bidi="ar-SA"/>
        </w:rPr>
        <w:t>三是</w:t>
      </w:r>
      <w:r>
        <w:rPr>
          <w:rFonts w:hint="eastAsia" w:ascii="仿宋_GB2312" w:hAnsi="仿宋_GB2312" w:eastAsia="仿宋_GB2312" w:cs="仿宋_GB2312"/>
          <w:snapToGrid w:val="0"/>
          <w:color w:val="000000"/>
          <w:kern w:val="2"/>
          <w:sz w:val="32"/>
          <w:szCs w:val="32"/>
          <w:lang w:val="en-US" w:eastAsia="zh-CN" w:bidi="ar-SA"/>
        </w:rPr>
        <w:t>公布投诉热线、电子邮箱，全面落实全方位的监督评价机制，对发现的问题拉单列表，指定专人负责及时整改反馈。</w:t>
      </w:r>
    </w:p>
    <w:p>
      <w:pPr>
        <w:spacing w:before="191" w:line="213" w:lineRule="auto"/>
        <w:ind w:firstLine="628" w:firstLineChars="200"/>
        <w:outlineLvl w:val="1"/>
        <w:rPr>
          <w:rFonts w:hint="eastAsia" w:ascii="黑体" w:hAnsi="黑体" w:eastAsia="黑体" w:cs="黑体"/>
          <w:b w:val="0"/>
          <w:bCs w:val="0"/>
          <w:sz w:val="32"/>
          <w:szCs w:val="32"/>
        </w:rPr>
      </w:pPr>
      <w:r>
        <w:rPr>
          <w:rFonts w:hint="eastAsia" w:ascii="黑体" w:hAnsi="黑体" w:eastAsia="黑体" w:cs="黑体"/>
          <w:b w:val="0"/>
          <w:bCs w:val="0"/>
          <w:spacing w:val="-3"/>
          <w:sz w:val="32"/>
          <w:szCs w:val="32"/>
        </w:rPr>
        <w:t>二、主动公开政府信息情况</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972"/>
        <w:gridCol w:w="2003"/>
        <w:gridCol w:w="1897"/>
        <w:gridCol w:w="1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000" w:type="pct"/>
            <w:gridSpan w:val="4"/>
            <w:vAlign w:val="center"/>
          </w:tcPr>
          <w:p>
            <w:pPr>
              <w:pStyle w:val="13"/>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79" w:type="pct"/>
            <w:vAlign w:val="center"/>
          </w:tcPr>
          <w:p>
            <w:pPr>
              <w:pStyle w:val="13"/>
              <w:spacing w:before="6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1131" w:type="pct"/>
            <w:vAlign w:val="center"/>
          </w:tcPr>
          <w:p>
            <w:pPr>
              <w:pStyle w:val="13"/>
              <w:spacing w:before="2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本年制发件数</w:t>
            </w:r>
          </w:p>
        </w:tc>
        <w:tc>
          <w:tcPr>
            <w:tcW w:w="1071" w:type="pct"/>
            <w:vAlign w:val="center"/>
          </w:tcPr>
          <w:p>
            <w:pPr>
              <w:pStyle w:val="13"/>
              <w:spacing w:before="1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本年废止件数</w:t>
            </w:r>
          </w:p>
        </w:tc>
        <w:tc>
          <w:tcPr>
            <w:tcW w:w="1117" w:type="pct"/>
            <w:vAlign w:val="center"/>
          </w:tcPr>
          <w:p>
            <w:pPr>
              <w:pStyle w:val="13"/>
              <w:spacing w:before="4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79" w:type="pct"/>
            <w:vAlign w:val="center"/>
          </w:tcPr>
          <w:p>
            <w:pPr>
              <w:pStyle w:val="13"/>
              <w:spacing w:before="5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规章</w:t>
            </w:r>
          </w:p>
        </w:tc>
        <w:tc>
          <w:tcPr>
            <w:tcW w:w="1131" w:type="pct"/>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071" w:type="pct"/>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117" w:type="pct"/>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79" w:type="pct"/>
            <w:vAlign w:val="center"/>
          </w:tcPr>
          <w:p>
            <w:pPr>
              <w:pStyle w:val="13"/>
              <w:spacing w:before="42"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规范性文件</w:t>
            </w:r>
          </w:p>
        </w:tc>
        <w:tc>
          <w:tcPr>
            <w:tcW w:w="1131" w:type="pct"/>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071" w:type="pct"/>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117" w:type="pct"/>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000" w:type="pct"/>
            <w:gridSpan w:val="4"/>
            <w:vAlign w:val="center"/>
          </w:tcPr>
          <w:p>
            <w:pPr>
              <w:pStyle w:val="13"/>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79" w:type="pct"/>
            <w:vAlign w:val="center"/>
          </w:tcPr>
          <w:p>
            <w:pPr>
              <w:pStyle w:val="13"/>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3320" w:type="pct"/>
            <w:gridSpan w:val="3"/>
            <w:vAlign w:val="center"/>
          </w:tcPr>
          <w:p>
            <w:pPr>
              <w:pStyle w:val="13"/>
              <w:spacing w:before="72"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79" w:type="pct"/>
            <w:vAlign w:val="center"/>
          </w:tcPr>
          <w:p>
            <w:pPr>
              <w:pStyle w:val="13"/>
              <w:spacing w:before="45"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行政许可</w:t>
            </w:r>
          </w:p>
        </w:tc>
        <w:tc>
          <w:tcPr>
            <w:tcW w:w="3320" w:type="pct"/>
            <w:gridSpan w:val="3"/>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000" w:type="pct"/>
            <w:gridSpan w:val="4"/>
            <w:vAlign w:val="center"/>
          </w:tcPr>
          <w:p>
            <w:pPr>
              <w:pStyle w:val="13"/>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79" w:type="pct"/>
            <w:vAlign w:val="center"/>
          </w:tcPr>
          <w:p>
            <w:pPr>
              <w:pStyle w:val="13"/>
              <w:spacing w:before="66"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3320" w:type="pct"/>
            <w:gridSpan w:val="3"/>
            <w:vAlign w:val="center"/>
          </w:tcPr>
          <w:p>
            <w:pPr>
              <w:pStyle w:val="13"/>
              <w:spacing w:before="6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79" w:type="pct"/>
            <w:vAlign w:val="center"/>
          </w:tcPr>
          <w:p>
            <w:pPr>
              <w:pStyle w:val="13"/>
              <w:spacing w:before="77"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行政处罚</w:t>
            </w:r>
          </w:p>
        </w:tc>
        <w:tc>
          <w:tcPr>
            <w:tcW w:w="3320" w:type="pct"/>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79" w:type="pct"/>
            <w:vAlign w:val="center"/>
          </w:tcPr>
          <w:p>
            <w:pPr>
              <w:pStyle w:val="13"/>
              <w:spacing w:before="78"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行政强制</w:t>
            </w:r>
          </w:p>
        </w:tc>
        <w:tc>
          <w:tcPr>
            <w:tcW w:w="3320" w:type="pct"/>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000" w:type="pct"/>
            <w:gridSpan w:val="4"/>
            <w:vAlign w:val="center"/>
          </w:tcPr>
          <w:p>
            <w:pPr>
              <w:pStyle w:val="13"/>
              <w:spacing w:before="7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79" w:type="pct"/>
            <w:vAlign w:val="center"/>
          </w:tcPr>
          <w:p>
            <w:pPr>
              <w:pStyle w:val="13"/>
              <w:spacing w:before="5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3320" w:type="pct"/>
            <w:gridSpan w:val="3"/>
            <w:vAlign w:val="center"/>
          </w:tcPr>
          <w:p>
            <w:pPr>
              <w:pStyle w:val="13"/>
              <w:spacing w:before="6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79" w:type="pct"/>
            <w:vAlign w:val="center"/>
          </w:tcPr>
          <w:p>
            <w:pPr>
              <w:pStyle w:val="13"/>
              <w:spacing w:before="6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行政事业性收费</w:t>
            </w:r>
          </w:p>
        </w:tc>
        <w:tc>
          <w:tcPr>
            <w:tcW w:w="3320" w:type="pct"/>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bl>
    <w:p>
      <w:pPr>
        <w:rPr>
          <w:rFonts w:ascii="黑体" w:hAnsi="黑体" w:eastAsia="黑体" w:cs="黑体"/>
          <w:b w:val="0"/>
          <w:bCs w:val="0"/>
          <w:spacing w:val="-2"/>
          <w:sz w:val="32"/>
          <w:szCs w:val="32"/>
        </w:rPr>
      </w:pPr>
    </w:p>
    <w:p>
      <w:pPr>
        <w:ind w:firstLine="632" w:firstLineChars="200"/>
        <w:rPr>
          <w:rFonts w:ascii="黑体" w:hAnsi="黑体" w:eastAsia="黑体" w:cs="黑体"/>
          <w:b w:val="0"/>
          <w:bCs w:val="0"/>
          <w:sz w:val="32"/>
          <w:szCs w:val="32"/>
        </w:rPr>
      </w:pPr>
      <w:r>
        <w:rPr>
          <w:rFonts w:ascii="黑体" w:hAnsi="黑体" w:eastAsia="黑体" w:cs="黑体"/>
          <w:b w:val="0"/>
          <w:bCs w:val="0"/>
          <w:spacing w:val="-2"/>
          <w:sz w:val="32"/>
          <w:szCs w:val="32"/>
        </w:rPr>
        <w:t>三、收到和处理政府信息公开申请情况</w:t>
      </w:r>
    </w:p>
    <w:p>
      <w:pPr>
        <w:spacing w:line="71" w:lineRule="auto"/>
        <w:rPr>
          <w:rFonts w:ascii="Arial"/>
          <w:sz w:val="2"/>
        </w:rPr>
      </w:pPr>
    </w:p>
    <w:tbl>
      <w:tblPr>
        <w:tblStyle w:val="12"/>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7"/>
        <w:gridCol w:w="793"/>
        <w:gridCol w:w="3061"/>
        <w:gridCol w:w="487"/>
        <w:gridCol w:w="687"/>
        <w:gridCol w:w="687"/>
        <w:gridCol w:w="687"/>
        <w:gridCol w:w="698"/>
        <w:gridCol w:w="490"/>
        <w:gridCol w:w="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2616" w:type="pct"/>
            <w:gridSpan w:val="3"/>
            <w:vMerge w:val="restart"/>
            <w:tcBorders>
              <w:bottom w:val="nil"/>
            </w:tcBorders>
            <w:vAlign w:val="center"/>
          </w:tcPr>
          <w:p>
            <w:pPr>
              <w:pStyle w:val="13"/>
              <w:spacing w:before="75" w:line="206" w:lineRule="auto"/>
              <w:ind w:left="185" w:right="259" w:firstLine="109"/>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(本列数据的勾稽关系为：第一项加第</w:t>
            </w:r>
            <w:r>
              <w:rPr>
                <w:rFonts w:hint="eastAsia" w:ascii="方正仿宋_GB2312" w:hAnsi="方正仿宋_GB2312" w:eastAsia="方正仿宋_GB2312" w:cs="方正仿宋_GB2312"/>
                <w:spacing w:val="2"/>
                <w:sz w:val="21"/>
                <w:szCs w:val="21"/>
              </w:rPr>
              <w:t>二项之和，等于第三项加第四项之和)</w:t>
            </w:r>
          </w:p>
        </w:tc>
        <w:tc>
          <w:tcPr>
            <w:tcW w:w="2383" w:type="pct"/>
            <w:gridSpan w:val="7"/>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616" w:type="pct"/>
            <w:gridSpan w:val="3"/>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275" w:type="pct"/>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自然人</w:t>
            </w:r>
          </w:p>
        </w:tc>
        <w:tc>
          <w:tcPr>
            <w:tcW w:w="1835" w:type="pct"/>
            <w:gridSpan w:val="5"/>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法人或其他组织</w:t>
            </w:r>
          </w:p>
        </w:tc>
        <w:tc>
          <w:tcPr>
            <w:tcW w:w="271" w:type="pct"/>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2616" w:type="pct"/>
            <w:gridSpan w:val="3"/>
            <w:vMerge w:val="continue"/>
            <w:tcBorders>
              <w:top w:val="nil"/>
            </w:tcBorders>
            <w:vAlign w:val="center"/>
          </w:tcPr>
          <w:p>
            <w:pPr>
              <w:jc w:val="center"/>
              <w:rPr>
                <w:rFonts w:hint="eastAsia" w:ascii="方正仿宋_GB2312" w:hAnsi="方正仿宋_GB2312" w:eastAsia="方正仿宋_GB2312" w:cs="方正仿宋_GB2312"/>
                <w:sz w:val="21"/>
                <w:szCs w:val="21"/>
              </w:rPr>
            </w:pPr>
          </w:p>
        </w:tc>
        <w:tc>
          <w:tcPr>
            <w:tcW w:w="275" w:type="pct"/>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c>
          <w:tcPr>
            <w:tcW w:w="388" w:type="pct"/>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商业企业</w:t>
            </w:r>
          </w:p>
        </w:tc>
        <w:tc>
          <w:tcPr>
            <w:tcW w:w="388" w:type="pct"/>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科研机构</w:t>
            </w:r>
          </w:p>
        </w:tc>
        <w:tc>
          <w:tcPr>
            <w:tcW w:w="388" w:type="pct"/>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社会公益组织</w:t>
            </w:r>
          </w:p>
        </w:tc>
        <w:tc>
          <w:tcPr>
            <w:tcW w:w="394" w:type="pct"/>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法律服务机构</w:t>
            </w:r>
          </w:p>
        </w:tc>
        <w:tc>
          <w:tcPr>
            <w:tcW w:w="276" w:type="pct"/>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其他</w:t>
            </w:r>
          </w:p>
        </w:tc>
        <w:tc>
          <w:tcPr>
            <w:tcW w:w="271" w:type="pct"/>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16" w:type="pct"/>
            <w:gridSpan w:val="3"/>
            <w:vAlign w:val="center"/>
          </w:tcPr>
          <w:p>
            <w:pPr>
              <w:pStyle w:val="13"/>
              <w:spacing w:before="75"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一、本年新收政府信息公开申请数量</w:t>
            </w:r>
          </w:p>
        </w:tc>
        <w:tc>
          <w:tcPr>
            <w:tcW w:w="275" w:type="pct"/>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5</w:t>
            </w:r>
          </w:p>
        </w:tc>
        <w:tc>
          <w:tcPr>
            <w:tcW w:w="388" w:type="pct"/>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388" w:type="pct"/>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388" w:type="pct"/>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394" w:type="pct"/>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276" w:type="pct"/>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271" w:type="pct"/>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16" w:type="pct"/>
            <w:gridSpan w:val="3"/>
            <w:vAlign w:val="center"/>
          </w:tcPr>
          <w:p>
            <w:pPr>
              <w:pStyle w:val="13"/>
              <w:spacing w:before="87"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二、上年结转政府信息公开申请数量</w:t>
            </w:r>
          </w:p>
        </w:tc>
        <w:tc>
          <w:tcPr>
            <w:tcW w:w="275" w:type="pct"/>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388" w:type="pct"/>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388" w:type="pct"/>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388" w:type="pct"/>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394" w:type="pct"/>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276" w:type="pct"/>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271" w:type="pct"/>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restart"/>
            <w:tcBorders>
              <w:bottom w:val="nil"/>
            </w:tcBorders>
            <w:vAlign w:val="center"/>
          </w:tcPr>
          <w:p>
            <w:pPr>
              <w:pStyle w:val="13"/>
              <w:spacing w:before="75" w:line="180"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2"/>
                <w:sz w:val="21"/>
                <w:szCs w:val="21"/>
              </w:rPr>
              <w:t>三、</w:t>
            </w:r>
          </w:p>
          <w:p>
            <w:pPr>
              <w:pStyle w:val="13"/>
              <w:spacing w:line="197"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本年</w:t>
            </w:r>
          </w:p>
          <w:p>
            <w:pPr>
              <w:pStyle w:val="13"/>
              <w:spacing w:line="210"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度办</w:t>
            </w:r>
          </w:p>
          <w:p>
            <w:pPr>
              <w:pStyle w:val="13"/>
              <w:spacing w:line="208"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理结</w:t>
            </w:r>
          </w:p>
          <w:p>
            <w:pPr>
              <w:pStyle w:val="13"/>
              <w:spacing w:line="220" w:lineRule="auto"/>
              <w:ind w:left="22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果</w:t>
            </w:r>
          </w:p>
        </w:tc>
        <w:tc>
          <w:tcPr>
            <w:tcW w:w="2176" w:type="pct"/>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(一)予以公开</w:t>
            </w:r>
          </w:p>
        </w:tc>
        <w:tc>
          <w:tcPr>
            <w:tcW w:w="275" w:type="pct"/>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4</w:t>
            </w:r>
          </w:p>
        </w:tc>
        <w:tc>
          <w:tcPr>
            <w:tcW w:w="388" w:type="pct"/>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2176" w:type="pct"/>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(二)部分公开(区分处理的，只计这一情形，不计其他情形)</w:t>
            </w:r>
          </w:p>
        </w:tc>
        <w:tc>
          <w:tcPr>
            <w:tcW w:w="275" w:type="pct"/>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448" w:type="pct"/>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(三)不予公开</w:t>
            </w:r>
          </w:p>
        </w:tc>
        <w:tc>
          <w:tcPr>
            <w:tcW w:w="1728" w:type="pct"/>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1.属于国家秘密</w:t>
            </w:r>
          </w:p>
        </w:tc>
        <w:tc>
          <w:tcPr>
            <w:tcW w:w="275" w:type="pct"/>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448" w:type="pct"/>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1728" w:type="pct"/>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2.其他法律行政法规禁止公开</w:t>
            </w:r>
          </w:p>
        </w:tc>
        <w:tc>
          <w:tcPr>
            <w:tcW w:w="275"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448" w:type="pct"/>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1728" w:type="pct"/>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3.危及“三安全一稳定”</w:t>
            </w:r>
          </w:p>
        </w:tc>
        <w:tc>
          <w:tcPr>
            <w:tcW w:w="275"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448" w:type="pct"/>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1728" w:type="pct"/>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4.保护第三方合法权益</w:t>
            </w:r>
          </w:p>
        </w:tc>
        <w:tc>
          <w:tcPr>
            <w:tcW w:w="275"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448" w:type="pct"/>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1728" w:type="pct"/>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5.属于三类内部事务信息</w:t>
            </w:r>
          </w:p>
        </w:tc>
        <w:tc>
          <w:tcPr>
            <w:tcW w:w="275"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448" w:type="pct"/>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1728" w:type="pct"/>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6.属于四类过程性信息</w:t>
            </w:r>
          </w:p>
        </w:tc>
        <w:tc>
          <w:tcPr>
            <w:tcW w:w="275"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448" w:type="pct"/>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1728" w:type="pct"/>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7.属于行政执法案卷</w:t>
            </w:r>
          </w:p>
        </w:tc>
        <w:tc>
          <w:tcPr>
            <w:tcW w:w="275"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448" w:type="pct"/>
            <w:vMerge w:val="continue"/>
            <w:tcBorders>
              <w:top w:val="nil"/>
            </w:tcBorders>
            <w:vAlign w:val="center"/>
          </w:tcPr>
          <w:p>
            <w:pPr>
              <w:jc w:val="center"/>
              <w:rPr>
                <w:rFonts w:hint="eastAsia" w:ascii="方正仿宋_GB2312" w:hAnsi="方正仿宋_GB2312" w:eastAsia="方正仿宋_GB2312" w:cs="方正仿宋_GB2312"/>
              </w:rPr>
            </w:pPr>
          </w:p>
        </w:tc>
        <w:tc>
          <w:tcPr>
            <w:tcW w:w="1728" w:type="pct"/>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8.属于行政查询事项</w:t>
            </w:r>
          </w:p>
        </w:tc>
        <w:tc>
          <w:tcPr>
            <w:tcW w:w="275"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448" w:type="pct"/>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(四)无法提供</w:t>
            </w:r>
          </w:p>
        </w:tc>
        <w:tc>
          <w:tcPr>
            <w:tcW w:w="1728" w:type="pct"/>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1.本机关不掌握相关政府信息</w:t>
            </w:r>
          </w:p>
        </w:tc>
        <w:tc>
          <w:tcPr>
            <w:tcW w:w="275"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1</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default"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snapToGrid w:val="0"/>
                <w:color w:val="000000"/>
                <w:kern w:val="0"/>
                <w:sz w:val="21"/>
                <w:szCs w:val="21"/>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448" w:type="pct"/>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1728" w:type="pct"/>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2.没有现成信息需要另行制作</w:t>
            </w:r>
          </w:p>
        </w:tc>
        <w:tc>
          <w:tcPr>
            <w:tcW w:w="275"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448" w:type="pct"/>
            <w:vMerge w:val="continue"/>
            <w:tcBorders>
              <w:top w:val="nil"/>
            </w:tcBorders>
            <w:vAlign w:val="center"/>
          </w:tcPr>
          <w:p>
            <w:pPr>
              <w:jc w:val="center"/>
              <w:rPr>
                <w:rFonts w:hint="eastAsia" w:ascii="方正仿宋_GB2312" w:hAnsi="方正仿宋_GB2312" w:eastAsia="方正仿宋_GB2312" w:cs="方正仿宋_GB2312"/>
              </w:rPr>
            </w:pPr>
          </w:p>
        </w:tc>
        <w:tc>
          <w:tcPr>
            <w:tcW w:w="1728" w:type="pct"/>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3.补正后申请内容仍不明确</w:t>
            </w:r>
          </w:p>
        </w:tc>
        <w:tc>
          <w:tcPr>
            <w:tcW w:w="275"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448" w:type="pct"/>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(五)不予处理</w:t>
            </w:r>
          </w:p>
        </w:tc>
        <w:tc>
          <w:tcPr>
            <w:tcW w:w="1728" w:type="pct"/>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1.信访举报投诉类申请</w:t>
            </w:r>
          </w:p>
        </w:tc>
        <w:tc>
          <w:tcPr>
            <w:tcW w:w="275"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448" w:type="pct"/>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1728" w:type="pct"/>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2.重复申请</w:t>
            </w:r>
          </w:p>
        </w:tc>
        <w:tc>
          <w:tcPr>
            <w:tcW w:w="275"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448" w:type="pct"/>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1728" w:type="pct"/>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3.要求提供公开出版物</w:t>
            </w:r>
          </w:p>
        </w:tc>
        <w:tc>
          <w:tcPr>
            <w:tcW w:w="275"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448" w:type="pct"/>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1728" w:type="pct"/>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4.无正当理由大量反复申请</w:t>
            </w:r>
          </w:p>
        </w:tc>
        <w:tc>
          <w:tcPr>
            <w:tcW w:w="275"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448" w:type="pct"/>
            <w:vMerge w:val="continue"/>
            <w:tcBorders>
              <w:top w:val="nil"/>
            </w:tcBorders>
            <w:vAlign w:val="center"/>
          </w:tcPr>
          <w:p>
            <w:pPr>
              <w:jc w:val="center"/>
              <w:rPr>
                <w:rFonts w:hint="eastAsia" w:ascii="方正仿宋_GB2312" w:hAnsi="方正仿宋_GB2312" w:eastAsia="方正仿宋_GB2312" w:cs="方正仿宋_GB2312"/>
              </w:rPr>
            </w:pPr>
          </w:p>
        </w:tc>
        <w:tc>
          <w:tcPr>
            <w:tcW w:w="1728" w:type="pct"/>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5.要求行政机关确认或重新出具已获取信息</w:t>
            </w:r>
          </w:p>
        </w:tc>
        <w:tc>
          <w:tcPr>
            <w:tcW w:w="275"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448" w:type="pct"/>
            <w:vMerge w:val="restart"/>
            <w:tcBorders>
              <w:bottom w:val="nil"/>
            </w:tcBorders>
            <w:vAlign w:val="center"/>
          </w:tcPr>
          <w:p>
            <w:pPr>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(六)其他处理</w:t>
            </w:r>
          </w:p>
        </w:tc>
        <w:tc>
          <w:tcPr>
            <w:tcW w:w="1728" w:type="pct"/>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1.申请人无正当理由逾期不补正、行政机关不再处理其政府信息公开申请</w:t>
            </w:r>
          </w:p>
        </w:tc>
        <w:tc>
          <w:tcPr>
            <w:tcW w:w="275"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448" w:type="pct"/>
            <w:vMerge w:val="continue"/>
            <w:tcBorders>
              <w:top w:val="nil"/>
              <w:bottom w:val="nil"/>
            </w:tcBorders>
            <w:vAlign w:val="top"/>
          </w:tcPr>
          <w:p>
            <w:pPr>
              <w:rPr>
                <w:rFonts w:hint="eastAsia" w:ascii="方正仿宋_GB2312" w:hAnsi="方正仿宋_GB2312" w:eastAsia="方正仿宋_GB2312" w:cs="方正仿宋_GB2312"/>
              </w:rPr>
            </w:pPr>
          </w:p>
        </w:tc>
        <w:tc>
          <w:tcPr>
            <w:tcW w:w="1728" w:type="pct"/>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2.申请人逾期未按收费通知要求缴纳费用、行政机关不再处理其政府信息公开申请</w:t>
            </w:r>
          </w:p>
        </w:tc>
        <w:tc>
          <w:tcPr>
            <w:tcW w:w="275"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448" w:type="pct"/>
            <w:vMerge w:val="continue"/>
            <w:tcBorders>
              <w:top w:val="nil"/>
            </w:tcBorders>
            <w:vAlign w:val="top"/>
          </w:tcPr>
          <w:p>
            <w:pPr>
              <w:rPr>
                <w:rFonts w:hint="eastAsia" w:ascii="方正仿宋_GB2312" w:hAnsi="方正仿宋_GB2312" w:eastAsia="方正仿宋_GB2312" w:cs="方正仿宋_GB2312"/>
              </w:rPr>
            </w:pPr>
          </w:p>
        </w:tc>
        <w:tc>
          <w:tcPr>
            <w:tcW w:w="1728" w:type="pct"/>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3.其他</w:t>
            </w:r>
          </w:p>
        </w:tc>
        <w:tc>
          <w:tcPr>
            <w:tcW w:w="275"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88"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394"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6"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c>
          <w:tcPr>
            <w:tcW w:w="271" w:type="pct"/>
            <w:vAlign w:val="top"/>
          </w:tcPr>
          <w:p>
            <w:pPr>
              <w:jc w:val="center"/>
              <w:rPr>
                <w:rFonts w:hint="eastAsia" w:ascii="方正仿宋_GB2312" w:hAnsi="方正仿宋_GB2312" w:eastAsia="方正仿宋_GB2312" w:cs="方正仿宋_GB2312"/>
                <w:snapToGrid w:val="0"/>
                <w:color w:val="000000"/>
                <w:kern w:val="0"/>
                <w:sz w:val="21"/>
                <w:szCs w:val="21"/>
                <w:lang w:val="en-US" w:eastAsia="zh-CN" w:bidi="ar-SA"/>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9" w:type="pct"/>
            <w:vMerge w:val="continue"/>
            <w:tcBorders>
              <w:top w:val="nil"/>
            </w:tcBorders>
            <w:vAlign w:val="top"/>
          </w:tcPr>
          <w:p>
            <w:pPr>
              <w:jc w:val="center"/>
              <w:rPr>
                <w:rFonts w:hint="eastAsia" w:ascii="方正仿宋_GB2312" w:hAnsi="方正仿宋_GB2312" w:eastAsia="方正仿宋_GB2312" w:cs="方正仿宋_GB2312"/>
                <w:sz w:val="21"/>
                <w:szCs w:val="21"/>
              </w:rPr>
            </w:pPr>
          </w:p>
        </w:tc>
        <w:tc>
          <w:tcPr>
            <w:tcW w:w="2176" w:type="pct"/>
            <w:gridSpan w:val="2"/>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(七)总计</w:t>
            </w:r>
          </w:p>
        </w:tc>
        <w:tc>
          <w:tcPr>
            <w:tcW w:w="275"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w:t>
            </w:r>
          </w:p>
        </w:tc>
        <w:tc>
          <w:tcPr>
            <w:tcW w:w="388"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88"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88"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94"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276"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271"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616" w:type="pct"/>
            <w:gridSpan w:val="3"/>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四、结转下年度继续办理</w:t>
            </w:r>
          </w:p>
        </w:tc>
        <w:tc>
          <w:tcPr>
            <w:tcW w:w="275"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88"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88"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88"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94"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276"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271"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bl>
    <w:p>
      <w:pPr>
        <w:pStyle w:val="13"/>
        <w:spacing w:before="75" w:line="180" w:lineRule="auto"/>
        <w:jc w:val="both"/>
        <w:rPr>
          <w:rFonts w:hint="eastAsia" w:ascii="方正仿宋_GB2312" w:hAnsi="方正仿宋_GB2312" w:eastAsia="方正仿宋_GB2312" w:cs="方正仿宋_GB2312"/>
          <w:spacing w:val="-2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0" w:beforeLines="50"/>
        <w:ind w:firstLine="624"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四、政府信息公开行政复议、行政诉讼情况</w:t>
      </w:r>
    </w:p>
    <w:tbl>
      <w:tblPr>
        <w:tblStyle w:val="12"/>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89"/>
        <w:gridCol w:w="589"/>
        <w:gridCol w:w="589"/>
        <w:gridCol w:w="589"/>
        <w:gridCol w:w="589"/>
        <w:gridCol w:w="590"/>
        <w:gridCol w:w="590"/>
        <w:gridCol w:w="590"/>
        <w:gridCol w:w="590"/>
        <w:gridCol w:w="590"/>
        <w:gridCol w:w="590"/>
        <w:gridCol w:w="590"/>
        <w:gridCol w:w="590"/>
        <w:gridCol w:w="590"/>
        <w:gridCol w:w="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65" w:type="pct"/>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行政复议</w:t>
            </w:r>
          </w:p>
        </w:tc>
        <w:tc>
          <w:tcPr>
            <w:tcW w:w="3334" w:type="pct"/>
            <w:gridSpan w:val="10"/>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333" w:type="pct"/>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333" w:type="pct"/>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333" w:type="pct"/>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333" w:type="pct"/>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333" w:type="pct"/>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1665" w:type="pct"/>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未经复议直接起诉</w:t>
            </w:r>
          </w:p>
        </w:tc>
        <w:tc>
          <w:tcPr>
            <w:tcW w:w="1668" w:type="pct"/>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333" w:type="pct"/>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333" w:type="pct"/>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333" w:type="pct"/>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333" w:type="pct"/>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333" w:type="pct"/>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333" w:type="pct"/>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333" w:type="pct"/>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333" w:type="pct"/>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333" w:type="pct"/>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333" w:type="pct"/>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333" w:type="pct"/>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333" w:type="pct"/>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333" w:type="pct"/>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333" w:type="pct"/>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334" w:type="pct"/>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333"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33"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33"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33"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33"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33"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33"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33"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33"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33"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33"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33"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33"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33"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334" w:type="pct"/>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bl>
    <w:p>
      <w:pPr>
        <w:pStyle w:val="13"/>
        <w:spacing w:before="75" w:line="180" w:lineRule="auto"/>
        <w:jc w:val="both"/>
        <w:rPr>
          <w:rFonts w:hint="eastAsia" w:ascii="方正仿宋_GB2312" w:hAnsi="方正仿宋_GB2312" w:eastAsia="方正仿宋_GB2312" w:cs="方正仿宋_GB2312"/>
          <w:spacing w:val="-22"/>
          <w:sz w:val="21"/>
          <w:szCs w:val="21"/>
        </w:rPr>
      </w:pPr>
    </w:p>
    <w:p>
      <w:pPr>
        <w:keepNext w:val="0"/>
        <w:keepLines w:val="0"/>
        <w:pageBreakBefore w:val="0"/>
        <w:widowControl/>
        <w:numPr>
          <w:ilvl w:val="0"/>
          <w:numId w:val="0"/>
        </w:numPr>
        <w:wordWrap/>
        <w:overflowPunct/>
        <w:topLinePunct w:val="0"/>
        <w:bidi w:val="0"/>
        <w:spacing w:line="560" w:lineRule="exact"/>
        <w:ind w:firstLine="608" w:firstLineChars="200"/>
        <w:outlineLvl w:val="1"/>
        <w:rPr>
          <w:rFonts w:hint="eastAsia" w:ascii="黑体" w:hAnsi="黑体" w:eastAsia="黑体" w:cs="黑体"/>
          <w:b w:val="0"/>
          <w:bCs w:val="0"/>
          <w:spacing w:val="-8"/>
          <w:sz w:val="32"/>
          <w:szCs w:val="32"/>
        </w:rPr>
      </w:pPr>
      <w:r>
        <w:rPr>
          <w:rFonts w:hint="eastAsia" w:ascii="黑体" w:hAnsi="黑体" w:eastAsia="黑体" w:cs="黑体"/>
          <w:b w:val="0"/>
          <w:bCs w:val="0"/>
          <w:spacing w:val="-8"/>
          <w:sz w:val="32"/>
          <w:szCs w:val="32"/>
          <w:lang w:eastAsia="zh-CN"/>
        </w:rPr>
        <w:t>五、</w:t>
      </w:r>
      <w:r>
        <w:rPr>
          <w:rFonts w:ascii="黑体" w:hAnsi="黑体" w:eastAsia="黑体" w:cs="黑体"/>
          <w:b w:val="0"/>
          <w:bCs w:val="0"/>
          <w:spacing w:val="-8"/>
          <w:sz w:val="32"/>
          <w:szCs w:val="32"/>
        </w:rPr>
        <w:t>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lang w:eastAsia="zh-CN"/>
        </w:rPr>
        <w:t>年，地区发展改革委政府信息公开工作取得了新的进展，但还存在一些不足。对发布信息内容的安全性、全面性、准确性审核力度需进一步加强。</w:t>
      </w:r>
      <w:r>
        <w:rPr>
          <w:rFonts w:hint="eastAsia" w:ascii="仿宋_GB2312" w:hAnsi="仿宋_GB2312" w:eastAsia="仿宋_GB2312" w:cs="仿宋_GB2312"/>
          <w:b w:val="0"/>
          <w:bCs w:val="0"/>
          <w:color w:val="000000"/>
          <w:sz w:val="32"/>
          <w:szCs w:val="32"/>
          <w:lang w:val="en-US" w:eastAsia="zh-CN"/>
        </w:rPr>
        <w:t>公众对我委政府信息公开工作的理解、认知特别是参与度上还有待进一步增强。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lang w:eastAsia="zh-CN"/>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2" w:firstLineChars="200"/>
        <w:jc w:val="left"/>
        <w:textAlignment w:val="baseline"/>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eastAsia="zh-CN"/>
        </w:rPr>
        <w:t>改进措施</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val="0"/>
          <w:bCs w:val="0"/>
          <w:color w:val="000000"/>
          <w:sz w:val="32"/>
          <w:szCs w:val="32"/>
          <w:lang w:val="en-US" w:eastAsia="zh-CN"/>
        </w:rPr>
        <w:t>加大政策法规、规范性文件的学习力度，尤其加强干部职工学习《中华人民共和国政府信息公开条例》，提高干部综合业务能力。健全公开机制，丰富公开内容及政策解读方式，主动回应社会关切，持续传递正向能量，不断增强公众的认同感。</w:t>
      </w:r>
    </w:p>
    <w:p>
      <w:pPr>
        <w:keepNext w:val="0"/>
        <w:keepLines w:val="0"/>
        <w:pageBreakBefore w:val="0"/>
        <w:widowControl/>
        <w:wordWrap/>
        <w:overflowPunct/>
        <w:topLinePunct w:val="0"/>
        <w:bidi w:val="0"/>
        <w:spacing w:line="560" w:lineRule="exact"/>
        <w:ind w:firstLine="652" w:firstLineChars="200"/>
        <w:outlineLvl w:val="1"/>
        <w:rPr>
          <w:rFonts w:ascii="黑体" w:hAnsi="黑体" w:eastAsia="黑体" w:cs="黑体"/>
          <w:b w:val="0"/>
          <w:bCs w:val="0"/>
          <w:sz w:val="30"/>
          <w:szCs w:val="30"/>
        </w:rPr>
      </w:pPr>
      <w:r>
        <w:rPr>
          <w:rFonts w:ascii="黑体" w:hAnsi="黑体" w:eastAsia="黑体" w:cs="黑体"/>
          <w:b w:val="0"/>
          <w:bCs w:val="0"/>
          <w:spacing w:val="3"/>
          <w:sz w:val="32"/>
          <w:szCs w:val="32"/>
        </w:rPr>
        <w:t>六、其他需要报告的事项</w:t>
      </w:r>
    </w:p>
    <w:p>
      <w:pPr>
        <w:keepNext w:val="0"/>
        <w:keepLines w:val="0"/>
        <w:pageBreakBefore w:val="0"/>
        <w:widowControl/>
        <w:kinsoku/>
        <w:wordWrap/>
        <w:overflowPunct/>
        <w:topLinePunct w:val="0"/>
        <w:autoSpaceDE/>
        <w:autoSpaceDN/>
        <w:bidi w:val="0"/>
        <w:adjustRightInd/>
        <w:snapToGrid/>
        <w:spacing w:line="560" w:lineRule="exact"/>
        <w:ind w:firstLine="480" w:firstLineChars="15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lang w:eastAsia="zh-CN"/>
        </w:rPr>
        <w:t>本机关按照《国务院办公厅关于印发〈政府信息公开信息处理费管理办法〉的通知》（国办函〔2020〕109号）规定的按件、按量收费标准，本年度没有产生信息公开处理费。</w:t>
      </w:r>
    </w:p>
    <w:p>
      <w:pPr>
        <w:keepNext w:val="0"/>
        <w:keepLines w:val="0"/>
        <w:pageBreakBefore w:val="0"/>
        <w:widowControl/>
        <w:kinsoku/>
        <w:wordWrap/>
        <w:overflowPunct/>
        <w:topLinePunct w:val="0"/>
        <w:autoSpaceDE/>
        <w:autoSpaceDN/>
        <w:bidi w:val="0"/>
        <w:adjustRightInd/>
        <w:snapToGrid/>
        <w:spacing w:line="570" w:lineRule="exact"/>
        <w:ind w:firstLine="480" w:firstLineChars="150"/>
        <w:textAlignment w:val="auto"/>
        <w:outlineLvl w:val="9"/>
        <w:rPr>
          <w:rFonts w:hint="eastAsia" w:ascii="仿宋_GB2312" w:hAnsi="仿宋_GB2312" w:eastAsia="仿宋_GB2312" w:cs="仿宋_GB2312"/>
          <w:color w:val="000000"/>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80" w:firstLineChars="150"/>
        <w:textAlignment w:val="auto"/>
        <w:outlineLvl w:val="9"/>
        <w:rPr>
          <w:rFonts w:hint="eastAsia" w:ascii="仿宋_GB2312" w:hAnsi="仿宋_GB2312" w:eastAsia="仿宋_GB2312" w:cs="仿宋_GB2312"/>
          <w:color w:val="000000"/>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80" w:firstLineChars="150"/>
        <w:textAlignment w:val="auto"/>
        <w:outlineLvl w:val="9"/>
        <w:rPr>
          <w:rFonts w:hint="eastAsia" w:ascii="仿宋_GB2312" w:hAnsi="仿宋_GB2312" w:eastAsia="仿宋_GB2312" w:cs="仿宋_GB2312"/>
          <w:color w:val="000000"/>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80" w:firstLineChars="150"/>
        <w:textAlignment w:val="auto"/>
        <w:outlineLvl w:val="9"/>
        <w:rPr>
          <w:rFonts w:hint="eastAsia" w:ascii="仿宋_GB2312" w:hAnsi="仿宋_GB2312" w:eastAsia="仿宋_GB2312" w:cs="仿宋_GB2312"/>
          <w:color w:val="000000"/>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firstLine="2320" w:firstLineChars="725"/>
        <w:jc w:val="center"/>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和田地区发展和改革委员会</w:t>
      </w:r>
    </w:p>
    <w:p>
      <w:pPr>
        <w:keepNext w:val="0"/>
        <w:keepLines w:val="0"/>
        <w:pageBreakBefore w:val="0"/>
        <w:kinsoku/>
        <w:wordWrap/>
        <w:overflowPunct/>
        <w:topLinePunct w:val="0"/>
        <w:autoSpaceDE/>
        <w:autoSpaceDN/>
        <w:bidi w:val="0"/>
        <w:adjustRightInd/>
        <w:snapToGrid/>
        <w:spacing w:line="560" w:lineRule="exact"/>
        <w:ind w:left="0" w:leftChars="0" w:firstLine="2320" w:firstLineChars="725"/>
        <w:jc w:val="center"/>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2025年1月17</w:t>
      </w:r>
      <w:bookmarkStart w:id="0" w:name="_GoBack"/>
      <w:bookmarkEnd w:id="0"/>
      <w:r>
        <w:rPr>
          <w:rFonts w:hint="eastAsia" w:ascii="仿宋_GB2312" w:hAnsi="仿宋_GB2312" w:eastAsia="仿宋_GB2312" w:cs="仿宋_GB2312"/>
          <w:kern w:val="0"/>
          <w:sz w:val="32"/>
          <w:szCs w:val="32"/>
          <w:lang w:val="en-US" w:eastAsia="zh-CN"/>
        </w:rPr>
        <w:t>日</w:t>
      </w:r>
    </w:p>
    <w:p>
      <w:pPr>
        <w:keepNext w:val="0"/>
        <w:keepLines w:val="0"/>
        <w:pageBreakBefore w:val="0"/>
        <w:kinsoku/>
        <w:wordWrap/>
        <w:overflowPunct/>
        <w:topLinePunct w:val="0"/>
        <w:autoSpaceDE/>
        <w:autoSpaceDN/>
        <w:bidi w:val="0"/>
        <w:adjustRightInd/>
        <w:snapToGrid/>
        <w:spacing w:line="560" w:lineRule="exact"/>
        <w:ind w:firstLine="480" w:firstLineChars="150"/>
        <w:textAlignment w:val="auto"/>
        <w:outlineLvl w:val="9"/>
        <w:rPr>
          <w:rFonts w:hint="eastAsia" w:ascii="仿宋_GB2312" w:hAnsi="仿宋_GB2312" w:eastAsia="仿宋_GB2312" w:cs="仿宋_GB2312"/>
          <w:color w:val="000000"/>
          <w:kern w:val="0"/>
          <w:sz w:val="32"/>
          <w:szCs w:val="32"/>
          <w:lang w:val="en-US" w:eastAsia="zh-CN"/>
        </w:rPr>
      </w:pPr>
    </w:p>
    <w:p>
      <w:pPr>
        <w:pStyle w:val="5"/>
        <w:spacing w:line="219" w:lineRule="auto"/>
        <w:rPr>
          <w:rFonts w:hint="eastAsia" w:ascii="方正仿宋_GB2312" w:hAnsi="方正仿宋_GB2312" w:eastAsia="方正仿宋_GB2312" w:cs="方正仿宋_GB2312"/>
          <w:spacing w:val="14"/>
          <w:sz w:val="30"/>
          <w:szCs w:val="30"/>
        </w:rPr>
      </w:pPr>
    </w:p>
    <w:p>
      <w:pPr>
        <w:pStyle w:val="5"/>
        <w:spacing w:line="219" w:lineRule="auto"/>
        <w:rPr>
          <w:rFonts w:hint="eastAsia" w:ascii="方正仿宋_GB2312" w:hAnsi="方正仿宋_GB2312" w:eastAsia="方正仿宋_GB2312" w:cs="方正仿宋_GB2312"/>
          <w:spacing w:val="14"/>
          <w:sz w:val="30"/>
          <w:szCs w:val="30"/>
        </w:rPr>
      </w:pPr>
    </w:p>
    <w:sectPr>
      <w:footerReference r:id="rId5" w:type="default"/>
      <w:pgSz w:w="11905" w:h="16838"/>
      <w:pgMar w:top="1701" w:right="1474" w:bottom="1531" w:left="1587" w:header="0" w:footer="107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CESI宋体-GB18030">
    <w:altName w:val="方正书宋_GBK"/>
    <w:panose1 w:val="020005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仿宋简体">
    <w:altName w:val="方正仿宋_GBK"/>
    <w:panose1 w:val="02010601030101010101"/>
    <w:charset w:val="00"/>
    <w:family w:val="auto"/>
    <w:pitch w:val="default"/>
    <w:sig w:usb0="00000000" w:usb1="0000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altName w:val="方正书宋_GBK"/>
    <w:panose1 w:val="02010609030101010101"/>
    <w:charset w:val="86"/>
    <w:family w:val="auto"/>
    <w:pitch w:val="default"/>
    <w:sig w:usb0="00000000" w:usb1="00000000" w:usb2="00000006"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04"/>
      <w:rPr>
        <w:rFonts w:ascii="宋体" w:hAnsi="宋体" w:eastAsia="宋体" w:cs="宋体"/>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TrueTypeFonts/>
  <w:saveSubsetFonts/>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DJjNjBjMjY5ODU5MDhhY2JmZDk0NjE5OTVjOGJkMmMifQ=="/>
  </w:docVars>
  <w:rsids>
    <w:rsidRoot w:val="00000000"/>
    <w:rsid w:val="13D46914"/>
    <w:rsid w:val="186A061D"/>
    <w:rsid w:val="1FE771BD"/>
    <w:rsid w:val="2BEE2C41"/>
    <w:rsid w:val="2DD72FCE"/>
    <w:rsid w:val="310801DF"/>
    <w:rsid w:val="3BA00460"/>
    <w:rsid w:val="4CA63DE7"/>
    <w:rsid w:val="4E5F5F21"/>
    <w:rsid w:val="50613B79"/>
    <w:rsid w:val="55C022BA"/>
    <w:rsid w:val="56FBFED7"/>
    <w:rsid w:val="5AFA409D"/>
    <w:rsid w:val="5BFFA17D"/>
    <w:rsid w:val="6D785F60"/>
    <w:rsid w:val="702E2744"/>
    <w:rsid w:val="725FCF84"/>
    <w:rsid w:val="797C0647"/>
    <w:rsid w:val="7A78007C"/>
    <w:rsid w:val="7AE615DB"/>
    <w:rsid w:val="7F17EB16"/>
    <w:rsid w:val="7FB0BF2F"/>
    <w:rsid w:val="ABEA8843"/>
    <w:rsid w:val="B2D73C1D"/>
    <w:rsid w:val="C7DD0946"/>
    <w:rsid w:val="EEFF79FD"/>
    <w:rsid w:val="F1F9F433"/>
    <w:rsid w:val="F68DF1D6"/>
    <w:rsid w:val="F87C2C5B"/>
    <w:rsid w:val="FDBA1A90"/>
    <w:rsid w:val="FEFBA7FC"/>
    <w:rsid w:val="FF5FE6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ind w:firstLine="880" w:firstLineChars="200"/>
    </w:pPr>
    <w:rPr>
      <w:rFonts w:ascii="Calibri" w:hAnsi="Calibri"/>
      <w:sz w:val="28"/>
      <w:szCs w:val="22"/>
    </w:rPr>
  </w:style>
  <w:style w:type="paragraph" w:styleId="3">
    <w:name w:val="Body Text Indent"/>
    <w:basedOn w:val="1"/>
    <w:next w:val="4"/>
    <w:qFormat/>
    <w:uiPriority w:val="0"/>
    <w:pPr>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5">
    <w:name w:val="Body Text"/>
    <w:basedOn w:val="1"/>
    <w:semiHidden/>
    <w:qFormat/>
    <w:uiPriority w:val="0"/>
    <w:rPr>
      <w:rFonts w:ascii="仿宋" w:hAnsi="仿宋" w:eastAsia="仿宋" w:cs="仿宋"/>
      <w:sz w:val="35"/>
      <w:szCs w:val="35"/>
      <w:lang w:val="en-US" w:eastAsia="en-US" w:bidi="ar-SA"/>
    </w:rPr>
  </w:style>
  <w:style w:type="paragraph" w:styleId="6">
    <w:name w:val="footer"/>
    <w:basedOn w:val="1"/>
    <w:qFormat/>
    <w:uiPriority w:val="0"/>
    <w:pPr>
      <w:tabs>
        <w:tab w:val="center" w:pos="4153"/>
        <w:tab w:val="right" w:pos="8306"/>
      </w:tabs>
      <w:snapToGrid w:val="0"/>
      <w:jc w:val="left"/>
    </w:pPr>
    <w:rPr>
      <w:rFonts w:ascii="Arial" w:hAnsi="Arial" w:eastAsia="CESI宋体-GB18030"/>
      <w:sz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rPr>
      <w:rFonts w:ascii="Calibri" w:hAnsi="Calibri"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22</TotalTime>
  <ScaleCrop>false</ScaleCrop>
  <LinksUpToDate>false</LinksUpToDate>
  <Application>WPS Office_11.8.2.9831_F1E327BC-269C-435d-A152-05C5408002CA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2024-01-05T21:47:00Z</dcterms:created>
  <dc:creator>Kingsoft-PDF</dc:creator>
  <cp:lastModifiedBy>sugon</cp:lastModifiedBy>
  <cp:lastPrinted>2024-01-07T13:26:00Z</cp:lastPrinted>
  <dcterms:modified xsi:type="dcterms:W3CDTF">2025-01-17T11:10:22Z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2024-01-02T13:47:22Z</vt:filetime>
  </property>
  <property fmtid="{D5CDD505-2E9C-101B-9397-08002B2CF9AE}" pid="4" name="UsrData">
    <vt:lpwstr>6593a366d022c6001f5cd015wl</vt:lpwstr>
  </property>
  <property fmtid="{D5CDD505-2E9C-101B-9397-08002B2CF9AE}" pid="5" name="KSOProductBuildVer">
    <vt:lpwstr>2052-11.8.2.9831</vt:lpwstr>
  </property>
  <property fmtid="{D5CDD505-2E9C-101B-9397-08002B2CF9AE}" pid="6" name="ICV">
    <vt:lpwstr>76ED987BBA1B48C99C1F7E28BDBB7AA6_13</vt:lpwstr>
  </property>
</Properties>
</file>