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方正小标宋_GBK" w:hAnsi="方正小标宋_GBK" w:eastAsia="方正小标宋_GBK" w:cs="方正小标宋_GBK"/>
          <w:b w:val="0"/>
          <w:bCs w:val="0"/>
          <w:spacing w:val="-10"/>
          <w:sz w:val="44"/>
          <w:szCs w:val="44"/>
          <w:lang w:eastAsia="zh-CN"/>
        </w:rPr>
      </w:pPr>
    </w:p>
    <w:p>
      <w:pPr>
        <w:spacing w:before="143" w:line="218" w:lineRule="auto"/>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lang w:eastAsia="zh-CN"/>
        </w:rPr>
        <w:t>和田地区人社局</w:t>
      </w:r>
      <w:r>
        <w:rPr>
          <w:rFonts w:hint="eastAsia" w:ascii="方正小标宋_GBK" w:hAnsi="方正小标宋_GBK" w:eastAsia="方正小标宋_GBK" w:cs="方正小标宋_GBK"/>
          <w:b w:val="0"/>
          <w:bCs w:val="0"/>
          <w:spacing w:val="-10"/>
          <w:sz w:val="44"/>
          <w:szCs w:val="44"/>
          <w:lang w:val="en-US" w:eastAsia="zh-CN"/>
        </w:rPr>
        <w:t>2024年</w:t>
      </w:r>
      <w:bookmarkStart w:id="0" w:name="_GoBack"/>
      <w:bookmarkEnd w:id="0"/>
      <w:r>
        <w:rPr>
          <w:rFonts w:hint="eastAsia" w:ascii="方正小标宋_GBK" w:hAnsi="方正小标宋_GBK" w:eastAsia="方正小标宋_GBK" w:cs="方正小标宋_GBK"/>
          <w:b w:val="0"/>
          <w:bCs w:val="0"/>
          <w:spacing w:val="-10"/>
          <w:sz w:val="44"/>
          <w:szCs w:val="44"/>
        </w:rPr>
        <w:t>政府信息公开工作年度报告</w:t>
      </w: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方正仿宋_GB2312" w:hAnsi="方正仿宋_GB2312" w:eastAsia="方正仿宋_GB2312" w:cs="方正仿宋_GB2312"/>
          <w:spacing w:val="19"/>
          <w:sz w:val="32"/>
          <w:szCs w:val="32"/>
          <w:lang w:eastAsia="zh-CN"/>
        </w:rPr>
        <w:t>为切实贯彻落实《中华人民共和国政府信息公开条例》，2024年</w:t>
      </w:r>
      <w:r>
        <w:rPr>
          <w:rFonts w:hint="eastAsia" w:ascii="方正仿宋_GB2312" w:hAnsi="方正仿宋_GB2312" w:eastAsia="方正仿宋_GB2312" w:cs="方正仿宋_GB2312"/>
          <w:spacing w:val="19"/>
          <w:sz w:val="32"/>
          <w:szCs w:val="32"/>
          <w:lang w:val="en-US" w:eastAsia="zh-CN"/>
        </w:rPr>
        <w:t>和田地区人力资源和社会保障局</w:t>
      </w:r>
      <w:r>
        <w:rPr>
          <w:rFonts w:hint="eastAsia" w:ascii="方正仿宋_GB2312" w:hAnsi="方正仿宋_GB2312" w:eastAsia="方正仿宋_GB2312" w:cs="方正仿宋_GB2312"/>
          <w:spacing w:val="19"/>
          <w:sz w:val="32"/>
          <w:szCs w:val="32"/>
          <w:lang w:eastAsia="zh-CN"/>
        </w:rPr>
        <w:t>高度重视政务信息公开工作的落实情况，政府信息公开咨询、依申请公开以及答复等工作有条不紊进行，确保信息发布准确、安全、高效，提高了政府信息工作的透明度。根据《中华人民共和国政府信息公开条例》和《国务院办公厅政府信息与政务公开办公室关于政府信息公开工作年度报告有关事项的通知》要求，编制本年度报告。本报告由总体情况、主动公开政府信息情况、收到和处理政府公开申请情况、因政府信息公开工作被申请行政复议和提起行政诉讼情况、工作中存在的主要问题和改进情况等内容组成。报告中所列数据的统计期限自</w:t>
      </w:r>
      <w:r>
        <w:rPr>
          <w:rFonts w:hint="eastAsia" w:ascii="方正仿宋_GB2312" w:hAnsi="方正仿宋_GB2312" w:eastAsia="方正仿宋_GB2312" w:cs="方正仿宋_GB2312"/>
          <w:spacing w:val="19"/>
          <w:sz w:val="32"/>
          <w:szCs w:val="32"/>
          <w:lang w:val="en-US" w:eastAsia="zh-CN"/>
        </w:rPr>
        <w:t>2024年1月1日1起至2024年12月31日止。</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left="739"/>
        <w:textAlignment w:val="baseline"/>
        <w:outlineLvl w:val="1"/>
        <w:rPr>
          <w:rFonts w:ascii="黑体" w:hAnsi="黑体" w:eastAsia="黑体" w:cs="黑体"/>
          <w:b w:val="0"/>
          <w:bCs w:val="0"/>
          <w:sz w:val="31"/>
          <w:szCs w:val="31"/>
        </w:rPr>
      </w:pPr>
      <w:r>
        <w:rPr>
          <w:rFonts w:ascii="黑体" w:hAnsi="黑体" w:eastAsia="黑体" w:cs="黑体"/>
          <w:b w:val="0"/>
          <w:bCs w:val="0"/>
          <w:sz w:val="32"/>
          <w:szCs w:val="32"/>
        </w:rPr>
        <w:t>一、总体情况</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方正仿宋_GB2312" w:hAnsi="方正仿宋_GB2312" w:eastAsia="方正仿宋_GB2312" w:cs="方正仿宋_GB2312"/>
          <w:spacing w:val="19"/>
          <w:sz w:val="32"/>
          <w:szCs w:val="32"/>
          <w:lang w:val="en-US" w:eastAsia="zh-CN"/>
        </w:rPr>
        <w:t>一是持续规范主动公开内容。进一步明确政府信息公开的范围、内容、形式和制度，做到常规性工作定期公开，临时性工作随时公开，固定性工作长期公开。严格按照全地区统一安排部署，在规定时间节点内发布本单位2024年部门预算信息、2023年度部门决算信息。按照法治政府建设工作有关要求，及时公开行政执法信息；二是持续做好信息公开监督。强化上网信息发布审核，健全网站内容定期排查、新增信息动态监测机制，确保门户网站和政务新媒体内容安全。明确专人负责政府信息公开日常工作，定期检查公开情况，确保政府信息公开工作规范有序开展。</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highlight w:val="red"/>
          <w:lang w:val="en-US" w:eastAsia="zh-CN"/>
        </w:rPr>
      </w:pPr>
      <w:r>
        <w:rPr>
          <w:rFonts w:hint="eastAsia" w:ascii="楷体" w:hAnsi="楷体" w:eastAsia="楷体" w:cs="楷体"/>
          <w:spacing w:val="19"/>
          <w:sz w:val="32"/>
          <w:szCs w:val="32"/>
          <w:lang w:val="en-US" w:eastAsia="zh-CN"/>
        </w:rPr>
        <w:t>（一）主动公开情况。</w:t>
      </w:r>
      <w:r>
        <w:rPr>
          <w:rFonts w:hint="eastAsia" w:ascii="方正仿宋_GB2312" w:hAnsi="方正仿宋_GB2312" w:eastAsia="方正仿宋_GB2312" w:cs="方正仿宋_GB2312"/>
          <w:spacing w:val="19"/>
          <w:sz w:val="32"/>
          <w:szCs w:val="32"/>
          <w:lang w:val="en-US" w:eastAsia="zh-CN"/>
        </w:rPr>
        <w:t>我局始终坚持持续深化人社领域政府信息公开，重点依托“和田政府网”“和田就业服务网”官方网站信息公开栏目，</w:t>
      </w:r>
      <w:r>
        <w:rPr>
          <w:rFonts w:hint="eastAsia" w:ascii="方正仿宋_GB2312" w:hAnsi="方正仿宋_GB2312" w:eastAsia="方正仿宋_GB2312" w:cs="方正仿宋_GB2312"/>
          <w:spacing w:val="19"/>
          <w:sz w:val="32"/>
          <w:szCs w:val="32"/>
          <w:highlight w:val="none"/>
          <w:lang w:val="en-US" w:eastAsia="zh-CN"/>
        </w:rPr>
        <w:t>开展送政策、送服务活动，系统联动面向重点地区、重点企业、重点人群宣讲政策，帮助企业和群众吃透政策、享受政策。围绕就业创业、社会保障、政务服务、劳动关系、人事招考等方面及时更新相关政策、公示相关公告，做到了“应公开尽公开”。2024年主动公开政务信息共255条。其中就业动态、全地区各类招聘信息</w:t>
      </w:r>
      <w:r>
        <w:rPr>
          <w:rFonts w:hint="eastAsia" w:ascii="方正仿宋_GB2312" w:hAnsi="方正仿宋_GB2312" w:eastAsia="方正仿宋_GB2312" w:cs="方正仿宋_GB2312"/>
          <w:color w:val="auto"/>
          <w:spacing w:val="19"/>
          <w:sz w:val="32"/>
          <w:szCs w:val="32"/>
          <w:highlight w:val="none"/>
          <w:lang w:val="en-US" w:eastAsia="zh-CN"/>
        </w:rPr>
        <w:t>117</w:t>
      </w:r>
      <w:r>
        <w:rPr>
          <w:rFonts w:hint="eastAsia" w:ascii="方正仿宋_GB2312" w:hAnsi="方正仿宋_GB2312" w:eastAsia="方正仿宋_GB2312" w:cs="方正仿宋_GB2312"/>
          <w:spacing w:val="19"/>
          <w:sz w:val="32"/>
          <w:szCs w:val="32"/>
          <w:highlight w:val="none"/>
          <w:lang w:val="en-US" w:eastAsia="zh-CN"/>
        </w:rPr>
        <w:t>条、政务信息公开</w:t>
      </w:r>
      <w:r>
        <w:rPr>
          <w:rFonts w:hint="eastAsia" w:ascii="方正仿宋_GB2312" w:hAnsi="方正仿宋_GB2312" w:eastAsia="方正仿宋_GB2312" w:cs="方正仿宋_GB2312"/>
          <w:color w:val="auto"/>
          <w:spacing w:val="19"/>
          <w:sz w:val="32"/>
          <w:szCs w:val="32"/>
          <w:highlight w:val="none"/>
          <w:lang w:val="en-US" w:eastAsia="zh-CN"/>
        </w:rPr>
        <w:t>52</w:t>
      </w:r>
      <w:r>
        <w:rPr>
          <w:rFonts w:hint="eastAsia" w:ascii="方正仿宋_GB2312" w:hAnsi="方正仿宋_GB2312" w:eastAsia="方正仿宋_GB2312" w:cs="方正仿宋_GB2312"/>
          <w:spacing w:val="19"/>
          <w:sz w:val="32"/>
          <w:szCs w:val="32"/>
          <w:highlight w:val="none"/>
          <w:lang w:val="en-US" w:eastAsia="zh-CN"/>
        </w:rPr>
        <w:t>条、重大劳动违法行为公示、稳岗补贴、扩岗补助、技能提升补贴、企业职工退休公示等</w:t>
      </w:r>
      <w:r>
        <w:rPr>
          <w:rFonts w:hint="eastAsia" w:ascii="方正仿宋_GB2312" w:hAnsi="方正仿宋_GB2312" w:eastAsia="方正仿宋_GB2312" w:cs="方正仿宋_GB2312"/>
          <w:color w:val="auto"/>
          <w:spacing w:val="19"/>
          <w:sz w:val="32"/>
          <w:szCs w:val="32"/>
          <w:highlight w:val="none"/>
          <w:lang w:val="en-US" w:eastAsia="zh-CN"/>
        </w:rPr>
        <w:t>56</w:t>
      </w:r>
      <w:r>
        <w:rPr>
          <w:rFonts w:hint="eastAsia" w:ascii="方正仿宋_GB2312" w:hAnsi="方正仿宋_GB2312" w:eastAsia="方正仿宋_GB2312" w:cs="方正仿宋_GB2312"/>
          <w:spacing w:val="19"/>
          <w:sz w:val="32"/>
          <w:szCs w:val="32"/>
          <w:highlight w:val="none"/>
          <w:lang w:val="en-US" w:eastAsia="zh-CN"/>
        </w:rPr>
        <w:t>条、各类法律法规宣传教育</w:t>
      </w:r>
      <w:r>
        <w:rPr>
          <w:rFonts w:hint="eastAsia" w:ascii="方正仿宋_GB2312" w:hAnsi="方正仿宋_GB2312" w:eastAsia="方正仿宋_GB2312" w:cs="方正仿宋_GB2312"/>
          <w:color w:val="auto"/>
          <w:spacing w:val="19"/>
          <w:sz w:val="32"/>
          <w:szCs w:val="32"/>
          <w:highlight w:val="none"/>
          <w:lang w:val="en-US" w:eastAsia="zh-CN"/>
        </w:rPr>
        <w:t>30</w:t>
      </w:r>
      <w:r>
        <w:rPr>
          <w:rFonts w:hint="eastAsia" w:ascii="方正仿宋_GB2312" w:hAnsi="方正仿宋_GB2312" w:eastAsia="方正仿宋_GB2312" w:cs="方正仿宋_GB2312"/>
          <w:spacing w:val="19"/>
          <w:sz w:val="32"/>
          <w:szCs w:val="32"/>
          <w:highlight w:val="none"/>
          <w:lang w:val="en-US" w:eastAsia="zh-CN"/>
        </w:rPr>
        <w:t>条。</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（二）依申请公开情况。</w:t>
      </w:r>
      <w:r>
        <w:rPr>
          <w:rFonts w:hint="eastAsia" w:ascii="方正仿宋_GB2312" w:hAnsi="方正仿宋_GB2312" w:eastAsia="方正仿宋_GB2312" w:cs="方正仿宋_GB2312"/>
          <w:spacing w:val="19"/>
          <w:sz w:val="32"/>
          <w:szCs w:val="32"/>
          <w:lang w:val="en-US" w:eastAsia="zh-CN"/>
        </w:rPr>
        <w:t>和田地区人社局严格按照相关文件精神，规范公开申请办理程序，建立健全受理、登记、办理、审核、答复以及归档等环节工作制度。强化法律意识和协调意识，规范办理流程和答复文书，进一步加强对依申请公开工作的认识，不断提高依申请公开办理质量，切实保障公众知情权。2024年办理答复政府信息公开申请0条。</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（三）政府信息管理情况。</w:t>
      </w:r>
      <w:r>
        <w:rPr>
          <w:rFonts w:hint="eastAsia" w:ascii="方正仿宋_GB2312" w:hAnsi="方正仿宋_GB2312" w:eastAsia="方正仿宋_GB2312" w:cs="方正仿宋_GB2312"/>
          <w:spacing w:val="19"/>
          <w:sz w:val="32"/>
          <w:szCs w:val="32"/>
          <w:lang w:val="en-US" w:eastAsia="zh-CN"/>
        </w:rPr>
        <w:t>严格遵循“谁公开、谁审查、谁负责”的原则，进一步强化信息公开工作的组织领导，落实信息公开要求。我局制作了信息发布审核表，由业务科室人员提交分管领导牵头审核、主要领导审批政府公开的信息。同时为确保政府信息公开内容准确、依法及时公开，定期组织各科室学习《政府信息公开条例》及自治区对信息公开的相关政策规定，确保涉密信息不公开，公开信息不涉密，维护信息安全。</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eastAsia"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（四）平台建设情况。一是</w:t>
      </w:r>
      <w:r>
        <w:rPr>
          <w:rFonts w:hint="eastAsia" w:ascii="方正仿宋_GB2312" w:hAnsi="方正仿宋_GB2312" w:eastAsia="方正仿宋_GB2312" w:cs="方正仿宋_GB2312"/>
          <w:spacing w:val="19"/>
          <w:sz w:val="32"/>
          <w:szCs w:val="32"/>
          <w:lang w:val="en-US" w:eastAsia="zh-CN"/>
        </w:rPr>
        <w:t>主要依托和田政府门户网站、和田就业服务网进行全文电子化公开。我局在平台上定期更新工作动态和利民政策，公开机构职责、机构设置和领导成员信息，提供政府信息公开指南和公开目录，有力地促进了我局政府信息公开工作的顺利开展；二是加强人员专业培训，认真参与行署及上级部门组织政务信息公开学习培训和听取经验交流汇报，在政务公开过程中做到多请示、多汇报，不断提升业务人员操作技能，夯实业务基础，提升政务公开工作水平。</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firstLine="716" w:firstLineChars="200"/>
        <w:jc w:val="both"/>
        <w:textAlignment w:val="baseline"/>
        <w:outlineLvl w:val="1"/>
        <w:rPr>
          <w:rFonts w:hint="default" w:ascii="方正仿宋_GB2312" w:hAnsi="方正仿宋_GB2312" w:eastAsia="方正仿宋_GB2312" w:cs="方正仿宋_GB2312"/>
          <w:spacing w:val="19"/>
          <w:sz w:val="32"/>
          <w:szCs w:val="32"/>
          <w:lang w:val="en-US" w:eastAsia="zh-CN"/>
        </w:rPr>
      </w:pPr>
      <w:r>
        <w:rPr>
          <w:rFonts w:hint="eastAsia" w:ascii="楷体" w:hAnsi="楷体" w:eastAsia="楷体" w:cs="楷体"/>
          <w:spacing w:val="19"/>
          <w:sz w:val="32"/>
          <w:szCs w:val="32"/>
          <w:lang w:val="en-US" w:eastAsia="zh-CN"/>
        </w:rPr>
        <w:t>（五）监督保障方面。</w:t>
      </w:r>
      <w:r>
        <w:rPr>
          <w:rFonts w:hint="eastAsia" w:ascii="方正仿宋_GB2312" w:hAnsi="方正仿宋_GB2312" w:eastAsia="方正仿宋_GB2312" w:cs="方正仿宋_GB2312"/>
          <w:spacing w:val="19"/>
          <w:sz w:val="32"/>
          <w:szCs w:val="32"/>
          <w:lang w:val="en-US" w:eastAsia="zh-CN"/>
        </w:rPr>
        <w:t>严把公开内容，按照“谁公开、谁负责”的要求，所有在政府信息公开平台、政府门户网站、微信公众号发布的信息，必须由科室负责人把关，并报分管领导同意后，由专人负责公开。我局将不断加强内部监督，规范发布流程，切实做好人社信息发布，保障人民群众对人社工作的知情权、参与权、监督权。</w:t>
      </w:r>
    </w:p>
    <w:p>
      <w:pPr>
        <w:keepNext w:val="0"/>
        <w:keepLines w:val="0"/>
        <w:pageBreakBefore w:val="0"/>
        <w:widowControl/>
        <w:kinsoku w:val="0"/>
        <w:wordWrap/>
        <w:overflowPunct/>
        <w:topLinePunct w:val="0"/>
        <w:autoSpaceDE w:val="0"/>
        <w:autoSpaceDN w:val="0"/>
        <w:bidi w:val="0"/>
        <w:adjustRightInd w:val="0"/>
        <w:snapToGrid w:val="0"/>
        <w:spacing w:before="191" w:line="480" w:lineRule="exact"/>
        <w:ind w:left="749"/>
        <w:textAlignment w:val="baseline"/>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8"/>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34"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1"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9"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9"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1"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50"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2"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8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3"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3"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2" w:line="480" w:lineRule="exact"/>
              <w:jc w:val="center"/>
              <w:textAlignment w:val="baseline"/>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5"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34"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6"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4"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7"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8"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8" w:line="48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59"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8" w:line="48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60" w:line="480" w:lineRule="exact"/>
              <w:ind w:left="8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auto"/>
                <w:sz w:val="21"/>
                <w:szCs w:val="21"/>
                <w:highlight w:val="none"/>
                <w:lang w:val="en-US" w:eastAsia="zh-CN"/>
              </w:rPr>
              <w:t>157.71</w:t>
            </w:r>
          </w:p>
        </w:tc>
      </w:tr>
    </w:tbl>
    <w:p>
      <w:pPr>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ascii="黑体" w:hAnsi="黑体" w:eastAsia="黑体" w:cs="黑体"/>
          <w:b w:val="0"/>
          <w:bCs w:val="0"/>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
        </w:rPr>
      </w:pPr>
    </w:p>
    <w:tbl>
      <w:tblPr>
        <w:tblStyle w:val="8"/>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5" w:line="480" w:lineRule="exact"/>
              <w:ind w:left="185" w:right="259" w:firstLine="109"/>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3980"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370"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64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370"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5" w:line="480" w:lineRule="exact"/>
              <w:ind w:left="9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87" w:line="480" w:lineRule="exact"/>
              <w:ind w:left="9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5" w:line="480" w:lineRule="exact"/>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10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10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10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9"/>
              <w:keepNext w:val="0"/>
              <w:keepLines w:val="0"/>
              <w:pageBreakBefore w:val="0"/>
              <w:widowControl/>
              <w:kinsoku w:val="0"/>
              <w:wordWrap/>
              <w:overflowPunct/>
              <w:topLinePunct w:val="0"/>
              <w:autoSpaceDE w:val="0"/>
              <w:autoSpaceDN w:val="0"/>
              <w:bidi w:val="0"/>
              <w:adjustRightInd w:val="0"/>
              <w:snapToGrid w:val="0"/>
              <w:spacing w:line="480" w:lineRule="exact"/>
              <w:ind w:left="225"/>
              <w:jc w:val="center"/>
              <w:textAlignment w:val="baseline"/>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46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46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4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659"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60"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45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0</w:t>
            </w: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105" w:firstLineChars="50"/>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sz w:val="21"/>
                <w:szCs w:val="21"/>
              </w:rPr>
            </w:pPr>
          </w:p>
        </w:tc>
        <w:tc>
          <w:tcPr>
            <w:tcW w:w="3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37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480" w:lineRule="exact"/>
        <w:ind w:firstLine="624"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8"/>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5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454" w:type="dxa"/>
            <w:gridSpan w:val="10"/>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45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5" w:hRule="atLeast"/>
        </w:trPr>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151" w:line="480" w:lineRule="exact"/>
        <w:ind w:left="749"/>
        <w:textAlignment w:val="baseline"/>
        <w:outlineLvl w:val="1"/>
        <w:rPr>
          <w:rFonts w:hint="eastAsia" w:ascii="方正仿宋_GB2312" w:hAnsi="方正仿宋_GB2312" w:eastAsia="方正仿宋_GB2312" w:cs="方正仿宋_GB2312"/>
          <w:spacing w:val="18"/>
          <w:position w:val="20"/>
          <w:sz w:val="30"/>
          <w:szCs w:val="30"/>
          <w:lang w:eastAsia="zh-CN"/>
        </w:rPr>
      </w:pPr>
      <w:r>
        <w:rPr>
          <w:rFonts w:ascii="黑体" w:hAnsi="黑体" w:eastAsia="黑体" w:cs="黑体"/>
          <w:b w:val="0"/>
          <w:bCs w:val="0"/>
          <w:spacing w:val="-8"/>
          <w:sz w:val="32"/>
          <w:szCs w:val="32"/>
        </w:rPr>
        <w:t>五、存在的主要问题及改进情况</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716" w:firstLineChars="200"/>
        <w:jc w:val="both"/>
        <w:textAlignment w:val="baseline"/>
        <w:rPr>
          <w:rFonts w:hint="eastAsia" w:ascii="方正仿宋_GB2312" w:hAnsi="方正仿宋_GB2312" w:eastAsia="方正仿宋_GB2312" w:cs="方正仿宋_GB2312"/>
          <w:snapToGrid w:val="0"/>
          <w:color w:val="000000"/>
          <w:spacing w:val="19"/>
          <w:kern w:val="0"/>
          <w:sz w:val="32"/>
          <w:szCs w:val="32"/>
          <w:lang w:val="en-US" w:eastAsia="zh-CN" w:bidi="ar-SA"/>
        </w:rPr>
      </w:pPr>
      <w:r>
        <w:rPr>
          <w:rFonts w:hint="eastAsia" w:ascii="方正仿宋_GB2312" w:hAnsi="方正仿宋_GB2312" w:eastAsia="方正仿宋_GB2312" w:cs="方正仿宋_GB2312"/>
          <w:snapToGrid w:val="0"/>
          <w:color w:val="000000"/>
          <w:spacing w:val="19"/>
          <w:kern w:val="0"/>
          <w:sz w:val="32"/>
          <w:szCs w:val="32"/>
          <w:lang w:val="en-US" w:eastAsia="zh-CN" w:bidi="ar-SA"/>
        </w:rPr>
        <w:t>（一）工作中存在的主要问题和困难。一是各科室依法公开、主动公开意识有待进一步加强，公开内容需进一步规范。二是信息公开的内容比较迟缓，日常更新维护还需要进一步持续推进。</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716" w:firstLineChars="200"/>
        <w:jc w:val="both"/>
        <w:textAlignment w:val="baseline"/>
        <w:rPr>
          <w:rFonts w:hint="eastAsia" w:ascii="方正仿宋_GB2312" w:hAnsi="方正仿宋_GB2312" w:eastAsia="方正仿宋_GB2312" w:cs="方正仿宋_GB2312"/>
          <w:snapToGrid w:val="0"/>
          <w:color w:val="000000"/>
          <w:spacing w:val="19"/>
          <w:kern w:val="0"/>
          <w:sz w:val="32"/>
          <w:szCs w:val="32"/>
          <w:lang w:val="en-US" w:eastAsia="zh-CN" w:bidi="ar-SA"/>
        </w:rPr>
      </w:pPr>
      <w:r>
        <w:rPr>
          <w:rFonts w:hint="eastAsia" w:ascii="方正仿宋_GB2312" w:hAnsi="方正仿宋_GB2312" w:eastAsia="方正仿宋_GB2312" w:cs="方正仿宋_GB2312"/>
          <w:snapToGrid w:val="0"/>
          <w:color w:val="000000"/>
          <w:spacing w:val="19"/>
          <w:kern w:val="0"/>
          <w:sz w:val="32"/>
          <w:szCs w:val="32"/>
          <w:lang w:val="en-US" w:eastAsia="zh-CN" w:bidi="ar-SA"/>
        </w:rPr>
        <w:t>（二）具体解决办法和改进措施。局办公室牵头对二级机构及各科室工作人员加大政府信息公开宣传，提升大家的公开意识。二是加强组织领导，进一步明确工作机构的职责和任务。进一步完善工作机制，明确政府信息公开工作机构职责和任务，形成职责分明、分工合理、各负其责、齐抓共管的工作局面。层层落实责任，明确专人负责政府信息公开的组织协调、维护更新等工作，确保我局政府信息公开工作扎实、有序推进。</w:t>
      </w:r>
    </w:p>
    <w:p>
      <w:pPr>
        <w:keepNext w:val="0"/>
        <w:keepLines w:val="0"/>
        <w:pageBreakBefore w:val="0"/>
        <w:widowControl/>
        <w:kinsoku w:val="0"/>
        <w:wordWrap/>
        <w:overflowPunct/>
        <w:topLinePunct w:val="0"/>
        <w:autoSpaceDE w:val="0"/>
        <w:autoSpaceDN w:val="0"/>
        <w:bidi w:val="0"/>
        <w:adjustRightInd w:val="0"/>
        <w:snapToGrid w:val="0"/>
        <w:spacing w:before="288" w:line="480" w:lineRule="exact"/>
        <w:ind w:left="769"/>
        <w:textAlignment w:val="baseline"/>
        <w:outlineLvl w:val="1"/>
        <w:rPr>
          <w:rFonts w:ascii="黑体" w:hAnsi="黑体" w:eastAsia="黑体" w:cs="黑体"/>
          <w:b w:val="0"/>
          <w:bCs w:val="0"/>
          <w:sz w:val="30"/>
          <w:szCs w:val="30"/>
        </w:rPr>
      </w:pPr>
      <w:r>
        <w:rPr>
          <w:rFonts w:ascii="黑体" w:hAnsi="黑体" w:eastAsia="黑体" w:cs="黑体"/>
          <w:b w:val="0"/>
          <w:bCs w:val="0"/>
          <w:spacing w:val="3"/>
          <w:sz w:val="32"/>
          <w:szCs w:val="32"/>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716" w:firstLineChars="200"/>
        <w:jc w:val="both"/>
        <w:textAlignment w:val="baseline"/>
        <w:rPr>
          <w:rFonts w:hint="eastAsia" w:ascii="方正仿宋_GB2312" w:hAnsi="方正仿宋_GB2312" w:eastAsia="方正仿宋_GB2312" w:cs="方正仿宋_GB2312"/>
          <w:spacing w:val="18"/>
          <w:position w:val="20"/>
          <w:sz w:val="30"/>
          <w:szCs w:val="30"/>
          <w:lang w:eastAsia="zh-CN"/>
        </w:rPr>
      </w:pPr>
      <w:r>
        <w:rPr>
          <w:rFonts w:hint="eastAsia" w:ascii="方正仿宋_GB2312" w:hAnsi="方正仿宋_GB2312" w:eastAsia="方正仿宋_GB2312" w:cs="方正仿宋_GB2312"/>
          <w:snapToGrid w:val="0"/>
          <w:color w:val="000000"/>
          <w:spacing w:val="19"/>
          <w:kern w:val="0"/>
          <w:sz w:val="32"/>
          <w:szCs w:val="32"/>
          <w:lang w:val="en-US" w:eastAsia="zh-CN" w:bidi="ar-SA"/>
        </w:rPr>
        <w:t>本机关按照《国务院办公厅关于印发〈政府信息公开信息处理费管理办法〉的通知》（国办函〔2020〕109号）规定的按件、按量收费标准，本年度没有产生信息公开处理费。</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eastAsia" w:ascii="方正仿宋_GB2312" w:hAnsi="方正仿宋_GB2312" w:eastAsia="方正仿宋_GB2312" w:cs="方正仿宋_GB2312"/>
          <w:spacing w:val="18"/>
          <w:position w:val="20"/>
          <w:sz w:val="30"/>
          <w:szCs w:val="30"/>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eastAsia" w:ascii="方正仿宋_GB2312" w:hAnsi="方正仿宋_GB2312" w:eastAsia="方正仿宋_GB2312" w:cs="方正仿宋_GB2312"/>
          <w:spacing w:val="18"/>
          <w:position w:val="20"/>
          <w:sz w:val="30"/>
          <w:szCs w:val="30"/>
          <w:lang w:val="en-US" w:eastAsia="zh-CN"/>
        </w:rPr>
      </w:pPr>
      <w:r>
        <w:rPr>
          <w:rFonts w:hint="eastAsia" w:ascii="方正仿宋_GB2312" w:hAnsi="方正仿宋_GB2312" w:eastAsia="方正仿宋_GB2312" w:cs="方正仿宋_GB2312"/>
          <w:spacing w:val="18"/>
          <w:position w:val="20"/>
          <w:sz w:val="30"/>
          <w:szCs w:val="30"/>
          <w:lang w:val="en-US" w:eastAsia="zh-CN"/>
        </w:rPr>
        <w:t xml:space="preserve">                       和田地区人力资源和社会保障局</w:t>
      </w:r>
    </w:p>
    <w:p>
      <w:pPr>
        <w:pStyle w:val="2"/>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672" w:firstLineChars="200"/>
        <w:jc w:val="both"/>
        <w:textAlignment w:val="baseline"/>
        <w:rPr>
          <w:rFonts w:hint="default" w:ascii="方正仿宋_GB2312" w:hAnsi="方正仿宋_GB2312" w:eastAsia="方正仿宋_GB2312" w:cs="方正仿宋_GB2312"/>
          <w:spacing w:val="18"/>
          <w:position w:val="20"/>
          <w:sz w:val="30"/>
          <w:szCs w:val="30"/>
          <w:lang w:val="en-US" w:eastAsia="zh-CN"/>
        </w:rPr>
      </w:pPr>
      <w:r>
        <w:rPr>
          <w:rFonts w:hint="eastAsia" w:ascii="方正仿宋_GB2312" w:hAnsi="方正仿宋_GB2312" w:eastAsia="方正仿宋_GB2312" w:cs="方正仿宋_GB2312"/>
          <w:spacing w:val="18"/>
          <w:position w:val="20"/>
          <w:sz w:val="30"/>
          <w:szCs w:val="30"/>
          <w:lang w:val="en-US" w:eastAsia="zh-CN"/>
        </w:rPr>
        <w:t xml:space="preserve">                              2025年1月20日</w:t>
      </w:r>
    </w:p>
    <w:sectPr>
      <w:footerReference r:id="rId5"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0CE72AE"/>
    <w:rsid w:val="02492603"/>
    <w:rsid w:val="08034DD7"/>
    <w:rsid w:val="0B1D4A75"/>
    <w:rsid w:val="13D46914"/>
    <w:rsid w:val="17DD3099"/>
    <w:rsid w:val="186A061D"/>
    <w:rsid w:val="1F3F3840"/>
    <w:rsid w:val="1F954FE7"/>
    <w:rsid w:val="1FE771BD"/>
    <w:rsid w:val="25173549"/>
    <w:rsid w:val="29751B7E"/>
    <w:rsid w:val="2AB45959"/>
    <w:rsid w:val="2BEE2C41"/>
    <w:rsid w:val="2EAF0B1C"/>
    <w:rsid w:val="310801DF"/>
    <w:rsid w:val="360438BC"/>
    <w:rsid w:val="3BA00460"/>
    <w:rsid w:val="3F529BC9"/>
    <w:rsid w:val="43667DA2"/>
    <w:rsid w:val="44677F0A"/>
    <w:rsid w:val="4469414C"/>
    <w:rsid w:val="46153290"/>
    <w:rsid w:val="46431710"/>
    <w:rsid w:val="476F4B8D"/>
    <w:rsid w:val="48F906C8"/>
    <w:rsid w:val="4C727C7D"/>
    <w:rsid w:val="4CA63DE7"/>
    <w:rsid w:val="4D7471F9"/>
    <w:rsid w:val="4E5F5F21"/>
    <w:rsid w:val="50613B79"/>
    <w:rsid w:val="50CC08E1"/>
    <w:rsid w:val="52AA1A5F"/>
    <w:rsid w:val="541B4188"/>
    <w:rsid w:val="55C022BA"/>
    <w:rsid w:val="56D90950"/>
    <w:rsid w:val="56FBFED7"/>
    <w:rsid w:val="59B01AAF"/>
    <w:rsid w:val="5AFA409D"/>
    <w:rsid w:val="5BD0382F"/>
    <w:rsid w:val="5BFFA17D"/>
    <w:rsid w:val="5C1E13B0"/>
    <w:rsid w:val="5EA6040D"/>
    <w:rsid w:val="5EAD4EE1"/>
    <w:rsid w:val="5FFE8248"/>
    <w:rsid w:val="674520EC"/>
    <w:rsid w:val="6D785F60"/>
    <w:rsid w:val="702E2744"/>
    <w:rsid w:val="71FADA84"/>
    <w:rsid w:val="720C28F9"/>
    <w:rsid w:val="725FCF84"/>
    <w:rsid w:val="76AFCA99"/>
    <w:rsid w:val="797C0647"/>
    <w:rsid w:val="7A78007C"/>
    <w:rsid w:val="7AE615DB"/>
    <w:rsid w:val="ABEA8843"/>
    <w:rsid w:val="B2D73C1D"/>
    <w:rsid w:val="BFCECA31"/>
    <w:rsid w:val="BFF765CC"/>
    <w:rsid w:val="DDEF8F62"/>
    <w:rsid w:val="EEFF79FD"/>
    <w:rsid w:val="F1F9F433"/>
    <w:rsid w:val="F68DF1D6"/>
    <w:rsid w:val="F7F5AF7C"/>
    <w:rsid w:val="F87C2C5B"/>
    <w:rsid w:val="FEFBA7FC"/>
    <w:rsid w:val="FFF7C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4</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2024-01-06T13:47:00Z</dcterms:created>
  <dc:creator>Kingsoft-PDF</dc:creator>
  <cp:lastModifiedBy>user</cp:lastModifiedBy>
  <cp:lastPrinted>2024-01-26T08:42:00Z</cp:lastPrinted>
  <dcterms:modified xsi:type="dcterms:W3CDTF">2025-01-21T12:16:17Z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B3FDF694714341AC9BA38C83A637057A_13</vt:lpwstr>
  </property>
</Properties>
</file>