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8" w:lineRule="auto"/>
        <w:jc w:val="center"/>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lang w:eastAsia="zh-CN"/>
        </w:rPr>
        <w:t>地区融媒体中心</w:t>
      </w:r>
      <w:r>
        <w:rPr>
          <w:rFonts w:hint="eastAsia" w:ascii="方正小标宋_GBK" w:hAnsi="方正小标宋_GBK" w:eastAsia="方正小标宋_GBK" w:cs="方正小标宋_GBK"/>
          <w:b w:val="0"/>
          <w:bCs w:val="0"/>
          <w:spacing w:val="-10"/>
          <w:sz w:val="44"/>
          <w:szCs w:val="44"/>
        </w:rPr>
        <w:t>政府信息公开工作年度报告</w:t>
      </w:r>
    </w:p>
    <w:p>
      <w:pPr>
        <w:spacing w:line="30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黑体" w:hAnsi="黑体" w:eastAsia="黑体" w:cs="黑体"/>
          <w:b w:val="0"/>
          <w:bCs w:val="0"/>
          <w:sz w:val="32"/>
          <w:szCs w:val="32"/>
        </w:rPr>
      </w:pPr>
      <w:r>
        <w:rPr>
          <w:rFonts w:hint="eastAsia" w:ascii="仿宋_GB2312" w:hAnsi="仿宋_GB2312" w:eastAsia="仿宋_GB2312" w:cs="仿宋_GB2312"/>
          <w:sz w:val="32"/>
          <w:szCs w:val="32"/>
        </w:rPr>
        <w:t>依据《中华人民共和国政府信息公开条例》</w:t>
      </w:r>
      <w:r>
        <w:rPr>
          <w:rFonts w:hint="eastAsia" w:ascii="仿宋_GB2312" w:hAnsi="仿宋_GB2312" w:eastAsia="仿宋_GB2312" w:cs="仿宋_GB2312"/>
          <w:sz w:val="32"/>
          <w:szCs w:val="32"/>
          <w:lang w:eastAsia="zh-CN"/>
        </w:rPr>
        <w:t>及行署关于做好</w:t>
      </w:r>
      <w:r>
        <w:rPr>
          <w:rFonts w:hint="eastAsia" w:ascii="仿宋_GB2312" w:hAnsi="仿宋_GB2312" w:eastAsia="仿宋_GB2312" w:cs="仿宋_GB2312"/>
          <w:sz w:val="32"/>
          <w:szCs w:val="32"/>
          <w:lang w:val="en-US" w:eastAsia="zh-CN"/>
        </w:rPr>
        <w:t>2023年度政府信息公开工作年度报告编制发布工作的通知，</w:t>
      </w:r>
      <w:r>
        <w:rPr>
          <w:rFonts w:hint="eastAsia" w:ascii="仿宋_GB2312" w:hAnsi="仿宋_GB2312" w:eastAsia="仿宋_GB2312" w:cs="仿宋_GB2312"/>
          <w:sz w:val="32"/>
          <w:szCs w:val="32"/>
          <w:lang w:eastAsia="zh-CN"/>
        </w:rPr>
        <w:t>现围绕</w:t>
      </w:r>
      <w:r>
        <w:rPr>
          <w:rFonts w:hint="eastAsia" w:ascii="仿宋_GB2312" w:hAnsi="仿宋_GB2312" w:eastAsia="仿宋_GB2312" w:cs="仿宋_GB2312"/>
          <w:sz w:val="32"/>
          <w:szCs w:val="32"/>
        </w:rPr>
        <w:t>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行政诉讼情况，存在的主要问题及改进情况，其他需要报告的事项等6部分</w:t>
      </w:r>
      <w:r>
        <w:rPr>
          <w:rFonts w:hint="eastAsia" w:ascii="仿宋_GB2312" w:hAnsi="仿宋_GB2312" w:eastAsia="仿宋_GB2312" w:cs="仿宋_GB2312"/>
          <w:sz w:val="32"/>
          <w:szCs w:val="32"/>
          <w:lang w:eastAsia="zh-CN"/>
        </w:rPr>
        <w:t>进行梳理</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739"/>
        <w:textAlignment w:val="baseline"/>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融媒体中心</w:t>
      </w:r>
      <w:r>
        <w:rPr>
          <w:rFonts w:hint="eastAsia" w:ascii="仿宋_GB2312" w:hAnsi="仿宋_GB2312" w:eastAsia="仿宋_GB2312" w:cs="仿宋_GB2312"/>
          <w:sz w:val="32"/>
          <w:szCs w:val="32"/>
        </w:rPr>
        <w:t>坚持以习近平新时代中国特色社会主义思想为指导，全面贯彻党的二十大精神，紧紧围绕年度工作要点，认真执行《中华人民共和国政府信息公开条例》和贯彻落实自治区人民政府办公厅有关工作部署，强化大局意识、服务意识，扎推进政府信息公开，促进依法行政和服务型政府建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仿宋_GB2312"/>
          <w:sz w:val="32"/>
          <w:szCs w:val="32"/>
          <w:lang w:eastAsia="zh-CN"/>
        </w:rPr>
        <w:t>（一）</w:t>
      </w:r>
      <w:r>
        <w:rPr>
          <w:rFonts w:hint="eastAsia" w:ascii="楷体_GB2312" w:hAnsi="楷体_GB2312" w:eastAsia="楷体_GB2312" w:cs="仿宋_GB2312"/>
          <w:sz w:val="32"/>
          <w:szCs w:val="32"/>
        </w:rPr>
        <w:t>主动公开方面。</w:t>
      </w:r>
      <w:r>
        <w:rPr>
          <w:rFonts w:hint="eastAsia" w:ascii="仿宋_GB2312" w:hAnsi="仿宋_GB2312" w:eastAsia="仿宋_GB2312" w:cs="仿宋_GB2312"/>
          <w:sz w:val="32"/>
          <w:szCs w:val="32"/>
          <w:lang w:eastAsia="zh-CN"/>
        </w:rPr>
        <w:t>融媒体中心是集报刊、广播电视、新媒体各平台为一体的舆论宣传主流媒体单位，对照公开政府信息事项，</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广告运营收费</w:t>
      </w:r>
      <w:r>
        <w:rPr>
          <w:rFonts w:hint="eastAsia" w:ascii="仿宋_GB2312" w:hAnsi="仿宋_GB2312" w:eastAsia="仿宋_GB2312" w:cs="仿宋_GB2312"/>
          <w:sz w:val="32"/>
          <w:szCs w:val="32"/>
        </w:rPr>
        <w:t>公开方面。</w:t>
      </w:r>
      <w:r>
        <w:rPr>
          <w:rFonts w:hint="eastAsia" w:ascii="仿宋_GB2312" w:hAnsi="仿宋_GB2312" w:eastAsia="仿宋_GB2312" w:cs="仿宋_GB2312"/>
          <w:sz w:val="32"/>
          <w:szCs w:val="32"/>
          <w:lang w:eastAsia="zh-CN"/>
        </w:rPr>
        <w:t>根据市场情况，对运营广告收费标准进行了定位，通过运营部公开张贴收费一览表进行公示，多年来，未曾进行调价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2023年，通过政府网站，公开了广播电视收费标准。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助力经济平稳健康发展信息公开方面。</w:t>
      </w:r>
      <w:r>
        <w:rPr>
          <w:rFonts w:hint="eastAsia" w:ascii="仿宋_GB2312" w:hAnsi="仿宋_GB2312" w:eastAsia="仿宋_GB2312" w:cs="仿宋_GB2312"/>
          <w:sz w:val="32"/>
          <w:szCs w:val="32"/>
          <w:lang w:eastAsia="zh-CN"/>
        </w:rPr>
        <w:t>融媒体中心立足职责职能，通过报纸、广播、电视以及新媒体平台宣传报道本地经济高质量发展的成效</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政策解读方面。</w:t>
      </w:r>
      <w:r>
        <w:rPr>
          <w:rFonts w:hint="eastAsia" w:ascii="仿宋_GB2312" w:hAnsi="仿宋_GB2312" w:eastAsia="仿宋_GB2312" w:cs="仿宋_GB2312"/>
          <w:sz w:val="32"/>
          <w:szCs w:val="32"/>
          <w:lang w:eastAsia="zh-CN"/>
        </w:rPr>
        <w:t>通过报纸、广播、电视及新媒体各平台刊发、刊播惠民各项政策，提高群众知晓率</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仿宋_GB2312"/>
          <w:sz w:val="32"/>
          <w:szCs w:val="32"/>
        </w:rPr>
        <w:t>（二）依申请公开方面。</w:t>
      </w:r>
      <w:r>
        <w:rPr>
          <w:rFonts w:hint="eastAsia" w:ascii="仿宋_GB2312" w:hAnsi="仿宋_GB2312" w:eastAsia="仿宋_GB2312" w:cs="仿宋_GB2312"/>
          <w:sz w:val="32"/>
          <w:szCs w:val="32"/>
          <w:lang w:eastAsia="zh-CN"/>
        </w:rPr>
        <w:t>经梳理，地区融媒体中心没有依申请公开事项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2023年，地区融媒体中心未收到公民、法人和其他组织提交的政府信息公开申请。</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仿宋_GB2312"/>
          <w:sz w:val="32"/>
          <w:szCs w:val="32"/>
        </w:rPr>
        <w:t>（三）政府信息管理方面。</w:t>
      </w:r>
      <w:r>
        <w:rPr>
          <w:rFonts w:hint="eastAsia" w:ascii="仿宋_GB2312" w:hAnsi="仿宋_GB2312" w:eastAsia="仿宋_GB2312" w:cs="仿宋_GB2312"/>
          <w:sz w:val="32"/>
          <w:szCs w:val="32"/>
          <w:lang w:eastAsia="zh-CN"/>
        </w:rPr>
        <w:t>地区融媒体中心通过报纸、广播、电视以及新媒体各平台，按照地委宣传部季度宣传报道重点，对政策性文件进行宣传解读。本单位没有政府信息公开行政复议案件审理等情况。</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仿宋_GB2312"/>
          <w:sz w:val="32"/>
          <w:szCs w:val="32"/>
        </w:rPr>
        <w:t>（四）政府信息公开平台建设方面。</w:t>
      </w:r>
      <w:r>
        <w:rPr>
          <w:rFonts w:hint="eastAsia" w:ascii="仿宋_GB2312" w:hAnsi="仿宋_GB2312" w:eastAsia="仿宋_GB2312" w:cs="仿宋_GB2312"/>
          <w:sz w:val="32"/>
          <w:szCs w:val="32"/>
          <w:lang w:eastAsia="zh-CN"/>
        </w:rPr>
        <w:t>地区融媒体中心无门户网站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地区融媒体中心新媒体中心通过和田政府网站向社会公开本单位政府信息。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（五）监督保障方面。</w:t>
      </w:r>
      <w:r>
        <w:rPr>
          <w:rFonts w:hint="eastAsia" w:ascii="仿宋_GB2312" w:hAnsi="仿宋_GB2312" w:eastAsia="仿宋_GB2312" w:cs="仿宋_GB2312"/>
          <w:sz w:val="32"/>
          <w:szCs w:val="32"/>
          <w:lang w:eastAsia="zh-CN"/>
        </w:rPr>
        <w:t>地区融媒体中心组织业务人员认真学习《中华人民共和国政府信息公开条例》，不断提高工作人员对政府信息公开的认识和做好信息公开工作的能力水平。配合地区做好相关信息的发布，并通过平台，做好舆情信息关注和监测。</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1"/>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2"/>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2"/>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2"/>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2"/>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2"/>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2"/>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2"/>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2"/>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2"/>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rPr>
          <w:rFonts w:ascii="黑体" w:hAnsi="黑体" w:eastAsia="黑体" w:cs="黑体"/>
          <w:b w:val="0"/>
          <w:bCs w:val="0"/>
          <w:spacing w:val="-2"/>
          <w:sz w:val="32"/>
          <w:szCs w:val="32"/>
        </w:rPr>
      </w:pPr>
    </w:p>
    <w:p>
      <w:pPr>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1"/>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0"/>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vMerge w:val="restart"/>
            <w:tcBorders>
              <w:bottom w:val="nil"/>
            </w:tcBorders>
            <w:vAlign w:val="center"/>
          </w:tcPr>
          <w:p>
            <w:pPr>
              <w:pStyle w:val="12"/>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370" w:type="dxa"/>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370" w:type="dxa"/>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370" w:type="dxa"/>
            <w:vAlign w:val="center"/>
          </w:tcPr>
          <w:p>
            <w:pPr>
              <w:pStyle w:val="12"/>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vAlign w:val="center"/>
          </w:tcPr>
          <w:tbl>
            <w:tblPr>
              <w:tblStyle w:val="11"/>
              <w:tblpPr w:leftFromText="180" w:rightFromText="180" w:vertAnchor="text" w:horzAnchor="page" w:tblpX="51" w:tblpY="439"/>
              <w:tblOverlap w:val="never"/>
              <w:tblW w:w="83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751"/>
              <w:gridCol w:w="2897"/>
              <w:gridCol w:w="461"/>
              <w:gridCol w:w="651"/>
              <w:gridCol w:w="651"/>
              <w:gridCol w:w="651"/>
              <w:gridCol w:w="660"/>
              <w:gridCol w:w="461"/>
              <w:gridCol w:w="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restart"/>
                  <w:tcBorders>
                    <w:bottom w:val="nil"/>
                  </w:tcBorders>
                  <w:vAlign w:val="center"/>
                </w:tcPr>
                <w:p>
                  <w:pPr>
                    <w:pStyle w:val="12"/>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2"/>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2"/>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2"/>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2"/>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48"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48"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bottom w:val="nil"/>
                  </w:tcBorders>
                  <w:vAlign w:val="top"/>
                </w:tcPr>
                <w:p>
                  <w:pP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51" w:type="dxa"/>
                  <w:vMerge w:val="continue"/>
                  <w:tcBorders>
                    <w:top w:val="nil"/>
                  </w:tcBorders>
                  <w:vAlign w:val="top"/>
                </w:tcPr>
                <w:p>
                  <w:pPr>
                    <w:rPr>
                      <w:rFonts w:hint="eastAsia" w:ascii="方正仿宋_GB2312" w:hAnsi="方正仿宋_GB2312" w:eastAsia="方正仿宋_GB2312" w:cs="方正仿宋_GB2312"/>
                    </w:rPr>
                  </w:pPr>
                </w:p>
              </w:tc>
              <w:tc>
                <w:tcPr>
                  <w:tcW w:w="289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37"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48"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46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000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385"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1" w:type="dxa"/>
                  <w:vAlign w:val="center"/>
                </w:tcPr>
                <w:p>
                  <w:pPr>
                    <w:jc w:val="center"/>
                    <w:rPr>
                      <w:rFonts w:hint="eastAsia" w:ascii="方正仿宋_GB2312" w:hAnsi="方正仿宋_GB2312" w:eastAsia="方正仿宋_GB2312" w:cs="方正仿宋_GB2312"/>
                    </w:rPr>
                  </w:pP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1"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1"/>
                      <w:szCs w:val="21"/>
                      <w:lang w:val="en-US" w:eastAsia="zh-CN"/>
                    </w:rPr>
                    <w:t>0</w:t>
                  </w:r>
                </w:p>
              </w:tc>
            </w:tr>
          </w:tbl>
          <w:p>
            <w:pPr>
              <w:pStyle w:val="12"/>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1"/>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4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454"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454"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spacing w:before="151" w:line="222" w:lineRule="auto"/>
        <w:ind w:left="749"/>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（一）主要问题。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在广告运营收费方面，公开方式单一，没有本中心平台发布收费一览表</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主动与政府行政部门沟通对接，各项惠民等政策的宣传报道力度有待进一步加强</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仿宋_GB2312"/>
          <w:sz w:val="32"/>
          <w:szCs w:val="32"/>
        </w:rPr>
        <w:t>（二）改进情况。</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eastAsia="zh-CN"/>
        </w:rPr>
        <w:t>在体制机制改革中，根据实际情况，及时对广告运营收费公开，确保广告运营收费得到公众的知悉和认可。</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lang w:val="en-US" w:eastAsia="zh-CN"/>
        </w:rPr>
        <w:t>加强相关信息的发布和宣传，确保公众能够及时获取到相关信息，提高信息公开的全面性和有效性。</w:t>
      </w:r>
    </w:p>
    <w:p>
      <w:pPr>
        <w:keepNext w:val="0"/>
        <w:keepLines w:val="0"/>
        <w:pageBreakBefore w:val="0"/>
        <w:widowControl/>
        <w:kinsoku w:val="0"/>
        <w:wordWrap/>
        <w:overflowPunct/>
        <w:topLinePunct w:val="0"/>
        <w:autoSpaceDE w:val="0"/>
        <w:autoSpaceDN w:val="0"/>
        <w:bidi w:val="0"/>
        <w:adjustRightInd w:val="0"/>
        <w:snapToGrid w:val="0"/>
        <w:spacing w:before="288" w:line="520" w:lineRule="exact"/>
        <w:ind w:left="769"/>
        <w:textAlignment w:val="baseline"/>
        <w:outlineLvl w:val="1"/>
        <w:rPr>
          <w:rFonts w:ascii="黑体" w:hAnsi="黑体" w:eastAsia="黑体" w:cs="黑体"/>
          <w:b w:val="0"/>
          <w:bCs w:val="0"/>
          <w:sz w:val="30"/>
          <w:szCs w:val="30"/>
        </w:rPr>
      </w:pPr>
      <w:r>
        <w:rPr>
          <w:rFonts w:ascii="黑体" w:hAnsi="黑体" w:eastAsia="黑体" w:cs="黑体"/>
          <w:b w:val="0"/>
          <w:bCs w:val="0"/>
          <w:spacing w:val="3"/>
          <w:sz w:val="32"/>
          <w:szCs w:val="32"/>
        </w:rPr>
        <w:t>六、其他需要报告的事项</w:t>
      </w:r>
    </w:p>
    <w:p>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本机关按照《国务院办公厅关于印发&lt;政府信息公开信息处理费管理办法&gt;的通知》（国办函〔2020〕109号）规定的按件、按量收费标准，本年度未产生信息公开处理费。</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eastAsia" w:ascii="仿宋_GB2312" w:hAnsi="仿宋_GB2312" w:eastAsia="仿宋_GB2312" w:cs="仿宋_GB2312"/>
          <w:sz w:val="32"/>
          <w:szCs w:val="32"/>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default"/>
          <w:lang w:val="en-US" w:eastAsia="zh-CN"/>
        </w:rPr>
      </w:pPr>
      <w:r>
        <w:rPr>
          <w:rFonts w:hint="eastAsia" w:ascii="仿宋_GB2312" w:hAnsi="仿宋_GB2312" w:eastAsia="仿宋_GB2312" w:cs="仿宋_GB2312"/>
          <w:sz w:val="32"/>
          <w:szCs w:val="32"/>
          <w:lang w:val="en-US" w:eastAsia="zh-CN"/>
        </w:rPr>
        <w:t>和田地区融媒体中心</w:t>
      </w:r>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ind w:left="155"/>
        <w:textAlignment w:val="baseline"/>
        <w:rPr>
          <w:rFonts w:hint="default" w:ascii="方正仿宋_GB2312" w:hAnsi="方正仿宋_GB2312" w:eastAsia="方正仿宋_GB2312" w:cs="方正仿宋_GB2312"/>
          <w:spacing w:val="-22"/>
          <w:sz w:val="21"/>
          <w:szCs w:val="21"/>
          <w:lang w:val="en-US"/>
        </w:rPr>
        <w:sectPr>
          <w:footerReference r:id="rId5" w:type="default"/>
          <w:pgSz w:w="11905" w:h="16838"/>
          <w:pgMar w:top="1701" w:right="1474" w:bottom="1531" w:left="1587" w:header="0" w:footer="1071" w:gutter="0"/>
          <w:pgNumType w:fmt="decimal"/>
          <w:cols w:space="0" w:num="1"/>
          <w:rtlGutter w:val="0"/>
          <w:docGrid w:linePitch="0" w:charSpace="0"/>
        </w:sectPr>
      </w:pPr>
      <w:r>
        <w:rPr>
          <w:rFonts w:hint="eastAsia" w:ascii="方正仿宋_GB2312" w:hAnsi="方正仿宋_GB2312" w:eastAsia="方正仿宋_GB2312" w:cs="方正仿宋_GB2312"/>
          <w:spacing w:val="14"/>
          <w:sz w:val="30"/>
          <w:szCs w:val="30"/>
          <w:lang w:val="en-US" w:eastAsia="zh-CN"/>
        </w:rPr>
        <w:t xml:space="preserve">                  2024年1月23日</w:t>
      </w:r>
      <w:bookmarkStart w:id="0" w:name="_GoBack"/>
      <w:bookmarkEnd w:id="0"/>
    </w:p>
    <w:p>
      <w:pPr>
        <w:pStyle w:val="5"/>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方正仿宋_GB2312" w:hAnsi="方正仿宋_GB2312" w:eastAsia="方正仿宋_GB2312" w:cs="方正仿宋_GB2312"/>
          <w:spacing w:val="14"/>
          <w:sz w:val="30"/>
          <w:szCs w:val="30"/>
          <w:lang w:val="en-US" w:eastAsia="zh-CN"/>
        </w:rPr>
      </w:pPr>
    </w:p>
    <w:sectPr>
      <w:footerReference r:id="rId6"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61"/>
      </w:tabs>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FE771BD"/>
    <w:rsid w:val="2BEE2C41"/>
    <w:rsid w:val="2BF7637F"/>
    <w:rsid w:val="310801DF"/>
    <w:rsid w:val="3A5F09D6"/>
    <w:rsid w:val="3BA00460"/>
    <w:rsid w:val="4CA63DE7"/>
    <w:rsid w:val="4E5F5F21"/>
    <w:rsid w:val="50613B79"/>
    <w:rsid w:val="55BE8DCB"/>
    <w:rsid w:val="55C022BA"/>
    <w:rsid w:val="56FBFED7"/>
    <w:rsid w:val="5AFA409D"/>
    <w:rsid w:val="5BFFA17D"/>
    <w:rsid w:val="5EEEB977"/>
    <w:rsid w:val="5EF98DF8"/>
    <w:rsid w:val="5FED74E1"/>
    <w:rsid w:val="5FFBBF98"/>
    <w:rsid w:val="649F453E"/>
    <w:rsid w:val="66EFBE97"/>
    <w:rsid w:val="6D785F60"/>
    <w:rsid w:val="702E2744"/>
    <w:rsid w:val="725FCF84"/>
    <w:rsid w:val="797C0647"/>
    <w:rsid w:val="7A78007C"/>
    <w:rsid w:val="7AE615DB"/>
    <w:rsid w:val="7BE5840F"/>
    <w:rsid w:val="7C2CF76B"/>
    <w:rsid w:val="7E7D016C"/>
    <w:rsid w:val="7EBB08A7"/>
    <w:rsid w:val="7FBF2621"/>
    <w:rsid w:val="87FF2E95"/>
    <w:rsid w:val="9F7EC623"/>
    <w:rsid w:val="A7FEA22B"/>
    <w:rsid w:val="ABEA8843"/>
    <w:rsid w:val="B2D73C1D"/>
    <w:rsid w:val="DF8B4780"/>
    <w:rsid w:val="EDFB525D"/>
    <w:rsid w:val="EEFF79FD"/>
    <w:rsid w:val="EFFF75DA"/>
    <w:rsid w:val="F1F9F433"/>
    <w:rsid w:val="F59FD6ED"/>
    <w:rsid w:val="F68DF1D6"/>
    <w:rsid w:val="F7BD7649"/>
    <w:rsid w:val="F87C2C5B"/>
    <w:rsid w:val="FEFBA7FC"/>
    <w:rsid w:val="FFE24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footer"/>
    <w:basedOn w:val="1"/>
    <w:qFormat/>
    <w:uiPriority w:val="0"/>
    <w:pPr>
      <w:tabs>
        <w:tab w:val="center" w:pos="4153"/>
        <w:tab w:val="right" w:pos="8306"/>
      </w:tabs>
      <w:snapToGrid w:val="0"/>
      <w:jc w:val="left"/>
    </w:pPr>
    <w:rPr>
      <w:rFonts w:ascii="Arial" w:hAnsi="Arial" w:eastAsia="CESI宋体-GB18030"/>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2024-01-05T13:47:00Z</dcterms:created>
  <dc:creator>Kingsoft-PDF</dc:creator>
  <cp:lastModifiedBy>user</cp:lastModifiedBy>
  <cp:lastPrinted>2024-01-24T19:01:00Z</cp:lastPrinted>
  <dcterms:modified xsi:type="dcterms:W3CDTF">2024-01-31T12:39:22Z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