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after="0" w:afterLines="0" w:line="560" w:lineRule="exact"/>
        <w:ind w:left="0" w:leftChars="0" w:firstLine="0" w:firstLineChars="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spacing w:before="143" w:line="218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val="en-US" w:eastAsia="zh-CN"/>
        </w:rPr>
        <w:t>2023年地区机关事务管理局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  <w:t>政府信息公开</w:t>
      </w:r>
    </w:p>
    <w:p>
      <w:pPr>
        <w:spacing w:before="143" w:line="218" w:lineRule="auto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  <w:t>工作年度报告</w:t>
      </w:r>
    </w:p>
    <w:p>
      <w:pPr>
        <w:spacing w:line="303" w:lineRule="auto"/>
        <w:rPr>
          <w:rFonts w:ascii="Arial"/>
          <w:color w:val="auto"/>
          <w:sz w:val="21"/>
        </w:rPr>
      </w:pPr>
    </w:p>
    <w:p>
      <w:pPr>
        <w:spacing w:before="100" w:line="223" w:lineRule="auto"/>
        <w:ind w:left="739"/>
        <w:outlineLvl w:val="1"/>
        <w:rPr>
          <w:rFonts w:ascii="黑体" w:hAnsi="黑体" w:eastAsia="黑体" w:cs="黑体"/>
          <w:b w:val="0"/>
          <w:bCs w:val="0"/>
          <w:color w:val="auto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地区机关事务管理局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始终坚持以习近平新时代中国特色社会主义思想为指导，认真贯彻落实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中央、自治区党委、自治区政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府和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地委行署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关于深入推进政府信息公开工作的系列决策部署，紧密结合工作实际，坚持以“公开为常态，不公开为例外”的原则，重点围绕深化“放管服”改革及群众关注关切，依托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和田地区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门户网站，把公开透明原则贯穿于广大企业与群众办事的全过程，明确工作重点，细化工作任务，强化制度建设，推进政策解读，优化政务服务，进一步加大政府信息公开力度，拓宽公开渠道，不断提升企业群众的获得感和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我局及时准确公布本单位的机构概况和人事信息，提供政府信息公开指南，有力地促进了政府信息公开工作的顺利开展。2023年，我局主动公开信息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职责、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（二）依申请公开情况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我局及时准确公布本单位的机构概况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政府信息公开指南，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提供了依申请公开信息邮箱、联系电话，拓宽了群众获取公开信息的渠道。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2023年，我局未收到依申请公开信息的申请。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（三）政府信息管理情况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，我局多举措做好政府信息公开工作。一是规范信息发布程序和渠道，切实做好信息属性源头认定，确保发布及时、准确、安全。二是严格遵循依法规范公开原则，真实、准确、及时发布信息，真正做到便民、利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（四）平台建设情况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。我局依托和田地区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（五）监督保障情况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为做好政府信息公开工作，我局成立了信息公开工作领导小组，明确分管领导，统一负责全局信息公开工作的组织实施，做好牵头协调和监督检查，落实政务公开的各项工作要求，同时安排专人负责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做好政府信息公开工作、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网上依申请公开等相关工作，做到了领导重视、机构健全、人员到位，积极推动政府信息公开工作的有序开展。2023年，我局未发生因不履行政务公开义务而发生的责任追究情况。</w:t>
      </w:r>
    </w:p>
    <w:p>
      <w:pPr>
        <w:spacing w:before="191" w:line="213" w:lineRule="auto"/>
        <w:ind w:left="749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3"/>
          <w:sz w:val="32"/>
          <w:szCs w:val="32"/>
        </w:rPr>
        <w:t>二、主动公开政府信息情况</w:t>
      </w:r>
    </w:p>
    <w:tbl>
      <w:tblPr>
        <w:tblStyle w:val="11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2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12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12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2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2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2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2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2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2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1"/>
                <w:szCs w:val="21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32" w:type="dxa"/>
            <w:vAlign w:val="center"/>
          </w:tcPr>
          <w:p>
            <w:pPr>
              <w:pStyle w:val="12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32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-2"/>
          <w:sz w:val="32"/>
          <w:szCs w:val="32"/>
        </w:rPr>
        <w:t>三、收到和处理政府信息公开申请情况</w:t>
      </w:r>
    </w:p>
    <w:p>
      <w:pPr>
        <w:spacing w:line="71" w:lineRule="auto"/>
        <w:rPr>
          <w:rFonts w:ascii="Arial"/>
          <w:color w:val="auto"/>
          <w:sz w:val="2"/>
        </w:rPr>
      </w:pPr>
    </w:p>
    <w:tbl>
      <w:tblPr>
        <w:tblStyle w:val="11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(本列数据的勾稽关系为：第一项加第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1"/>
                <w:szCs w:val="21"/>
              </w:rPr>
              <w:t>二项之和，等于第三项加第四项之和)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2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2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before="75" w:line="1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2"/>
                <w:sz w:val="21"/>
                <w:szCs w:val="21"/>
              </w:rPr>
              <w:t>三、</w:t>
            </w:r>
          </w:p>
          <w:p>
            <w:pPr>
              <w:pStyle w:val="12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本年</w:t>
            </w:r>
          </w:p>
          <w:p>
            <w:pPr>
              <w:pStyle w:val="12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1"/>
                <w:szCs w:val="21"/>
              </w:rPr>
              <w:t>度办</w:t>
            </w:r>
          </w:p>
          <w:p>
            <w:pPr>
              <w:pStyle w:val="12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1"/>
                <w:szCs w:val="21"/>
              </w:rPr>
              <w:t>理结</w:t>
            </w:r>
          </w:p>
          <w:p>
            <w:pPr>
              <w:pStyle w:val="12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(一)予以公开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(二)部分公开(区分处理的，只计这一情形，不计其他情形)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(三)不予公开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1.属于国家秘密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2.其他法律行政法规禁止公开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3.危及“三安全一稳定”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4.保护第三方合法权益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5.属于三类内部事务信息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6.属于四类过程性信息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7.属于行政执法案卷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8.属于行政查询事项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(四)无法提供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1.本机关不掌握相关政府信息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2.没有现成信息需要另行制作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3.补正后申请内容仍不明确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(五)不予处理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1.信访举报投诉类申请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2.重复申请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3.要求提供公开出版物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4.无正当理由大量反复申请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5.要求行政机关确认或重新出具已获取信息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(六)其他处理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2.申请人逾期未按收费通知要求缴纳费用、行政机关不再处理其政府信息公开申请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  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3.其他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(七)总计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7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  <w:t>四、政府信息公开行政复议、行政诉讼情况</w:t>
      </w:r>
    </w:p>
    <w:tbl>
      <w:tblPr>
        <w:tblStyle w:val="11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0</w:t>
            </w:r>
          </w:p>
        </w:tc>
      </w:tr>
    </w:tbl>
    <w:p>
      <w:pPr>
        <w:spacing w:before="151" w:line="222" w:lineRule="auto"/>
        <w:ind w:left="749"/>
        <w:outlineLvl w:val="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18"/>
          <w:position w:val="2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地区机关事务管理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在政府信息公开工作各方面取得了积极的进展，但是与人民群众的需求和期盼还有一定距离，主要是公开的内容不够全面、信息公开渠道和形式还需要进一步丰富。在今后的工作中，我局将继续认真落实有关政府信息公开工作要求，加大信息公开力度。进一步完善信息公开制度，强化信息公开的责任意识、大局意识、服务意识，确保政务信息公开工作及时、准确。</w:t>
      </w:r>
    </w:p>
    <w:p>
      <w:pPr>
        <w:spacing w:before="151" w:line="222" w:lineRule="auto"/>
        <w:ind w:left="749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本机关按照《国务院办公厅关于印发〈政府信息公开信息处理费管理办法〉的通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</w:pPr>
    </w:p>
    <w:p>
      <w:pPr>
        <w:pStyle w:val="7"/>
        <w:wordWrap w:val="0"/>
        <w:ind w:left="0" w:leftChars="0" w:firstLine="0" w:firstLineChars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和田地区机关事务管理局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7"/>
        <w:wordWrap w:val="0"/>
        <w:ind w:left="0" w:leftChars="0" w:firstLine="0" w:firstLineChars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2024年1月16日        </w:t>
      </w:r>
    </w:p>
    <w:sectPr>
      <w:footerReference r:id="rId5" w:type="default"/>
      <w:pgSz w:w="11905" w:h="16838"/>
      <w:pgMar w:top="2098" w:right="1474" w:bottom="1984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13D46914"/>
    <w:rsid w:val="186A061D"/>
    <w:rsid w:val="1FE771BD"/>
    <w:rsid w:val="2BBECCF3"/>
    <w:rsid w:val="2BEE2C41"/>
    <w:rsid w:val="2DBD4BE8"/>
    <w:rsid w:val="310801DF"/>
    <w:rsid w:val="3BA00460"/>
    <w:rsid w:val="3FCF0A0D"/>
    <w:rsid w:val="42F27DEC"/>
    <w:rsid w:val="4CA63DE7"/>
    <w:rsid w:val="4E5F5F21"/>
    <w:rsid w:val="50613B79"/>
    <w:rsid w:val="55C022BA"/>
    <w:rsid w:val="5AFA409D"/>
    <w:rsid w:val="5BFFA17D"/>
    <w:rsid w:val="5CCE35D8"/>
    <w:rsid w:val="5DF988C3"/>
    <w:rsid w:val="5EFBAB03"/>
    <w:rsid w:val="5FF9E0EB"/>
    <w:rsid w:val="6C8F4EE8"/>
    <w:rsid w:val="6D785F60"/>
    <w:rsid w:val="6EFC48B9"/>
    <w:rsid w:val="702E2744"/>
    <w:rsid w:val="725FCF84"/>
    <w:rsid w:val="786DC0CF"/>
    <w:rsid w:val="797C0647"/>
    <w:rsid w:val="7A78007C"/>
    <w:rsid w:val="7AE615DB"/>
    <w:rsid w:val="7EAD23D9"/>
    <w:rsid w:val="7EBCDF98"/>
    <w:rsid w:val="7EFD9AF8"/>
    <w:rsid w:val="7FAB8F44"/>
    <w:rsid w:val="ABEA8843"/>
    <w:rsid w:val="B2D73C1D"/>
    <w:rsid w:val="BA7B23C6"/>
    <w:rsid w:val="CF9F9C03"/>
    <w:rsid w:val="F1F9F433"/>
    <w:rsid w:val="F68DF1D6"/>
    <w:rsid w:val="FEFBA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2024-01-05T13:47:00Z</dcterms:created>
  <dc:creator>Kingsoft-PDF</dc:creator>
  <cp:lastModifiedBy>user</cp:lastModifiedBy>
  <cp:lastPrinted>2024-01-19T11:00:00Z</cp:lastPrinted>
  <dcterms:modified xsi:type="dcterms:W3CDTF">2024-01-30T17:56:53Z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2052-11.8.2.10386</vt:lpwstr>
  </property>
  <property fmtid="{D5CDD505-2E9C-101B-9397-08002B2CF9AE}" pid="6" name="ICV">
    <vt:lpwstr>76ED987BBA1B48C99C1F7E28BDBB7AA6_13</vt:lpwstr>
  </property>
</Properties>
</file>