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680" w:lineRule="exact"/>
        <w:jc w:val="center"/>
        <w:textAlignment w:val="auto"/>
        <w:rPr>
          <w:rFonts w:ascii="方正小标宋简体" w:hAnsi="方正小标宋简体" w:eastAsia="方正小标宋简体" w:cs="方正仿宋简体"/>
          <w:b w:val="0"/>
          <w:color w:val="000000"/>
          <w:sz w:val="44"/>
          <w:szCs w:val="44"/>
          <w:shd w:val="clear" w:color="auto" w:fill="FFFFFF"/>
          <w:lang w:bidi="ar"/>
        </w:rPr>
      </w:pP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680" w:lineRule="exact"/>
        <w:jc w:val="center"/>
        <w:textAlignment w:val="auto"/>
        <w:rPr>
          <w:rFonts w:ascii="方正小标宋简体" w:hAnsi="方正小标宋简体" w:eastAsia="方正小标宋简体" w:cs="方正仿宋简体"/>
          <w:b w:val="0"/>
          <w:color w:val="000000"/>
          <w:sz w:val="44"/>
          <w:szCs w:val="44"/>
          <w:shd w:val="clear" w:color="auto" w:fill="FFFFFF"/>
          <w:lang w:bidi="ar"/>
        </w:rPr>
      </w:pP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仿宋简体"/>
          <w:b w:val="0"/>
          <w:color w:val="000000"/>
          <w:sz w:val="44"/>
          <w:szCs w:val="44"/>
          <w:shd w:val="clear" w:color="auto" w:fill="FFFFFF"/>
          <w:lang w:bidi="ar"/>
        </w:rPr>
      </w:pPr>
      <w:r>
        <w:rPr>
          <w:rFonts w:ascii="方正小标宋简体" w:hAnsi="方正小标宋简体" w:eastAsia="方正小标宋简体" w:cs="方正仿宋简体"/>
          <w:b w:val="0"/>
          <w:color w:val="000000"/>
          <w:sz w:val="44"/>
          <w:szCs w:val="44"/>
          <w:shd w:val="clear" w:color="auto" w:fill="FFFFFF"/>
          <w:lang w:bidi="ar"/>
        </w:rPr>
        <w:t>和田地区商务局202</w:t>
      </w:r>
      <w:r>
        <w:rPr>
          <w:rFonts w:hint="eastAsia" w:ascii="方正小标宋简体" w:hAnsi="方正小标宋简体" w:eastAsia="方正小标宋简体" w:cs="方正仿宋简体"/>
          <w:b w:val="0"/>
          <w:color w:val="000000"/>
          <w:sz w:val="44"/>
          <w:szCs w:val="44"/>
          <w:shd w:val="clear" w:color="auto" w:fill="FFFFFF"/>
          <w:lang w:val="en-US" w:eastAsia="zh-CN" w:bidi="ar"/>
        </w:rPr>
        <w:t>3</w:t>
      </w:r>
      <w:r>
        <w:rPr>
          <w:rFonts w:ascii="方正小标宋简体" w:hAnsi="方正小标宋简体" w:eastAsia="方正小标宋简体" w:cs="方正仿宋简体"/>
          <w:b w:val="0"/>
          <w:color w:val="000000"/>
          <w:sz w:val="44"/>
          <w:szCs w:val="44"/>
          <w:shd w:val="clear" w:color="auto" w:fill="FFFFFF"/>
          <w:lang w:bidi="ar"/>
        </w:rPr>
        <w:t>年政府信息公开</w:t>
      </w: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仿宋简体"/>
          <w:b w:val="0"/>
          <w:color w:val="000000"/>
          <w:sz w:val="44"/>
          <w:szCs w:val="44"/>
          <w:shd w:val="clear" w:color="auto" w:fill="FFFFFF"/>
          <w:lang w:bidi="ar"/>
        </w:rPr>
      </w:pPr>
      <w:r>
        <w:rPr>
          <w:rFonts w:ascii="方正小标宋简体" w:hAnsi="方正小标宋简体" w:eastAsia="方正小标宋简体" w:cs="方正仿宋简体"/>
          <w:b w:val="0"/>
          <w:color w:val="000000"/>
          <w:sz w:val="44"/>
          <w:szCs w:val="44"/>
          <w:shd w:val="clear" w:color="auto" w:fill="FFFFFF"/>
          <w:lang w:bidi="ar"/>
        </w:rPr>
        <w:t>工作</w:t>
      </w:r>
      <w:r>
        <w:rPr>
          <w:rFonts w:hint="eastAsia" w:ascii="方正小标宋简体" w:hAnsi="方正小标宋简体" w:eastAsia="方正小标宋简体" w:cs="方正仿宋简体"/>
          <w:b w:val="0"/>
          <w:color w:val="000000"/>
          <w:sz w:val="44"/>
          <w:szCs w:val="44"/>
          <w:shd w:val="clear" w:color="auto" w:fill="FFFFFF"/>
          <w:lang w:eastAsia="zh-CN" w:bidi="ar"/>
        </w:rPr>
        <w:t>年度</w:t>
      </w:r>
      <w:r>
        <w:rPr>
          <w:rFonts w:ascii="方正小标宋简体" w:hAnsi="方正小标宋简体" w:eastAsia="方正小标宋简体" w:cs="方正仿宋简体"/>
          <w:b w:val="0"/>
          <w:color w:val="000000"/>
          <w:sz w:val="44"/>
          <w:szCs w:val="44"/>
          <w:shd w:val="clear" w:color="auto" w:fill="FFFFFF"/>
          <w:lang w:bidi="ar"/>
        </w:rPr>
        <w:t>报告</w:t>
      </w:r>
    </w:p>
    <w:p>
      <w:pPr>
        <w:widowControl/>
        <w:wordWrap w:val="0"/>
        <w:spacing w:line="405" w:lineRule="atLeast"/>
        <w:jc w:val="center"/>
        <w:rPr>
          <w:rFonts w:hint="eastAsia" w:ascii="微软雅黑" w:hAnsi="微软雅黑" w:eastAsia="微软雅黑" w:cs="微软雅黑"/>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根据《中华人民共和国政府信息公开条例》，现将地区商务局2023年政府信息公开工作情况报告如下。</w:t>
      </w:r>
    </w:p>
    <w:p>
      <w:pPr>
        <w:keepNext w:val="0"/>
        <w:keepLines w:val="0"/>
        <w:pageBreakBefore w:val="0"/>
        <w:widowControl/>
        <w:kinsoku/>
        <w:wordWrap w:val="0"/>
        <w:overflowPunct/>
        <w:topLinePunct w:val="0"/>
        <w:autoSpaceDE/>
        <w:autoSpaceDN/>
        <w:bidi w:val="0"/>
        <w:adjustRightInd/>
        <w:snapToGrid/>
        <w:spacing w:line="560" w:lineRule="exact"/>
        <w:ind w:firstLine="640"/>
        <w:jc w:val="both"/>
        <w:textAlignment w:val="auto"/>
        <w:rPr>
          <w:rFonts w:hint="eastAsia" w:ascii="黑体" w:hAnsi="黑体" w:eastAsia="黑体" w:cs="微软雅黑"/>
          <w:sz w:val="32"/>
          <w:szCs w:val="32"/>
        </w:rPr>
      </w:pPr>
      <w:r>
        <w:rPr>
          <w:rFonts w:hint="eastAsia" w:ascii="黑体" w:hAnsi="黑体" w:eastAsia="黑体" w:cs="方正仿宋简体"/>
          <w:color w:val="000000"/>
          <w:kern w:val="0"/>
          <w:sz w:val="32"/>
          <w:szCs w:val="32"/>
          <w:shd w:val="clear" w:color="auto" w:fill="FFFFFF"/>
          <w:lang w:bidi="ar"/>
        </w:rPr>
        <w:t>一、总体情况</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bidi="ar"/>
        </w:rPr>
        <w:t>202</w:t>
      </w:r>
      <w:r>
        <w:rPr>
          <w:rFonts w:hint="eastAsia" w:ascii="仿宋_GB2312" w:hAnsi="仿宋_GB2312" w:eastAsia="仿宋_GB2312" w:cs="仿宋_GB2312"/>
          <w:color w:val="000000"/>
          <w:kern w:val="0"/>
          <w:sz w:val="32"/>
          <w:szCs w:val="32"/>
          <w:shd w:val="clear" w:color="auto" w:fill="FFFFFF"/>
          <w:lang w:val="en-US" w:eastAsia="zh-CN" w:bidi="ar"/>
        </w:rPr>
        <w:t>3</w:t>
      </w:r>
      <w:r>
        <w:rPr>
          <w:rFonts w:hint="eastAsia" w:ascii="仿宋_GB2312" w:hAnsi="仿宋_GB2312" w:eastAsia="仿宋_GB2312" w:cs="仿宋_GB2312"/>
          <w:color w:val="000000"/>
          <w:kern w:val="0"/>
          <w:sz w:val="32"/>
          <w:szCs w:val="32"/>
          <w:shd w:val="clear" w:color="auto" w:fill="FFFFFF"/>
          <w:lang w:bidi="ar"/>
        </w:rPr>
        <w:t>年，和田地区商务局认真贯彻落实《中华人民共和国政府信息公开条例》和《国务院办公厅政府信息与政务公开办公室关于政府信息公开工作年度报告有关事项的通知》(国办公开办函</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2019</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60号)有关精神，按照地区行政公署对政府信息公开工作的统一部署，把政府信息公开作为服务型机关建设的重要抓手，作为向人民汇报的重要渠道，进一步加强组织领导，加大宣传力度，强化督促检查，全年政府信息公开范围进一步扩大，公开项目分类进一步细化，充分发挥商务为民服务的作用，确保了商务领域政府信息公开工作取得了较好成效。</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微软雅黑"/>
          <w:sz w:val="32"/>
          <w:szCs w:val="32"/>
        </w:rPr>
      </w:pPr>
      <w:r>
        <w:rPr>
          <w:rFonts w:hint="eastAsia" w:ascii="楷体" w:hAnsi="楷体" w:eastAsia="楷体" w:cs="方正仿宋简体"/>
          <w:b/>
          <w:bCs/>
          <w:color w:val="000000"/>
          <w:kern w:val="0"/>
          <w:sz w:val="32"/>
          <w:szCs w:val="32"/>
          <w:shd w:val="clear" w:color="auto" w:fill="FFFFFF"/>
          <w:lang w:eastAsia="zh-CN" w:bidi="ar"/>
        </w:rPr>
        <w:t>（一）</w:t>
      </w:r>
      <w:r>
        <w:rPr>
          <w:rFonts w:hint="eastAsia" w:ascii="楷体" w:hAnsi="楷体" w:eastAsia="楷体" w:cs="方正仿宋简体"/>
          <w:b/>
          <w:bCs/>
          <w:color w:val="000000"/>
          <w:kern w:val="0"/>
          <w:sz w:val="32"/>
          <w:szCs w:val="32"/>
          <w:shd w:val="clear" w:color="auto" w:fill="FFFFFF"/>
          <w:lang w:bidi="ar"/>
        </w:rPr>
        <w:t>主动公开政府信息情况。</w:t>
      </w:r>
      <w:r>
        <w:rPr>
          <w:rFonts w:hint="eastAsia" w:ascii="仿宋_GB2312" w:hAnsi="仿宋_GB2312" w:eastAsia="仿宋_GB2312" w:cs="仿宋_GB2312"/>
          <w:color w:val="000000"/>
          <w:kern w:val="0"/>
          <w:sz w:val="32"/>
          <w:szCs w:val="32"/>
          <w:shd w:val="clear" w:color="auto" w:fill="FFFFFF"/>
          <w:lang w:val="en-US" w:eastAsia="zh-CN" w:bidi="ar"/>
        </w:rPr>
        <w:t>坚持公开为常态、不公开为例外的原则，注重夯实基础突出重点，2023年以来，我局依托政府网站作用，不断拓展主动公开的渠道和方式。围绕全地区商务工作发展总体目标，重点关注进出口货物贸易和服务贸易、贸易通关便利化等经济发展的重点方面，积极推动相关政务信息向公众主动公开。注重加强发布管理，安排专人跟踪服务落实。先后在和田地区行政公署网站对本机关的机构职能、机构设置、办公地址、办公时间、联系方式、负责人姓名等信息进行了更新完善，并通过</w:t>
      </w:r>
      <w:r>
        <w:rPr>
          <w:rFonts w:hint="eastAsia" w:ascii="仿宋_GB2312" w:hAnsi="仿宋_GB2312" w:eastAsia="仿宋_GB2312" w:cs="仿宋_GB2312"/>
          <w:color w:val="000000"/>
          <w:kern w:val="0"/>
          <w:sz w:val="32"/>
          <w:szCs w:val="32"/>
          <w:shd w:val="clear" w:color="auto" w:fill="FFFFFF"/>
          <w:lang w:eastAsia="zh-CN" w:bidi="ar"/>
        </w:rPr>
        <w:t>该网站主动</w:t>
      </w:r>
      <w:r>
        <w:rPr>
          <w:rFonts w:hint="eastAsia" w:ascii="仿宋_GB2312" w:hAnsi="仿宋_GB2312" w:eastAsia="仿宋_GB2312" w:cs="仿宋_GB2312"/>
          <w:color w:val="000000"/>
          <w:kern w:val="0"/>
          <w:sz w:val="32"/>
          <w:szCs w:val="32"/>
          <w:shd w:val="clear" w:color="auto" w:fill="FFFFFF"/>
          <w:lang w:bidi="ar"/>
        </w:rPr>
        <w:t>公开</w:t>
      </w:r>
      <w:r>
        <w:rPr>
          <w:rFonts w:hint="eastAsia" w:ascii="仿宋_GB2312" w:hAnsi="仿宋_GB2312" w:eastAsia="仿宋_GB2312" w:cs="仿宋_GB2312"/>
          <w:color w:val="000000"/>
          <w:kern w:val="0"/>
          <w:sz w:val="32"/>
          <w:szCs w:val="32"/>
          <w:shd w:val="clear" w:color="auto" w:fill="FFFFFF"/>
          <w:lang w:eastAsia="zh-CN" w:bidi="ar"/>
        </w:rPr>
        <w:t>本机关招商引资优惠政策汇编、</w:t>
      </w:r>
      <w:r>
        <w:rPr>
          <w:rFonts w:hint="eastAsia" w:ascii="仿宋_GB2312" w:hAnsi="仿宋_GB2312" w:eastAsia="仿宋_GB2312" w:cs="仿宋_GB2312"/>
          <w:color w:val="auto"/>
          <w:kern w:val="0"/>
          <w:sz w:val="32"/>
          <w:szCs w:val="32"/>
          <w:shd w:val="clear" w:color="auto" w:fill="FFFFFF"/>
          <w:lang w:bidi="ar"/>
        </w:rPr>
        <w:t>新建加油站项目审批结果</w:t>
      </w:r>
      <w:r>
        <w:rPr>
          <w:rFonts w:hint="eastAsia" w:ascii="仿宋_GB2312" w:hAnsi="仿宋_GB2312" w:eastAsia="仿宋_GB2312" w:cs="仿宋_GB2312"/>
          <w:color w:val="auto"/>
          <w:kern w:val="0"/>
          <w:sz w:val="32"/>
          <w:szCs w:val="32"/>
          <w:shd w:val="clear" w:color="auto" w:fill="FFFFFF"/>
          <w:lang w:eastAsia="zh-CN" w:bidi="ar"/>
        </w:rPr>
        <w:t>及电子商务相关信息等</w:t>
      </w:r>
      <w:r>
        <w:rPr>
          <w:rFonts w:hint="eastAsia" w:ascii="仿宋_GB2312" w:hAnsi="仿宋_GB2312" w:eastAsia="仿宋_GB2312" w:cs="仿宋_GB2312"/>
          <w:color w:val="000000"/>
          <w:kern w:val="0"/>
          <w:sz w:val="32"/>
          <w:szCs w:val="32"/>
          <w:shd w:val="clear" w:color="auto" w:fill="FFFFFF"/>
          <w:lang w:bidi="ar"/>
        </w:rPr>
        <w:t>各类政府信息</w:t>
      </w:r>
      <w:r>
        <w:rPr>
          <w:rFonts w:hint="eastAsia" w:ascii="仿宋_GB2312" w:hAnsi="仿宋_GB2312" w:eastAsia="仿宋_GB2312" w:cs="仿宋_GB2312"/>
          <w:color w:val="000000"/>
          <w:kern w:val="0"/>
          <w:sz w:val="32"/>
          <w:szCs w:val="32"/>
          <w:shd w:val="clear" w:color="auto" w:fill="FFFFFF"/>
          <w:lang w:val="en-US" w:eastAsia="zh-CN" w:bidi="ar"/>
        </w:rPr>
        <w:t>近10条。</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kern w:val="0"/>
          <w:sz w:val="32"/>
          <w:szCs w:val="32"/>
          <w:shd w:val="clear" w:color="auto" w:fill="FFFFFF"/>
          <w:lang w:val="en" w:eastAsia="zh-CN" w:bidi="ar"/>
        </w:rPr>
      </w:pPr>
      <w:r>
        <w:rPr>
          <w:rFonts w:hint="eastAsia" w:ascii="楷体" w:hAnsi="楷体" w:eastAsia="楷体" w:cs="方正仿宋简体"/>
          <w:b/>
          <w:bCs/>
          <w:color w:val="000000"/>
          <w:kern w:val="0"/>
          <w:sz w:val="32"/>
          <w:szCs w:val="32"/>
          <w:shd w:val="clear" w:color="auto" w:fill="FFFFFF"/>
          <w:lang w:val="en-US" w:eastAsia="zh-CN" w:bidi="ar"/>
        </w:rPr>
        <w:t>(二）</w:t>
      </w:r>
      <w:r>
        <w:rPr>
          <w:rFonts w:hint="eastAsia" w:ascii="楷体" w:hAnsi="楷体" w:eastAsia="楷体" w:cs="方正仿宋简体"/>
          <w:b/>
          <w:bCs/>
          <w:color w:val="000000"/>
          <w:kern w:val="0"/>
          <w:sz w:val="32"/>
          <w:szCs w:val="32"/>
          <w:shd w:val="clear" w:color="auto" w:fill="FFFFFF"/>
          <w:lang w:bidi="ar"/>
        </w:rPr>
        <w:t>依申请公开政府信息情况。</w:t>
      </w:r>
      <w:r>
        <w:rPr>
          <w:rFonts w:hint="eastAsia" w:ascii="仿宋_GB2312" w:hAnsi="仿宋_GB2312" w:eastAsia="仿宋_GB2312" w:cs="仿宋_GB2312"/>
          <w:color w:val="000000"/>
          <w:kern w:val="0"/>
          <w:sz w:val="32"/>
          <w:szCs w:val="32"/>
          <w:shd w:val="clear" w:color="auto" w:fill="FFFFFF"/>
          <w:lang w:eastAsia="zh-CN" w:bidi="ar"/>
        </w:rPr>
        <w:t>地区商务局高度重视依申请公开事项的答复，安排专人负责随时协调有关科室研究答复意见，对重点问题由局分管领导牵头，办公室与有关业科室会商，认真研究分析，并按照规定程序、在规定时限内妥善答复申请人，确保申请人对答复意见满意。202</w:t>
      </w:r>
      <w:r>
        <w:rPr>
          <w:rFonts w:hint="eastAsia" w:ascii="仿宋_GB2312" w:hAnsi="仿宋_GB2312" w:eastAsia="仿宋_GB2312" w:cs="仿宋_GB2312"/>
          <w:color w:val="000000"/>
          <w:kern w:val="0"/>
          <w:sz w:val="32"/>
          <w:szCs w:val="32"/>
          <w:shd w:val="clear" w:color="auto" w:fill="FFFFFF"/>
          <w:lang w:val="en-US" w:eastAsia="zh-CN" w:bidi="ar"/>
        </w:rPr>
        <w:t>3</w:t>
      </w:r>
      <w:r>
        <w:rPr>
          <w:rFonts w:hint="eastAsia" w:ascii="仿宋_GB2312" w:hAnsi="仿宋_GB2312" w:eastAsia="仿宋_GB2312" w:cs="仿宋_GB2312"/>
          <w:color w:val="000000"/>
          <w:kern w:val="0"/>
          <w:sz w:val="32"/>
          <w:szCs w:val="32"/>
          <w:shd w:val="clear" w:color="auto" w:fill="FFFFFF"/>
          <w:lang w:eastAsia="zh-CN" w:bidi="ar"/>
        </w:rPr>
        <w:t>年度，地区商务局未收到公民、法人或其他组织提出的政府信息公开申请</w:t>
      </w:r>
      <w:r>
        <w:rPr>
          <w:rFonts w:hint="eastAsia" w:ascii="仿宋_GB2312" w:hAnsi="仿宋_GB2312" w:eastAsia="仿宋_GB2312" w:cs="仿宋_GB2312"/>
          <w:color w:val="000000"/>
          <w:kern w:val="0"/>
          <w:sz w:val="32"/>
          <w:szCs w:val="32"/>
          <w:shd w:val="clear" w:color="auto" w:fill="FFFFFF"/>
          <w:lang w:val="en" w:eastAsia="zh-CN" w:bidi="ar"/>
        </w:rPr>
        <w:t>。</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rPr>
      </w:pPr>
      <w:r>
        <w:rPr>
          <w:rFonts w:hint="eastAsia" w:ascii="楷体" w:hAnsi="楷体" w:eastAsia="楷体" w:cs="方正仿宋简体"/>
          <w:b/>
          <w:bCs/>
          <w:color w:val="000000"/>
          <w:kern w:val="0"/>
          <w:sz w:val="32"/>
          <w:szCs w:val="32"/>
          <w:shd w:val="clear" w:color="auto" w:fill="FFFFFF"/>
          <w:lang w:eastAsia="zh-CN" w:bidi="ar"/>
        </w:rPr>
        <w:t>（三）</w:t>
      </w:r>
      <w:r>
        <w:rPr>
          <w:rFonts w:hint="eastAsia" w:ascii="楷体" w:hAnsi="楷体" w:eastAsia="楷体" w:cs="方正仿宋简体"/>
          <w:b/>
          <w:bCs/>
          <w:color w:val="000000"/>
          <w:kern w:val="0"/>
          <w:sz w:val="32"/>
          <w:szCs w:val="32"/>
          <w:shd w:val="clear" w:color="auto" w:fill="FFFFFF"/>
          <w:lang w:bidi="ar"/>
        </w:rPr>
        <w:t>政府信息管理情况。</w:t>
      </w:r>
      <w:r>
        <w:rPr>
          <w:rFonts w:hint="eastAsia" w:ascii="仿宋_GB2312" w:hAnsi="仿宋_GB2312" w:eastAsia="仿宋_GB2312" w:cs="仿宋_GB2312"/>
          <w:color w:val="000000"/>
          <w:kern w:val="0"/>
          <w:sz w:val="32"/>
          <w:szCs w:val="32"/>
          <w:shd w:val="clear" w:color="auto" w:fill="FFFFFF"/>
          <w:lang w:bidi="ar"/>
        </w:rPr>
        <w:t>202</w:t>
      </w:r>
      <w:r>
        <w:rPr>
          <w:rFonts w:hint="eastAsia" w:ascii="仿宋_GB2312" w:hAnsi="仿宋_GB2312" w:eastAsia="仿宋_GB2312" w:cs="仿宋_GB2312"/>
          <w:color w:val="000000"/>
          <w:kern w:val="0"/>
          <w:sz w:val="32"/>
          <w:szCs w:val="32"/>
          <w:shd w:val="clear" w:color="auto" w:fill="FFFFFF"/>
          <w:lang w:val="en-US" w:eastAsia="zh-CN" w:bidi="ar"/>
        </w:rPr>
        <w:t>3</w:t>
      </w:r>
      <w:r>
        <w:rPr>
          <w:rFonts w:hint="eastAsia" w:ascii="仿宋_GB2312" w:hAnsi="仿宋_GB2312" w:eastAsia="仿宋_GB2312" w:cs="仿宋_GB2312"/>
          <w:color w:val="000000"/>
          <w:kern w:val="0"/>
          <w:sz w:val="32"/>
          <w:szCs w:val="32"/>
          <w:shd w:val="clear" w:color="auto" w:fill="FFFFFF"/>
          <w:lang w:bidi="ar"/>
        </w:rPr>
        <w:t>年，地区商务局进一步规范了信息发布工作流程，明确了政务信息和外宣信息的主管领导、分管领导和具体管理人员</w:t>
      </w:r>
      <w:r>
        <w:rPr>
          <w:rFonts w:hint="eastAsia" w:ascii="仿宋_GB2312" w:hAnsi="仿宋_GB2312" w:eastAsia="仿宋_GB2312" w:cs="仿宋_GB2312"/>
          <w:color w:val="000000"/>
          <w:kern w:val="0"/>
          <w:sz w:val="32"/>
          <w:szCs w:val="32"/>
          <w:shd w:val="clear" w:color="auto" w:fill="FFFFFF"/>
          <w:lang w:eastAsia="zh-CN" w:bidi="ar"/>
        </w:rPr>
        <w:t>。对公开的政府信息进行严格审核，做到突出重点，对于人民群众关切事件给予及时公布，不遗漏、不泛化，</w:t>
      </w:r>
      <w:r>
        <w:rPr>
          <w:rFonts w:hint="eastAsia" w:ascii="仿宋_GB2312" w:hAnsi="仿宋_GB2312" w:eastAsia="仿宋_GB2312" w:cs="仿宋_GB2312"/>
          <w:color w:val="000000"/>
          <w:kern w:val="0"/>
          <w:sz w:val="32"/>
          <w:szCs w:val="32"/>
          <w:shd w:val="clear" w:color="auto" w:fill="FFFFFF"/>
          <w:lang w:bidi="ar"/>
        </w:rPr>
        <w:t>全面提</w:t>
      </w:r>
      <w:r>
        <w:rPr>
          <w:rFonts w:hint="eastAsia" w:ascii="仿宋_GB2312" w:hAnsi="仿宋_GB2312" w:eastAsia="仿宋_GB2312" w:cs="仿宋_GB2312"/>
          <w:color w:val="000000"/>
          <w:kern w:val="0"/>
          <w:sz w:val="32"/>
          <w:szCs w:val="32"/>
          <w:shd w:val="clear" w:color="auto" w:fill="FFFFFF"/>
          <w:lang w:eastAsia="zh-CN" w:bidi="ar"/>
        </w:rPr>
        <w:t>升</w:t>
      </w:r>
      <w:r>
        <w:rPr>
          <w:rFonts w:hint="eastAsia" w:ascii="仿宋_GB2312" w:hAnsi="仿宋_GB2312" w:eastAsia="仿宋_GB2312" w:cs="仿宋_GB2312"/>
          <w:color w:val="000000"/>
          <w:kern w:val="0"/>
          <w:sz w:val="32"/>
          <w:szCs w:val="32"/>
          <w:shd w:val="clear" w:color="auto" w:fill="FFFFFF"/>
          <w:lang w:bidi="ar"/>
        </w:rPr>
        <w:t>政府信息公开服务水平。</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楷体" w:hAnsi="楷体" w:eastAsia="楷体" w:cs="方正仿宋简体"/>
          <w:b/>
          <w:bCs/>
          <w:color w:val="000000"/>
          <w:kern w:val="0"/>
          <w:sz w:val="32"/>
          <w:szCs w:val="32"/>
          <w:shd w:val="clear" w:color="auto" w:fill="FFFFFF"/>
          <w:lang w:val="en-US" w:eastAsia="zh-CN" w:bidi="ar"/>
        </w:rPr>
        <w:t>（四）</w:t>
      </w:r>
      <w:r>
        <w:rPr>
          <w:rFonts w:hint="eastAsia" w:ascii="楷体" w:hAnsi="楷体" w:eastAsia="楷体" w:cs="方正仿宋简体"/>
          <w:b/>
          <w:bCs/>
          <w:color w:val="000000"/>
          <w:kern w:val="0"/>
          <w:sz w:val="32"/>
          <w:szCs w:val="32"/>
          <w:shd w:val="clear" w:color="auto" w:fill="FFFFFF"/>
          <w:lang w:bidi="ar"/>
        </w:rPr>
        <w:t>平台建设情况。</w:t>
      </w:r>
      <w:r>
        <w:rPr>
          <w:rFonts w:hint="eastAsia" w:ascii="仿宋_GB2312" w:hAnsi="仿宋_GB2312" w:eastAsia="仿宋_GB2312" w:cs="仿宋_GB2312"/>
          <w:color w:val="000000"/>
          <w:kern w:val="0"/>
          <w:sz w:val="32"/>
          <w:szCs w:val="32"/>
          <w:shd w:val="clear" w:color="auto" w:fill="FFFFFF"/>
          <w:lang w:eastAsia="zh-CN" w:bidi="ar"/>
        </w:rPr>
        <w:t>地区商务局未建设门户网站，主要依托地区行政公署网站公开本机关政府信息，</w:t>
      </w:r>
      <w:r>
        <w:rPr>
          <w:rFonts w:hint="eastAsia" w:ascii="仿宋_GB2312" w:hAnsi="仿宋_GB2312" w:eastAsia="仿宋_GB2312" w:cs="仿宋_GB2312"/>
          <w:color w:val="000000"/>
          <w:kern w:val="0"/>
          <w:sz w:val="32"/>
          <w:szCs w:val="32"/>
          <w:shd w:val="clear" w:color="auto" w:fill="FFFFFF"/>
          <w:lang w:val="en-US" w:eastAsia="zh-CN" w:bidi="ar"/>
        </w:rPr>
        <w:t>在该网站开设了“电子商务进乡村”专栏</w:t>
      </w:r>
      <w:r>
        <w:rPr>
          <w:rFonts w:hint="eastAsia" w:ascii="仿宋_GB2312" w:hAnsi="仿宋_GB2312" w:eastAsia="仿宋_GB2312" w:cs="仿宋_GB2312"/>
          <w:color w:val="000000"/>
          <w:kern w:val="0"/>
          <w:sz w:val="32"/>
          <w:szCs w:val="32"/>
          <w:shd w:val="clear" w:color="auto" w:fill="FFFFFF"/>
          <w:lang w:bidi="ar"/>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napToGrid w:val="0"/>
          <w:color w:val="000000"/>
          <w:kern w:val="0"/>
          <w:sz w:val="32"/>
          <w:szCs w:val="32"/>
          <w:shd w:val="clear" w:color="auto" w:fill="FFFFFF"/>
          <w:lang w:val="en-US" w:eastAsia="zh-CN" w:bidi="ar"/>
        </w:rPr>
      </w:pPr>
      <w:r>
        <w:rPr>
          <w:rFonts w:hint="eastAsia" w:ascii="楷体" w:hAnsi="楷体" w:eastAsia="楷体" w:cs="方正仿宋简体"/>
          <w:b/>
          <w:bCs/>
          <w:color w:val="000000"/>
          <w:kern w:val="0"/>
          <w:sz w:val="32"/>
          <w:szCs w:val="32"/>
          <w:shd w:val="clear" w:color="auto" w:fill="FFFFFF"/>
          <w:lang w:val="en-US" w:eastAsia="zh-CN" w:bidi="ar"/>
        </w:rPr>
        <w:t>（五）</w:t>
      </w:r>
      <w:r>
        <w:rPr>
          <w:rFonts w:hint="eastAsia" w:ascii="楷体" w:hAnsi="楷体" w:eastAsia="楷体" w:cs="方正仿宋简体"/>
          <w:b/>
          <w:bCs/>
          <w:color w:val="000000"/>
          <w:kern w:val="0"/>
          <w:sz w:val="32"/>
          <w:szCs w:val="32"/>
          <w:shd w:val="clear" w:color="auto" w:fill="FFFFFF"/>
          <w:lang w:bidi="ar"/>
        </w:rPr>
        <w:t>监督保障情况。</w:t>
      </w:r>
      <w:r>
        <w:rPr>
          <w:rFonts w:hint="eastAsia" w:ascii="仿宋_GB2312" w:hAnsi="仿宋_GB2312" w:eastAsia="仿宋_GB2312" w:cs="仿宋_GB2312"/>
          <w:snapToGrid w:val="0"/>
          <w:color w:val="000000"/>
          <w:kern w:val="0"/>
          <w:sz w:val="32"/>
          <w:szCs w:val="32"/>
          <w:shd w:val="clear" w:color="auto" w:fill="FFFFFF"/>
          <w:lang w:val="en-US" w:eastAsia="zh-CN" w:bidi="ar"/>
        </w:rPr>
        <w:t>加强组织领导抓统筹，进一步完善信息公开机制，优化信息公开审查流程，结合地区商务局实际，在严格落实“三审三校”制度的基础上，重新完善和制定相关的审查工作机制。定期安排本机关政府信息公开自查工作，对工作进度和具体工作提出要求，确保商务信息公开有条不紊地开展。</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9"/>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0"/>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0"/>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0"/>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9"/>
        <w:tblW w:w="8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761"/>
        <w:gridCol w:w="2940"/>
        <w:gridCol w:w="467"/>
        <w:gridCol w:w="659"/>
        <w:gridCol w:w="659"/>
        <w:gridCol w:w="659"/>
        <w:gridCol w:w="670"/>
        <w:gridCol w:w="473"/>
        <w:gridCol w:w="460"/>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448" w:type="dxa"/>
            <w:gridSpan w:val="3"/>
            <w:vMerge w:val="restart"/>
            <w:tcBorders>
              <w:bottom w:val="nil"/>
            </w:tcBorders>
            <w:vAlign w:val="center"/>
          </w:tcPr>
          <w:p>
            <w:pPr>
              <w:pStyle w:val="10"/>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4051" w:type="dxa"/>
            <w:gridSpan w:val="8"/>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448"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7"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120"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64" w:type="dxa"/>
            <w:gridSpan w:val="2"/>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448"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7"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7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73"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64" w:type="dxa"/>
            <w:gridSpan w:val="2"/>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448" w:type="dxa"/>
            <w:gridSpan w:val="3"/>
            <w:vAlign w:val="center"/>
          </w:tcPr>
          <w:p>
            <w:pPr>
              <w:pStyle w:val="10"/>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7"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64" w:type="dxa"/>
            <w:gridSpan w:val="2"/>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48" w:type="dxa"/>
            <w:gridSpan w:val="3"/>
            <w:vAlign w:val="center"/>
          </w:tcPr>
          <w:p>
            <w:pPr>
              <w:pStyle w:val="10"/>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7"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64" w:type="dxa"/>
            <w:gridSpan w:val="2"/>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restart"/>
            <w:tcBorders>
              <w:bottom w:val="nil"/>
            </w:tcBorders>
            <w:vAlign w:val="center"/>
          </w:tcPr>
          <w:p>
            <w:pPr>
              <w:pStyle w:val="10"/>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0"/>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0"/>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0"/>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0"/>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701"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564"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701"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564"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84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84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bottom w:val="nil"/>
            </w:tcBorders>
            <w:vAlign w:val="top"/>
          </w:tcPr>
          <w:p>
            <w:pP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61" w:type="dxa"/>
            <w:vMerge w:val="continue"/>
            <w:tcBorders>
              <w:top w:val="nil"/>
            </w:tcBorders>
            <w:vAlign w:val="top"/>
          </w:tcPr>
          <w:p>
            <w:pPr>
              <w:rPr>
                <w:rFonts w:hint="eastAsia" w:ascii="方正仿宋_GB2312" w:hAnsi="方正仿宋_GB2312" w:eastAsia="方正仿宋_GB2312" w:cs="方正仿宋_GB2312"/>
              </w:rPr>
            </w:pPr>
          </w:p>
        </w:tc>
        <w:tc>
          <w:tcPr>
            <w:tcW w:w="2940"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71" w:hRule="atLeast"/>
        </w:trPr>
        <w:tc>
          <w:tcPr>
            <w:tcW w:w="747"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701"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4" w:type="dxa"/>
          <w:trHeight w:val="390" w:hRule="atLeast"/>
        </w:trPr>
        <w:tc>
          <w:tcPr>
            <w:tcW w:w="4448"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0" w:type="dxa"/>
            <w:vAlign w:val="center"/>
          </w:tcPr>
          <w:p>
            <w:pPr>
              <w:jc w:val="cente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73"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9"/>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bl>
    <w:p>
      <w:pPr>
        <w:spacing w:before="151" w:line="222" w:lineRule="auto"/>
        <w:ind w:left="749"/>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kern w:val="0"/>
          <w:sz w:val="32"/>
          <w:szCs w:val="32"/>
          <w:shd w:val="clear" w:color="auto" w:fill="FFFFFF"/>
          <w:lang w:eastAsia="zh-CN" w:bidi="ar"/>
        </w:rPr>
      </w:pPr>
      <w:r>
        <w:rPr>
          <w:rFonts w:ascii="楷体" w:hAnsi="楷体" w:eastAsia="楷体" w:cs="方正仿宋简体"/>
          <w:b/>
          <w:bCs/>
          <w:color w:val="000000"/>
          <w:kern w:val="0"/>
          <w:sz w:val="32"/>
          <w:szCs w:val="32"/>
          <w:shd w:val="clear" w:color="auto" w:fill="FFFFFF"/>
          <w:lang w:bidi="ar"/>
        </w:rPr>
        <w:t>（一）</w:t>
      </w:r>
      <w:r>
        <w:rPr>
          <w:rFonts w:hint="eastAsia" w:ascii="楷体" w:hAnsi="楷体" w:eastAsia="楷体" w:cs="方正仿宋简体"/>
          <w:b/>
          <w:bCs/>
          <w:color w:val="000000"/>
          <w:kern w:val="0"/>
          <w:sz w:val="32"/>
          <w:szCs w:val="32"/>
          <w:shd w:val="clear" w:color="auto" w:fill="FFFFFF"/>
          <w:lang w:eastAsia="zh-CN" w:bidi="ar"/>
        </w:rPr>
        <w:t>存在的主要问题。</w:t>
      </w:r>
      <w:r>
        <w:rPr>
          <w:rFonts w:hint="eastAsia" w:ascii="仿宋_GB2312" w:hAnsi="仿宋_GB2312" w:eastAsia="仿宋_GB2312" w:cs="仿宋_GB2312"/>
          <w:b/>
          <w:bCs/>
          <w:color w:val="000000"/>
          <w:kern w:val="0"/>
          <w:sz w:val="32"/>
          <w:szCs w:val="32"/>
          <w:shd w:val="clear" w:color="auto" w:fill="FFFFFF"/>
          <w:lang w:eastAsia="zh-CN" w:bidi="ar"/>
        </w:rPr>
        <w:t>一是</w:t>
      </w:r>
      <w:r>
        <w:rPr>
          <w:rFonts w:hint="eastAsia" w:ascii="仿宋_GB2312" w:hAnsi="仿宋_GB2312" w:eastAsia="仿宋_GB2312" w:cs="仿宋_GB2312"/>
          <w:color w:val="000000"/>
          <w:kern w:val="0"/>
          <w:sz w:val="32"/>
          <w:szCs w:val="32"/>
          <w:shd w:val="clear" w:color="auto" w:fill="FFFFFF"/>
          <w:lang w:eastAsia="zh-CN" w:bidi="ar"/>
        </w:rPr>
        <w:t>开展政务公开的创新性动力不足，满足于按部就班开展工作，主动公开的时效性还不够强；</w:t>
      </w:r>
      <w:r>
        <w:rPr>
          <w:rFonts w:hint="eastAsia" w:ascii="仿宋_GB2312" w:hAnsi="仿宋_GB2312" w:eastAsia="仿宋_GB2312" w:cs="仿宋_GB2312"/>
          <w:b/>
          <w:bCs/>
          <w:color w:val="000000"/>
          <w:kern w:val="0"/>
          <w:sz w:val="32"/>
          <w:szCs w:val="32"/>
          <w:shd w:val="clear" w:color="auto" w:fill="FFFFFF"/>
          <w:lang w:eastAsia="zh-CN" w:bidi="ar"/>
        </w:rPr>
        <w:t>二是</w:t>
      </w:r>
      <w:r>
        <w:rPr>
          <w:rFonts w:hint="eastAsia" w:ascii="仿宋_GB2312" w:hAnsi="仿宋_GB2312" w:eastAsia="仿宋_GB2312" w:cs="仿宋_GB2312"/>
          <w:color w:val="000000"/>
          <w:kern w:val="0"/>
          <w:sz w:val="32"/>
          <w:szCs w:val="32"/>
          <w:shd w:val="clear" w:color="auto" w:fill="FFFFFF"/>
          <w:lang w:eastAsia="zh-CN" w:bidi="ar"/>
        </w:rPr>
        <w:t>行政许可、行政处罚“双公示”机制有待进一步加强</w:t>
      </w:r>
      <w:r>
        <w:rPr>
          <w:rFonts w:hint="eastAsia" w:ascii="仿宋_GB2312" w:hAnsi="仿宋_GB2312" w:eastAsia="仿宋_GB2312" w:cs="仿宋_GB2312"/>
          <w:b w:val="0"/>
          <w:bCs w:val="0"/>
          <w:color w:val="000000"/>
          <w:kern w:val="0"/>
          <w:sz w:val="32"/>
          <w:szCs w:val="32"/>
          <w:shd w:val="clear" w:color="auto" w:fill="FFFFFF"/>
          <w:lang w:eastAsia="zh-CN" w:bidi="ar"/>
        </w:rPr>
        <w:t>。</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楷体" w:hAnsi="楷体" w:eastAsia="楷体" w:cs="方正仿宋简体"/>
          <w:b/>
          <w:bCs/>
          <w:color w:val="000000"/>
          <w:kern w:val="0"/>
          <w:sz w:val="32"/>
          <w:szCs w:val="32"/>
          <w:shd w:val="clear" w:color="auto" w:fill="FFFFFF"/>
          <w:lang w:bidi="ar"/>
        </w:rPr>
        <w:t>（二）改进</w:t>
      </w:r>
      <w:r>
        <w:rPr>
          <w:rFonts w:hint="eastAsia" w:ascii="楷体" w:hAnsi="楷体" w:eastAsia="楷体" w:cs="方正仿宋简体"/>
          <w:b/>
          <w:bCs/>
          <w:color w:val="000000"/>
          <w:kern w:val="0"/>
          <w:sz w:val="32"/>
          <w:szCs w:val="32"/>
          <w:shd w:val="clear" w:color="auto" w:fill="FFFFFF"/>
          <w:lang w:eastAsia="zh-CN" w:bidi="ar"/>
        </w:rPr>
        <w:t>情况。</w:t>
      </w:r>
      <w:r>
        <w:rPr>
          <w:rFonts w:hint="eastAsia" w:ascii="仿宋_GB2312" w:hAnsi="仿宋_GB2312" w:eastAsia="仿宋_GB2312" w:cs="仿宋_GB2312"/>
          <w:b/>
          <w:bCs/>
          <w:color w:val="000000"/>
          <w:kern w:val="0"/>
          <w:sz w:val="32"/>
          <w:szCs w:val="32"/>
          <w:shd w:val="clear" w:color="auto" w:fill="FFFFFF"/>
          <w:lang w:val="en-US" w:eastAsia="zh-CN" w:bidi="ar"/>
        </w:rPr>
        <w:t>一是</w:t>
      </w:r>
      <w:r>
        <w:rPr>
          <w:rFonts w:hint="eastAsia" w:ascii="仿宋_GB2312" w:hAnsi="仿宋_GB2312" w:eastAsia="仿宋_GB2312" w:cs="仿宋_GB2312"/>
          <w:b w:val="0"/>
          <w:bCs w:val="0"/>
          <w:color w:val="000000"/>
          <w:kern w:val="0"/>
          <w:sz w:val="32"/>
          <w:szCs w:val="32"/>
          <w:shd w:val="clear" w:color="auto" w:fill="FFFFFF"/>
          <w:lang w:val="en-US" w:eastAsia="zh-CN" w:bidi="ar"/>
        </w:rPr>
        <w:t>进一步充实公开内容，提高依申请公开答复的质量和水平，同时做好咨询服务，主动回应群众关切，为公众提供更加满意的答复；</w:t>
      </w:r>
      <w:r>
        <w:rPr>
          <w:rFonts w:hint="eastAsia" w:ascii="仿宋_GB2312" w:hAnsi="仿宋_GB2312" w:eastAsia="仿宋_GB2312" w:cs="仿宋_GB2312"/>
          <w:b/>
          <w:bCs/>
          <w:color w:val="000000"/>
          <w:kern w:val="0"/>
          <w:sz w:val="32"/>
          <w:szCs w:val="32"/>
          <w:shd w:val="clear" w:color="auto" w:fill="FFFFFF"/>
          <w:lang w:eastAsia="zh-CN" w:bidi="ar"/>
        </w:rPr>
        <w:t>二是</w:t>
      </w:r>
      <w:r>
        <w:rPr>
          <w:rFonts w:hint="eastAsia" w:ascii="仿宋_GB2312" w:hAnsi="仿宋_GB2312" w:eastAsia="仿宋_GB2312" w:cs="仿宋_GB2312"/>
          <w:b w:val="0"/>
          <w:bCs w:val="0"/>
          <w:color w:val="000000"/>
          <w:kern w:val="0"/>
          <w:sz w:val="32"/>
          <w:szCs w:val="32"/>
          <w:shd w:val="clear" w:color="auto" w:fill="FFFFFF"/>
          <w:lang w:val="en-US" w:eastAsia="zh-CN" w:bidi="ar"/>
        </w:rPr>
        <w:t>我局将进一步完善行政许可、行政处罚“双公示”工作机制，提升“双公示”平台建设水平，确保我局行政行为更加公正透明；</w:t>
      </w:r>
      <w:r>
        <w:rPr>
          <w:rFonts w:hint="eastAsia" w:ascii="仿宋_GB2312" w:hAnsi="仿宋_GB2312" w:eastAsia="仿宋_GB2312" w:cs="仿宋_GB2312"/>
          <w:b/>
          <w:bCs/>
          <w:color w:val="000000"/>
          <w:kern w:val="0"/>
          <w:sz w:val="32"/>
          <w:szCs w:val="32"/>
          <w:shd w:val="clear" w:color="auto" w:fill="FFFFFF"/>
          <w:lang w:val="en-US" w:eastAsia="zh-CN" w:bidi="ar"/>
        </w:rPr>
        <w:t>三是</w:t>
      </w:r>
      <w:r>
        <w:rPr>
          <w:rFonts w:hint="eastAsia" w:ascii="仿宋_GB2312" w:hAnsi="仿宋_GB2312" w:eastAsia="仿宋_GB2312" w:cs="仿宋_GB2312"/>
          <w:b w:val="0"/>
          <w:bCs w:val="0"/>
          <w:color w:val="000000"/>
          <w:kern w:val="0"/>
          <w:sz w:val="32"/>
          <w:szCs w:val="32"/>
          <w:shd w:val="clear" w:color="auto" w:fill="FFFFFF"/>
          <w:lang w:val="en-US" w:eastAsia="zh-CN" w:bidi="ar"/>
        </w:rPr>
        <w:t>我局将组织政府信息公开工作相关科室召开座谈会，加强工作沟通，完善协调机制，推动我局政务公开工作再上新水平。</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仿宋" w:hAnsi="仿宋" w:eastAsia="仿宋" w:cs="方正仿宋简体"/>
          <w:color w:val="000000"/>
          <w:kern w:val="0"/>
          <w:sz w:val="32"/>
          <w:szCs w:val="32"/>
          <w:shd w:val="clear" w:color="auto" w:fill="FFFFFF"/>
          <w:lang w:bidi="ar"/>
        </w:rPr>
      </w:pPr>
      <w:r>
        <w:rPr>
          <w:rFonts w:ascii="黑体" w:hAnsi="黑体" w:eastAsia="黑体" w:cs="方正仿宋简体"/>
          <w:color w:val="000000"/>
          <w:kern w:val="0"/>
          <w:sz w:val="32"/>
          <w:szCs w:val="32"/>
          <w:shd w:val="clear" w:color="auto" w:fill="FFFFFF"/>
          <w:lang w:bidi="ar"/>
        </w:rPr>
        <w:t>六、其他需要报告的事项</w:t>
      </w:r>
    </w:p>
    <w:p>
      <w:pPr>
        <w:keepNext w:val="0"/>
        <w:keepLines w:val="0"/>
        <w:pageBreakBefore w:val="0"/>
        <w:widowControl/>
        <w:kinsoku/>
        <w:wordWrap w:val="0"/>
        <w:overflowPunct/>
        <w:topLinePunct w:val="0"/>
        <w:autoSpaceDE/>
        <w:autoSpaceDN/>
        <w:bidi w:val="0"/>
        <w:adjustRightInd/>
        <w:snapToGrid/>
        <w:spacing w:line="560" w:lineRule="exact"/>
        <w:ind w:firstLine="641"/>
        <w:jc w:val="both"/>
        <w:textAlignment w:val="auto"/>
        <w:rPr>
          <w:rFonts w:hint="eastAsia" w:ascii="微软雅黑" w:hAnsi="微软雅黑" w:eastAsia="微软雅黑" w:cs="微软雅黑"/>
        </w:rPr>
      </w:pPr>
      <w:r>
        <w:rPr>
          <w:rFonts w:hint="eastAsia" w:ascii="仿宋_GB2312" w:hAnsi="仿宋_GB2312" w:eastAsia="仿宋_GB2312" w:cs="仿宋_GB2312"/>
          <w:color w:val="000000"/>
          <w:kern w:val="0"/>
          <w:sz w:val="32"/>
          <w:szCs w:val="32"/>
          <w:shd w:val="clear" w:color="auto" w:fill="FFFFFF"/>
          <w:lang w:eastAsia="zh-CN" w:bidi="ar"/>
        </w:rPr>
        <w:t>本机关按照《国务院办公厅关于印发〈政府信息公开信息处理费管理办法〉的通知》（国办函〔2020〕109号）规定的按件、按量收费标准，本年度没有产生信息公开处理费。</w:t>
      </w:r>
      <w:bookmarkStart w:id="0" w:name="_GoBack"/>
      <w:bookmarkEnd w:id="0"/>
      <w:r>
        <w:rPr>
          <w:rFonts w:hint="eastAsia" w:ascii="微软雅黑" w:hAnsi="微软雅黑" w:eastAsia="微软雅黑" w:cs="微软雅黑"/>
          <w:color w:val="000000"/>
          <w:kern w:val="0"/>
          <w:sz w:val="32"/>
          <w:szCs w:val="32"/>
          <w:shd w:val="clear" w:color="auto" w:fill="FFFFFF"/>
          <w:lang w:bidi="ar"/>
        </w:rPr>
        <w:t>                  </w:t>
      </w:r>
    </w:p>
    <w:p>
      <w:pPr>
        <w:keepNext w:val="0"/>
        <w:keepLines w:val="0"/>
        <w:pageBreakBefore w:val="0"/>
        <w:widowControl/>
        <w:kinsoku/>
        <w:wordWrap w:val="0"/>
        <w:overflowPunct/>
        <w:topLinePunct w:val="0"/>
        <w:autoSpaceDE/>
        <w:autoSpaceDN/>
        <w:bidi w:val="0"/>
        <w:adjustRightInd/>
        <w:snapToGrid/>
        <w:spacing w:line="560" w:lineRule="exact"/>
        <w:ind w:firstLine="641"/>
        <w:jc w:val="left"/>
        <w:textAlignment w:val="auto"/>
        <w:rPr>
          <w:rFonts w:ascii="仿宋" w:hAnsi="仿宋" w:eastAsia="仿宋" w:cs="方正仿宋简体"/>
          <w:color w:val="000000"/>
          <w:kern w:val="0"/>
          <w:sz w:val="32"/>
          <w:szCs w:val="32"/>
          <w:shd w:val="clear" w:color="auto" w:fill="FFFFFF"/>
          <w:lang w:bidi="ar"/>
        </w:rPr>
      </w:pPr>
    </w:p>
    <w:p>
      <w:pPr>
        <w:keepNext w:val="0"/>
        <w:keepLines w:val="0"/>
        <w:pageBreakBefore w:val="0"/>
        <w:widowControl/>
        <w:kinsoku/>
        <w:wordWrap w:val="0"/>
        <w:overflowPunct/>
        <w:topLinePunct w:val="0"/>
        <w:autoSpaceDE/>
        <w:autoSpaceDN/>
        <w:bidi w:val="0"/>
        <w:adjustRightInd/>
        <w:snapToGrid/>
        <w:spacing w:line="560" w:lineRule="exact"/>
        <w:ind w:firstLine="5452" w:firstLineChars="1704"/>
        <w:jc w:val="left"/>
        <w:textAlignment w:val="auto"/>
        <w:rPr>
          <w:rFonts w:hint="eastAsia" w:ascii="仿宋_GB2312" w:hAnsi="仿宋_GB2312" w:eastAsia="仿宋_GB2312" w:cs="仿宋_GB2312"/>
          <w:color w:val="000000"/>
          <w:kern w:val="0"/>
          <w:sz w:val="32"/>
          <w:szCs w:val="32"/>
          <w:shd w:val="clear" w:color="auto" w:fill="FFFFFF"/>
          <w:lang w:eastAsia="zh-CN" w:bidi="ar"/>
        </w:rPr>
      </w:pPr>
      <w:r>
        <w:rPr>
          <w:rFonts w:hint="eastAsia" w:ascii="仿宋_GB2312" w:hAnsi="仿宋_GB2312" w:eastAsia="仿宋_GB2312" w:cs="仿宋_GB2312"/>
          <w:color w:val="000000"/>
          <w:kern w:val="0"/>
          <w:sz w:val="32"/>
          <w:szCs w:val="32"/>
          <w:shd w:val="clear" w:color="auto" w:fill="FFFFFF"/>
          <w:lang w:eastAsia="zh-CN" w:bidi="ar"/>
        </w:rPr>
        <w:t>和田地区商务局</w:t>
      </w:r>
    </w:p>
    <w:p>
      <w:pPr>
        <w:keepNext w:val="0"/>
        <w:keepLines w:val="0"/>
        <w:pageBreakBefore w:val="0"/>
        <w:widowControl/>
        <w:kinsoku/>
        <w:wordWrap w:val="0"/>
        <w:overflowPunct/>
        <w:topLinePunct w:val="0"/>
        <w:autoSpaceDE/>
        <w:autoSpaceDN/>
        <w:bidi w:val="0"/>
        <w:adjustRightInd/>
        <w:snapToGrid/>
        <w:spacing w:line="560" w:lineRule="exact"/>
        <w:ind w:firstLine="5772" w:firstLineChars="1804"/>
        <w:jc w:val="left"/>
        <w:textAlignment w:val="auto"/>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202</w:t>
      </w:r>
      <w:r>
        <w:rPr>
          <w:rFonts w:hint="eastAsia" w:ascii="仿宋_GB2312" w:hAnsi="仿宋_GB2312" w:eastAsia="仿宋_GB2312" w:cs="仿宋_GB2312"/>
          <w:color w:val="000000"/>
          <w:kern w:val="0"/>
          <w:sz w:val="32"/>
          <w:szCs w:val="32"/>
          <w:shd w:val="clear" w:color="auto" w:fill="FFFFFF"/>
          <w:lang w:val="en-US" w:eastAsia="zh-CN" w:bidi="ar"/>
        </w:rPr>
        <w:t>4</w:t>
      </w:r>
      <w:r>
        <w:rPr>
          <w:rFonts w:hint="eastAsia" w:ascii="仿宋_GB2312" w:hAnsi="仿宋_GB2312" w:eastAsia="仿宋_GB2312" w:cs="仿宋_GB2312"/>
          <w:color w:val="000000"/>
          <w:kern w:val="0"/>
          <w:sz w:val="32"/>
          <w:szCs w:val="32"/>
          <w:shd w:val="clear" w:color="auto" w:fill="FFFFFF"/>
          <w:lang w:eastAsia="zh-CN" w:bidi="ar"/>
        </w:rPr>
        <w:t>年1月</w:t>
      </w:r>
      <w:r>
        <w:rPr>
          <w:rFonts w:hint="eastAsia" w:ascii="仿宋_GB2312" w:hAnsi="仿宋_GB2312" w:eastAsia="仿宋_GB2312" w:cs="仿宋_GB2312"/>
          <w:color w:val="000000"/>
          <w:kern w:val="0"/>
          <w:sz w:val="32"/>
          <w:szCs w:val="32"/>
          <w:shd w:val="clear" w:color="auto" w:fill="FFFFFF"/>
          <w:lang w:val="en-US" w:eastAsia="zh-CN" w:bidi="ar"/>
        </w:rPr>
        <w:t>10</w:t>
      </w:r>
      <w:r>
        <w:rPr>
          <w:rFonts w:hint="eastAsia" w:ascii="仿宋_GB2312" w:hAnsi="仿宋_GB2312" w:eastAsia="仿宋_GB2312" w:cs="仿宋_GB2312"/>
          <w:color w:val="000000"/>
          <w:kern w:val="0"/>
          <w:sz w:val="32"/>
          <w:szCs w:val="32"/>
          <w:shd w:val="clear" w:color="auto" w:fill="FFFFFF"/>
          <w:lang w:eastAsia="zh-CN" w:bidi="ar"/>
        </w:rPr>
        <w:t>日</w:t>
      </w:r>
    </w:p>
    <w:sectPr>
      <w:footerReference r:id="rId5"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FFE2E56"/>
    <w:rsid w:val="13D46914"/>
    <w:rsid w:val="186A061D"/>
    <w:rsid w:val="1FE771BD"/>
    <w:rsid w:val="2BEE2C41"/>
    <w:rsid w:val="310801DF"/>
    <w:rsid w:val="3BA00460"/>
    <w:rsid w:val="4CA63DE7"/>
    <w:rsid w:val="4E5F5F21"/>
    <w:rsid w:val="4F7A1E99"/>
    <w:rsid w:val="50613B79"/>
    <w:rsid w:val="55C022BA"/>
    <w:rsid w:val="56FBFED7"/>
    <w:rsid w:val="5AFA409D"/>
    <w:rsid w:val="5BFFA17D"/>
    <w:rsid w:val="5F3E3B6F"/>
    <w:rsid w:val="6D785F60"/>
    <w:rsid w:val="6FF79FA0"/>
    <w:rsid w:val="702E2744"/>
    <w:rsid w:val="725FCF84"/>
    <w:rsid w:val="797C0647"/>
    <w:rsid w:val="7A78007C"/>
    <w:rsid w:val="7AE615DB"/>
    <w:rsid w:val="ABEA8843"/>
    <w:rsid w:val="B2D73C1D"/>
    <w:rsid w:val="DBEF91C2"/>
    <w:rsid w:val="EEFF79FD"/>
    <w:rsid w:val="F15B4B4C"/>
    <w:rsid w:val="F1F9F433"/>
    <w:rsid w:val="F68DF1D6"/>
    <w:rsid w:val="F87C2C5B"/>
    <w:rsid w:val="FEFBA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rFonts w:ascii="Arial" w:hAnsi="Arial" w:eastAsia="CESI宋体-GB18030"/>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2024-01-05T21:47:00Z</dcterms:created>
  <dc:creator>Kingsoft-PDF</dc:creator>
  <cp:lastModifiedBy>user</cp:lastModifiedBy>
  <cp:lastPrinted>2024-01-11T15:53:00Z</cp:lastPrinted>
  <dcterms:modified xsi:type="dcterms:W3CDTF">2024-01-30T17:50:19Z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