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方正小标宋_GBK" w:hAnsi="方正小标宋_GBK" w:eastAsia="方正小标宋_GBK" w:cs="方正小标宋_GBK"/>
          <w:b w:val="0"/>
          <w:bCs w:val="0"/>
          <w:spacing w:val="-10"/>
          <w:sz w:val="44"/>
          <w:szCs w:val="44"/>
          <w:lang w:eastAsia="zh-CN"/>
        </w:rPr>
      </w:pPr>
    </w:p>
    <w:p>
      <w:pPr>
        <w:spacing w:before="143" w:line="218" w:lineRule="auto"/>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lang w:eastAsia="zh-CN"/>
        </w:rPr>
        <w:t>和田地区人社局</w:t>
      </w:r>
      <w:r>
        <w:rPr>
          <w:rFonts w:hint="eastAsia" w:ascii="方正小标宋_GBK" w:hAnsi="方正小标宋_GBK" w:eastAsia="方正小标宋_GBK" w:cs="方正小标宋_GBK"/>
          <w:b w:val="0"/>
          <w:bCs w:val="0"/>
          <w:spacing w:val="-10"/>
          <w:sz w:val="44"/>
          <w:szCs w:val="44"/>
        </w:rPr>
        <w:t>政府信息公开工作年度报告</w:t>
      </w: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方正仿宋_GB2312" w:hAnsi="方正仿宋_GB2312" w:eastAsia="方正仿宋_GB2312" w:cs="方正仿宋_GB2312"/>
          <w:spacing w:val="19"/>
          <w:sz w:val="32"/>
          <w:szCs w:val="32"/>
          <w:lang w:eastAsia="zh-CN"/>
        </w:rPr>
        <w:t>根据《中华人民共和国政府信息公开条例》和《国务院办公厅政府信息与政务公开办公室关于政府信息公开工作年度报告有关事项的通知》要求，编制本年度报告。本报告由总体情况、主动公开政府信息情况、收到和处理政府公开申请情况、因政府信息公开工作被申请行政复议和提起行政诉讼情况、工作中存在的主要问题和改进情况等内容组成。报告中所列数据的统计期限自</w:t>
      </w:r>
      <w:r>
        <w:rPr>
          <w:rFonts w:hint="eastAsia" w:ascii="方正仿宋_GB2312" w:hAnsi="方正仿宋_GB2312" w:eastAsia="方正仿宋_GB2312" w:cs="方正仿宋_GB2312"/>
          <w:spacing w:val="19"/>
          <w:sz w:val="32"/>
          <w:szCs w:val="32"/>
          <w:lang w:val="en-US" w:eastAsia="zh-CN"/>
        </w:rPr>
        <w:t>2023年1月1日1起至2023年12月31日止。</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left="739"/>
        <w:textAlignment w:val="baseline"/>
        <w:outlineLvl w:val="1"/>
        <w:rPr>
          <w:rFonts w:ascii="黑体" w:hAnsi="黑体" w:eastAsia="黑体" w:cs="黑体"/>
          <w:b w:val="0"/>
          <w:bCs w:val="0"/>
          <w:sz w:val="31"/>
          <w:szCs w:val="31"/>
        </w:rPr>
      </w:pPr>
      <w:r>
        <w:rPr>
          <w:rFonts w:ascii="黑体" w:hAnsi="黑体" w:eastAsia="黑体" w:cs="黑体"/>
          <w:b w:val="0"/>
          <w:bCs w:val="0"/>
          <w:sz w:val="32"/>
          <w:szCs w:val="32"/>
        </w:rPr>
        <w:t>一、总体情况</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方正仿宋_GB2312" w:hAnsi="方正仿宋_GB2312" w:eastAsia="方正仿宋_GB2312" w:cs="方正仿宋_GB2312"/>
          <w:spacing w:val="19"/>
          <w:sz w:val="32"/>
          <w:szCs w:val="32"/>
          <w:lang w:val="en-US" w:eastAsia="zh-CN"/>
        </w:rPr>
        <w:t>2023年，和田地区人社局以习近平新时代中国特色社会主义思想为指导，深入贯彻党的二十届历次全会</w:t>
      </w:r>
      <w:bookmarkStart w:id="0" w:name="_GoBack"/>
      <w:bookmarkEnd w:id="0"/>
      <w:r>
        <w:rPr>
          <w:rFonts w:hint="eastAsia" w:ascii="方正仿宋_GB2312" w:hAnsi="方正仿宋_GB2312" w:eastAsia="方正仿宋_GB2312" w:cs="方正仿宋_GB2312"/>
          <w:spacing w:val="19"/>
          <w:sz w:val="32"/>
          <w:szCs w:val="32"/>
          <w:lang w:val="en-US" w:eastAsia="zh-CN"/>
        </w:rPr>
        <w:t>精神，全面贯彻落实《政府信息公开条例》，紧紧围绕民生服务中心事项，紧扣人社工作重点任务，坚持以公平、公正、合法、便民的原则，不断提升主动公开工作质量，依法及时办理政府信息公开申请，加强政策文件发布解读，积极回应公众关切，推进民生服务政府信息公开工作取得实效。</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highlight w:val="red"/>
          <w:lang w:val="en-US" w:eastAsia="zh-CN"/>
        </w:rPr>
      </w:pPr>
      <w:r>
        <w:rPr>
          <w:rFonts w:hint="eastAsia" w:ascii="楷体" w:hAnsi="楷体" w:eastAsia="楷体" w:cs="楷体"/>
          <w:spacing w:val="19"/>
          <w:sz w:val="32"/>
          <w:szCs w:val="32"/>
          <w:lang w:val="en-US" w:eastAsia="zh-CN"/>
        </w:rPr>
        <w:t>（一）主动公开情况。</w:t>
      </w:r>
      <w:r>
        <w:rPr>
          <w:rFonts w:hint="eastAsia" w:ascii="方正仿宋_GB2312" w:hAnsi="方正仿宋_GB2312" w:eastAsia="方正仿宋_GB2312" w:cs="方正仿宋_GB2312"/>
          <w:spacing w:val="19"/>
          <w:sz w:val="32"/>
          <w:szCs w:val="32"/>
          <w:lang w:val="en-US" w:eastAsia="zh-CN"/>
        </w:rPr>
        <w:t>和田地区人社局始终坚持持续深化人社领域政府信息公开，重点依托“和田政府网”“和田就业服务网”官方网站信息公开栏目，</w:t>
      </w:r>
      <w:r>
        <w:rPr>
          <w:rFonts w:hint="eastAsia" w:ascii="方正仿宋_GB2312" w:hAnsi="方正仿宋_GB2312" w:eastAsia="方正仿宋_GB2312" w:cs="方正仿宋_GB2312"/>
          <w:spacing w:val="19"/>
          <w:sz w:val="32"/>
          <w:szCs w:val="32"/>
          <w:highlight w:val="none"/>
          <w:lang w:val="en-US" w:eastAsia="zh-CN"/>
        </w:rPr>
        <w:t>主动公开政务信息共212条。其中就业动态、全地区各类招聘信息93条、政务信息公开31条、重大劳动违法行为公示、稳岗补贴、扩岗补助、企业职工退休公示等80条、各类法律法规宣传教育8条。</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（二）依申请公开情况。</w:t>
      </w:r>
      <w:r>
        <w:rPr>
          <w:rFonts w:hint="eastAsia" w:ascii="方正仿宋_GB2312" w:hAnsi="方正仿宋_GB2312" w:eastAsia="方正仿宋_GB2312" w:cs="方正仿宋_GB2312"/>
          <w:spacing w:val="19"/>
          <w:sz w:val="32"/>
          <w:szCs w:val="32"/>
          <w:lang w:val="en-US" w:eastAsia="zh-CN"/>
        </w:rPr>
        <w:t>强化法律意识和协调意识，规范办理流程和答复文书，进一步加强对依申请公开工作的认识，不断提高依申请公开办理质量，切实保障公众知情权。2023年办理答复政府信息公开申请1条。</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（三）政府信息管理情况。</w:t>
      </w:r>
      <w:r>
        <w:rPr>
          <w:rFonts w:hint="eastAsia" w:ascii="方正仿宋_GB2312" w:hAnsi="方正仿宋_GB2312" w:eastAsia="方正仿宋_GB2312" w:cs="方正仿宋_GB2312"/>
          <w:spacing w:val="19"/>
          <w:sz w:val="32"/>
          <w:szCs w:val="32"/>
          <w:lang w:val="en-US" w:eastAsia="zh-CN"/>
        </w:rPr>
        <w:t>严格遵循“谁公开、谁审查、谁负责”的原则，进一步强化信息公开工作的组织领导，落实信息公开要求。我局制作了信息发布审核表，由业务科室人员提交分管领导牵头审核、主要领导审批政府公开的信息，确保了政府信息公开工作扎实有效开展，提高了政府信息公开工作的规范水平。</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（四）平台建设情况。</w:t>
      </w:r>
      <w:r>
        <w:rPr>
          <w:rFonts w:hint="eastAsia" w:ascii="方正仿宋_GB2312" w:hAnsi="方正仿宋_GB2312" w:eastAsia="方正仿宋_GB2312" w:cs="方正仿宋_GB2312"/>
          <w:spacing w:val="19"/>
          <w:sz w:val="32"/>
          <w:szCs w:val="32"/>
          <w:lang w:val="en-US" w:eastAsia="zh-CN"/>
        </w:rPr>
        <w:t>和田地区人社局进一步提升公开平台发布功能，将信息公开的内容和速率作为信息公开工作的核心，安排专任负责公开信息的编辑、审核与发布。</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default"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（五）监督保障方面。</w:t>
      </w:r>
      <w:r>
        <w:rPr>
          <w:rFonts w:hint="eastAsia" w:ascii="方正仿宋_GB2312" w:hAnsi="方正仿宋_GB2312" w:eastAsia="方正仿宋_GB2312" w:cs="方正仿宋_GB2312"/>
          <w:b/>
          <w:bCs/>
          <w:spacing w:val="19"/>
          <w:sz w:val="32"/>
          <w:szCs w:val="32"/>
          <w:lang w:val="en-US" w:eastAsia="zh-CN"/>
        </w:rPr>
        <w:t>一是</w:t>
      </w:r>
      <w:r>
        <w:rPr>
          <w:rFonts w:hint="eastAsia" w:ascii="方正仿宋_GB2312" w:hAnsi="方正仿宋_GB2312" w:eastAsia="方正仿宋_GB2312" w:cs="方正仿宋_GB2312"/>
          <w:spacing w:val="19"/>
          <w:sz w:val="32"/>
          <w:szCs w:val="32"/>
          <w:lang w:val="en-US" w:eastAsia="zh-CN"/>
        </w:rPr>
        <w:t>印发2023年政务公开工作要点，突出全年重点工作任务，抓好统筹谋划。</w:t>
      </w:r>
      <w:r>
        <w:rPr>
          <w:rFonts w:hint="eastAsia" w:ascii="方正仿宋_GB2312" w:hAnsi="方正仿宋_GB2312" w:eastAsia="方正仿宋_GB2312" w:cs="方正仿宋_GB2312"/>
          <w:b/>
          <w:bCs/>
          <w:spacing w:val="19"/>
          <w:sz w:val="32"/>
          <w:szCs w:val="32"/>
          <w:lang w:val="en-US" w:eastAsia="zh-CN"/>
        </w:rPr>
        <w:t>二是</w:t>
      </w:r>
      <w:r>
        <w:rPr>
          <w:rFonts w:hint="eastAsia" w:ascii="方正仿宋_GB2312" w:hAnsi="方正仿宋_GB2312" w:eastAsia="方正仿宋_GB2312" w:cs="方正仿宋_GB2312"/>
          <w:spacing w:val="19"/>
          <w:sz w:val="32"/>
          <w:szCs w:val="32"/>
          <w:lang w:val="en-US" w:eastAsia="zh-CN"/>
        </w:rPr>
        <w:t>进一步完善政府信息公开保密审查制度，明确审查标准、程序和责任，进一步加强政府信息工作保密审查工作，</w:t>
      </w:r>
      <w:r>
        <w:rPr>
          <w:rFonts w:hint="eastAsia" w:ascii="方正仿宋_GB2312" w:hAnsi="方正仿宋_GB2312" w:eastAsia="方正仿宋_GB2312" w:cs="方正仿宋_GB2312"/>
          <w:b/>
          <w:bCs/>
          <w:spacing w:val="19"/>
          <w:sz w:val="32"/>
          <w:szCs w:val="32"/>
          <w:lang w:val="en-US" w:eastAsia="zh-CN"/>
        </w:rPr>
        <w:t>三是</w:t>
      </w:r>
      <w:r>
        <w:rPr>
          <w:rFonts w:hint="eastAsia" w:ascii="方正仿宋_GB2312" w:hAnsi="方正仿宋_GB2312" w:eastAsia="方正仿宋_GB2312" w:cs="方正仿宋_GB2312"/>
          <w:spacing w:val="19"/>
          <w:sz w:val="32"/>
          <w:szCs w:val="32"/>
          <w:lang w:val="en-US" w:eastAsia="zh-CN"/>
        </w:rPr>
        <w:t>严格落实信息发布、政策解读和政务舆情回应主体责任。在发布重大决策时，同步做好宣传解读工作，加强舆论监测和风险研判，主动解疑释惑。</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left="749"/>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8"/>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34"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1"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9"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9"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1"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50"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2"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8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3"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3"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2" w:line="480" w:lineRule="exact"/>
              <w:jc w:val="center"/>
              <w:textAlignment w:val="baseline"/>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5"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34"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6"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4"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7"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8"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8"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59"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8"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0"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157.53</w:t>
            </w:r>
          </w:p>
        </w:tc>
      </w:tr>
    </w:tbl>
    <w:p>
      <w:pPr>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ascii="黑体" w:hAnsi="黑体" w:eastAsia="黑体" w:cs="黑体"/>
          <w:b w:val="0"/>
          <w:bCs w:val="0"/>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
        </w:rPr>
      </w:pPr>
    </w:p>
    <w:tbl>
      <w:tblPr>
        <w:tblStyle w:val="8"/>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5" w:line="480" w:lineRule="exact"/>
              <w:ind w:left="185" w:right="259" w:firstLine="109"/>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3980"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70"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64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5" w:line="480" w:lineRule="exact"/>
              <w:ind w:left="9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87" w:line="480" w:lineRule="exact"/>
              <w:ind w:left="9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5"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10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10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10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22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w:t>
            </w: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3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480" w:lineRule="exact"/>
        <w:ind w:firstLine="624"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8"/>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5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454" w:type="dxa"/>
            <w:gridSpan w:val="1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45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151" w:line="480" w:lineRule="exact"/>
        <w:ind w:left="749"/>
        <w:textAlignment w:val="baseline"/>
        <w:outlineLvl w:val="1"/>
        <w:rPr>
          <w:rFonts w:ascii="黑体" w:hAnsi="黑体" w:eastAsia="黑体" w:cs="黑体"/>
          <w:sz w:val="32"/>
          <w:szCs w:val="32"/>
        </w:rPr>
      </w:pPr>
      <w:r>
        <w:rPr>
          <w:rFonts w:ascii="黑体" w:hAnsi="黑体" w:eastAsia="黑体" w:cs="黑体"/>
          <w:b w:val="0"/>
          <w:bCs w:val="0"/>
          <w:spacing w:val="-8"/>
          <w:sz w:val="32"/>
          <w:szCs w:val="32"/>
        </w:rPr>
        <w:t>五、存在的主要问题及改进情况</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eastAsia" w:ascii="方正仿宋_GB2312" w:hAnsi="方正仿宋_GB2312" w:eastAsia="方正仿宋_GB2312" w:cs="方正仿宋_GB2312"/>
          <w:spacing w:val="18"/>
          <w:position w:val="20"/>
          <w:sz w:val="30"/>
          <w:szCs w:val="30"/>
          <w:lang w:eastAsia="zh-CN"/>
        </w:rPr>
      </w:pPr>
      <w:r>
        <w:rPr>
          <w:rFonts w:hint="eastAsia" w:ascii="方正仿宋_GB2312" w:hAnsi="方正仿宋_GB2312" w:eastAsia="方正仿宋_GB2312" w:cs="方正仿宋_GB2312"/>
          <w:spacing w:val="18"/>
          <w:position w:val="20"/>
          <w:sz w:val="30"/>
          <w:szCs w:val="30"/>
          <w:lang w:eastAsia="zh-CN"/>
        </w:rPr>
        <w:t>一是信息公开的业务能力有待进一步提高，公开内容需进一步规范。</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eastAsia" w:ascii="方正仿宋_GB2312" w:hAnsi="方正仿宋_GB2312" w:eastAsia="方正仿宋_GB2312" w:cs="方正仿宋_GB2312"/>
          <w:spacing w:val="18"/>
          <w:position w:val="20"/>
          <w:sz w:val="30"/>
          <w:szCs w:val="30"/>
          <w:lang w:eastAsia="zh-CN"/>
        </w:rPr>
      </w:pPr>
      <w:r>
        <w:rPr>
          <w:rFonts w:hint="eastAsia" w:ascii="方正仿宋_GB2312" w:hAnsi="方正仿宋_GB2312" w:eastAsia="方正仿宋_GB2312" w:cs="方正仿宋_GB2312"/>
          <w:spacing w:val="18"/>
          <w:position w:val="20"/>
          <w:sz w:val="30"/>
          <w:szCs w:val="30"/>
          <w:lang w:eastAsia="zh-CN"/>
        </w:rPr>
        <w:t>二是信息公开的平台比较单一，载体和形式还需要进一步创新完善。</w:t>
      </w:r>
    </w:p>
    <w:p>
      <w:pPr>
        <w:keepNext w:val="0"/>
        <w:keepLines w:val="0"/>
        <w:pageBreakBefore w:val="0"/>
        <w:widowControl/>
        <w:kinsoku w:val="0"/>
        <w:wordWrap/>
        <w:overflowPunct/>
        <w:topLinePunct w:val="0"/>
        <w:autoSpaceDE w:val="0"/>
        <w:autoSpaceDN w:val="0"/>
        <w:bidi w:val="0"/>
        <w:adjustRightInd w:val="0"/>
        <w:snapToGrid w:val="0"/>
        <w:spacing w:before="288" w:line="480" w:lineRule="exact"/>
        <w:ind w:left="769"/>
        <w:textAlignment w:val="baseline"/>
        <w:outlineLvl w:val="1"/>
        <w:rPr>
          <w:rFonts w:ascii="黑体" w:hAnsi="黑体" w:eastAsia="黑体" w:cs="黑体"/>
          <w:b w:val="0"/>
          <w:bCs w:val="0"/>
          <w:sz w:val="30"/>
          <w:szCs w:val="30"/>
        </w:rPr>
      </w:pPr>
      <w:r>
        <w:rPr>
          <w:rFonts w:ascii="黑体" w:hAnsi="黑体" w:eastAsia="黑体" w:cs="黑体"/>
          <w:b w:val="0"/>
          <w:bCs w:val="0"/>
          <w:spacing w:val="3"/>
          <w:sz w:val="32"/>
          <w:szCs w:val="32"/>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716" w:firstLineChars="200"/>
        <w:jc w:val="both"/>
        <w:textAlignment w:val="baseline"/>
        <w:rPr>
          <w:rFonts w:hint="eastAsia" w:ascii="方正仿宋_GB2312" w:hAnsi="方正仿宋_GB2312" w:eastAsia="方正仿宋_GB2312" w:cs="方正仿宋_GB2312"/>
          <w:spacing w:val="18"/>
          <w:position w:val="20"/>
          <w:sz w:val="30"/>
          <w:szCs w:val="30"/>
          <w:lang w:eastAsia="zh-CN"/>
        </w:rPr>
      </w:pPr>
      <w:r>
        <w:rPr>
          <w:rFonts w:hint="eastAsia" w:ascii="方正仿宋_GB2312" w:hAnsi="方正仿宋_GB2312" w:eastAsia="方正仿宋_GB2312" w:cs="方正仿宋_GB2312"/>
          <w:snapToGrid w:val="0"/>
          <w:color w:val="000000"/>
          <w:spacing w:val="19"/>
          <w:kern w:val="0"/>
          <w:sz w:val="32"/>
          <w:szCs w:val="32"/>
          <w:lang w:val="en-US" w:eastAsia="zh-CN" w:bidi="ar-SA"/>
        </w:rPr>
        <w:t>本机关按照《国务院办公厅关于印发〈政府信息公开信息处理费管理办法〉的通知》（国办函〔2020〕109号）规定的按件、按量收费标准，本年度没有产生信息公开处理费。</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eastAsia" w:ascii="方正仿宋_GB2312" w:hAnsi="方正仿宋_GB2312" w:eastAsia="方正仿宋_GB2312" w:cs="方正仿宋_GB2312"/>
          <w:spacing w:val="18"/>
          <w:position w:val="20"/>
          <w:sz w:val="30"/>
          <w:szCs w:val="30"/>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eastAsia" w:ascii="方正仿宋_GB2312" w:hAnsi="方正仿宋_GB2312" w:eastAsia="方正仿宋_GB2312" w:cs="方正仿宋_GB2312"/>
          <w:spacing w:val="18"/>
          <w:position w:val="20"/>
          <w:sz w:val="30"/>
          <w:szCs w:val="30"/>
          <w:lang w:val="en-US" w:eastAsia="zh-CN"/>
        </w:rPr>
      </w:pPr>
      <w:r>
        <w:rPr>
          <w:rFonts w:hint="eastAsia" w:ascii="方正仿宋_GB2312" w:hAnsi="方正仿宋_GB2312" w:eastAsia="方正仿宋_GB2312" w:cs="方正仿宋_GB2312"/>
          <w:spacing w:val="18"/>
          <w:position w:val="20"/>
          <w:sz w:val="30"/>
          <w:szCs w:val="30"/>
          <w:lang w:val="en-US" w:eastAsia="zh-CN"/>
        </w:rPr>
        <w:t xml:space="preserve">                       和田地区人力资源和社会保障局</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default" w:ascii="方正仿宋_GB2312" w:hAnsi="方正仿宋_GB2312" w:eastAsia="方正仿宋_GB2312" w:cs="方正仿宋_GB2312"/>
          <w:spacing w:val="18"/>
          <w:position w:val="20"/>
          <w:sz w:val="30"/>
          <w:szCs w:val="30"/>
          <w:lang w:val="en-US" w:eastAsia="zh-CN"/>
        </w:rPr>
      </w:pPr>
      <w:r>
        <w:rPr>
          <w:rFonts w:hint="eastAsia" w:ascii="方正仿宋_GB2312" w:hAnsi="方正仿宋_GB2312" w:eastAsia="方正仿宋_GB2312" w:cs="方正仿宋_GB2312"/>
          <w:spacing w:val="18"/>
          <w:position w:val="20"/>
          <w:sz w:val="30"/>
          <w:szCs w:val="30"/>
          <w:lang w:val="en-US" w:eastAsia="zh-CN"/>
        </w:rPr>
        <w:t xml:space="preserve">                              2024年1月23日</w:t>
      </w:r>
    </w:p>
    <w:sectPr>
      <w:footerReference r:id="rId5"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D46914"/>
    <w:rsid w:val="186A061D"/>
    <w:rsid w:val="1FE771BD"/>
    <w:rsid w:val="2BEE2C41"/>
    <w:rsid w:val="310801DF"/>
    <w:rsid w:val="3BA00460"/>
    <w:rsid w:val="3F529BC9"/>
    <w:rsid w:val="4CA63DE7"/>
    <w:rsid w:val="4E5F5F21"/>
    <w:rsid w:val="50613B79"/>
    <w:rsid w:val="55C022BA"/>
    <w:rsid w:val="56FBFED7"/>
    <w:rsid w:val="5AFA409D"/>
    <w:rsid w:val="5BFFA17D"/>
    <w:rsid w:val="5FFE8248"/>
    <w:rsid w:val="6D785F60"/>
    <w:rsid w:val="702E2744"/>
    <w:rsid w:val="71FADA84"/>
    <w:rsid w:val="725FCF84"/>
    <w:rsid w:val="76AFCA99"/>
    <w:rsid w:val="797C0647"/>
    <w:rsid w:val="7A78007C"/>
    <w:rsid w:val="7AE615DB"/>
    <w:rsid w:val="ABEA8843"/>
    <w:rsid w:val="B2D73C1D"/>
    <w:rsid w:val="DDEF8F62"/>
    <w:rsid w:val="EEFF79FD"/>
    <w:rsid w:val="F1F9F433"/>
    <w:rsid w:val="F68DF1D6"/>
    <w:rsid w:val="F7F5AF7C"/>
    <w:rsid w:val="F87C2C5B"/>
    <w:rsid w:val="FEFBA7FC"/>
    <w:rsid w:val="FFF7C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1600</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2024-01-05T21:47:00Z</dcterms:created>
  <dc:creator>Kingsoft-PDF</dc:creator>
  <cp:lastModifiedBy>user</cp:lastModifiedBy>
  <cp:lastPrinted>2024-01-25T16:42:00Z</cp:lastPrinted>
  <dcterms:modified xsi:type="dcterms:W3CDTF">2024-08-24T17:29:34Z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