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仿宋_GB2312" w:eastAsia="方正仿宋简体"/>
          <w:sz w:val="32"/>
          <w:szCs w:val="32"/>
        </w:rPr>
      </w:pP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jc w:val="center"/>
        <w:textAlignment w:val="auto"/>
        <w:outlineLvl w:val="1"/>
        <w:rPr>
          <w:rFonts w:hint="eastAsia" w:ascii="方正小标宋_GBK" w:hAnsi="方正小标宋_GBK" w:eastAsia="方正小标宋_GBK" w:cs="方正小标宋_GBK"/>
          <w:b w:val="0"/>
          <w:bCs/>
          <w:w w:val="100"/>
          <w:sz w:val="44"/>
          <w:szCs w:val="44"/>
          <w:shd w:val="clear" w:color="auto" w:fill="FFFFFF"/>
        </w:rPr>
      </w:pPr>
      <w:r>
        <w:rPr>
          <w:rFonts w:hint="eastAsia" w:ascii="方正小标宋_GBK" w:hAnsi="方正小标宋_GBK" w:eastAsia="方正小标宋_GBK" w:cs="方正小标宋_GBK"/>
          <w:b w:val="0"/>
          <w:bCs/>
          <w:w w:val="100"/>
          <w:sz w:val="44"/>
          <w:szCs w:val="44"/>
          <w:shd w:val="clear" w:color="auto" w:fill="FFFFFF"/>
          <w:lang w:eastAsia="zh-CN"/>
        </w:rPr>
        <w:t>和田</w:t>
      </w:r>
      <w:r>
        <w:rPr>
          <w:rFonts w:hint="eastAsia" w:ascii="方正小标宋_GBK" w:hAnsi="方正小标宋_GBK" w:eastAsia="方正小标宋_GBK" w:cs="方正小标宋_GBK"/>
          <w:b w:val="0"/>
          <w:bCs/>
          <w:w w:val="100"/>
          <w:sz w:val="44"/>
          <w:szCs w:val="44"/>
          <w:shd w:val="clear" w:color="auto" w:fill="FFFFFF"/>
        </w:rPr>
        <w:t>地区科技局202</w:t>
      </w:r>
      <w:r>
        <w:rPr>
          <w:rFonts w:hint="eastAsia" w:ascii="方正小标宋_GBK" w:hAnsi="方正小标宋_GBK" w:eastAsia="方正小标宋_GBK" w:cs="方正小标宋_GBK"/>
          <w:b w:val="0"/>
          <w:bCs/>
          <w:w w:val="100"/>
          <w:sz w:val="44"/>
          <w:szCs w:val="44"/>
          <w:shd w:val="clear" w:color="auto" w:fill="FFFFFF"/>
          <w:lang w:val="en-US" w:eastAsia="zh-CN"/>
        </w:rPr>
        <w:t>3</w:t>
      </w:r>
      <w:r>
        <w:rPr>
          <w:rFonts w:hint="eastAsia" w:ascii="方正小标宋_GBK" w:hAnsi="方正小标宋_GBK" w:eastAsia="方正小标宋_GBK" w:cs="方正小标宋_GBK"/>
          <w:b w:val="0"/>
          <w:bCs/>
          <w:w w:val="100"/>
          <w:sz w:val="44"/>
          <w:szCs w:val="44"/>
          <w:shd w:val="clear" w:color="auto" w:fill="FFFFFF"/>
        </w:rPr>
        <w:t>年政府信息</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jc w:val="center"/>
        <w:textAlignment w:val="auto"/>
        <w:outlineLvl w:val="1"/>
        <w:rPr>
          <w:rFonts w:hint="eastAsia" w:ascii="方正小标宋_GBK" w:hAnsi="方正小标宋_GBK" w:eastAsia="方正小标宋_GBK" w:cs="方正小标宋_GBK"/>
          <w:b w:val="0"/>
          <w:bCs/>
          <w:w w:val="100"/>
          <w:sz w:val="44"/>
          <w:szCs w:val="44"/>
        </w:rPr>
      </w:pPr>
      <w:r>
        <w:rPr>
          <w:rFonts w:hint="eastAsia" w:ascii="方正小标宋_GBK" w:hAnsi="方正小标宋_GBK" w:eastAsia="方正小标宋_GBK" w:cs="方正小标宋_GBK"/>
          <w:b w:val="0"/>
          <w:bCs/>
          <w:w w:val="100"/>
          <w:sz w:val="44"/>
          <w:szCs w:val="44"/>
          <w:shd w:val="clear" w:color="auto" w:fill="FFFFFF"/>
        </w:rPr>
        <w:t>公开工作</w:t>
      </w:r>
      <w:r>
        <w:rPr>
          <w:rFonts w:hint="eastAsia" w:ascii="方正小标宋_GBK" w:hAnsi="方正小标宋_GBK" w:eastAsia="方正小标宋_GBK" w:cs="方正小标宋_GBK"/>
          <w:b w:val="0"/>
          <w:bCs/>
          <w:w w:val="100"/>
          <w:sz w:val="44"/>
          <w:szCs w:val="44"/>
          <w:shd w:val="clear" w:color="auto" w:fill="FFFFFF"/>
          <w:lang w:eastAsia="zh-CN"/>
        </w:rPr>
        <w:t>年度</w:t>
      </w:r>
      <w:r>
        <w:rPr>
          <w:rFonts w:hint="eastAsia" w:ascii="方正小标宋_GBK" w:hAnsi="方正小标宋_GBK" w:eastAsia="方正小标宋_GBK" w:cs="方正小标宋_GBK"/>
          <w:b w:val="0"/>
          <w:bCs/>
          <w:w w:val="100"/>
          <w:sz w:val="44"/>
          <w:szCs w:val="44"/>
          <w:shd w:val="clear" w:color="auto" w:fill="FFFFFF"/>
        </w:rPr>
        <w:t>报告</w:t>
      </w:r>
    </w:p>
    <w:p>
      <w:pPr>
        <w:keepNext w:val="0"/>
        <w:keepLines w:val="0"/>
        <w:pageBreakBefore w:val="0"/>
        <w:widowControl/>
        <w:kinsoku/>
        <w:wordWrap w:val="0"/>
        <w:overflowPunct/>
        <w:topLinePunct w:val="0"/>
        <w:autoSpaceDE/>
        <w:autoSpaceDN/>
        <w:bidi w:val="0"/>
        <w:adjustRightInd/>
        <w:snapToGrid/>
        <w:spacing w:line="520" w:lineRule="exact"/>
        <w:ind w:firstLine="640"/>
        <w:jc w:val="left"/>
        <w:textAlignment w:val="auto"/>
        <w:outlineLvl w:val="9"/>
        <w:rPr>
          <w:rFonts w:hint="eastAsia" w:ascii="方正仿宋简体" w:hAnsi="Arial" w:eastAsia="方正仿宋简体"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color w:val="000000"/>
          <w:kern w:val="0"/>
          <w:sz w:val="32"/>
          <w:szCs w:val="32"/>
          <w:shd w:val="clear" w:color="auto" w:fill="FFFFFF"/>
          <w:lang w:eastAsia="zh-CN"/>
        </w:rPr>
        <w:t>，地区科技局</w:t>
      </w:r>
      <w:r>
        <w:rPr>
          <w:rFonts w:hint="eastAsia" w:ascii="仿宋_GB2312" w:hAnsi="仿宋_GB2312" w:eastAsia="仿宋_GB2312" w:cs="仿宋_GB2312"/>
          <w:color w:val="000000"/>
          <w:kern w:val="0"/>
          <w:sz w:val="32"/>
          <w:szCs w:val="32"/>
          <w:shd w:val="clear" w:color="auto" w:fill="FFFFFF"/>
        </w:rPr>
        <w:t>严格落实《中华人民共和国政府信息公开条例》《202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年政务公开工作要点》要求，把政府信息公开贯穿于</w:t>
      </w:r>
      <w:r>
        <w:rPr>
          <w:rFonts w:hint="eastAsia" w:ascii="仿宋_GB2312" w:hAnsi="仿宋_GB2312" w:eastAsia="仿宋_GB2312" w:cs="仿宋_GB2312"/>
          <w:color w:val="000000"/>
          <w:kern w:val="0"/>
          <w:sz w:val="32"/>
          <w:szCs w:val="32"/>
          <w:shd w:val="clear" w:color="auto" w:fill="FFFFFF"/>
          <w:lang w:eastAsia="zh-CN"/>
        </w:rPr>
        <w:t>科技创新</w:t>
      </w:r>
      <w:r>
        <w:rPr>
          <w:rFonts w:hint="eastAsia" w:ascii="仿宋_GB2312" w:hAnsi="仿宋_GB2312" w:eastAsia="仿宋_GB2312" w:cs="仿宋_GB2312"/>
          <w:color w:val="000000"/>
          <w:kern w:val="0"/>
          <w:sz w:val="32"/>
          <w:szCs w:val="32"/>
          <w:shd w:val="clear" w:color="auto" w:fill="FFFFFF"/>
        </w:rPr>
        <w:t>工作全过程，以公开促落实、促规范、促服务，持续优化营商环境，保障人民群众的知情权、参与权和监督权</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根据《中华人民共和国政府信息公开条例》第五十条规定，制作本报告。</w:t>
      </w:r>
      <w:r>
        <w:rPr>
          <w:rFonts w:hint="eastAsia" w:ascii="仿宋_GB2312" w:hAnsi="仿宋_GB2312" w:eastAsia="仿宋_GB2312" w:cs="仿宋_GB2312"/>
          <w:sz w:val="32"/>
          <w:szCs w:val="32"/>
        </w:rPr>
        <w:t>本报告由总体情况、主动公开政府信息情况、收到和处理政府信息公开申请情况、政府信息公开行政复议、行政诉讼情况、存在的主要问题及改进情况、其他需要报告的事项等六部分组成，报告中所列数据的统计期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一、总体情况</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2023年，地区科技局始终坚持以习近平新时代中国特色社会主义思想为指导，深入学习贯彻党的二十大精神，贯彻落实第三次中央新疆工作座谈会精神，深入学习贯彻习近平在听取自治区和兵团工作汇报时的重要讲话精神，认真落实第九次全国援疆工作会议精神，认真落实自治区党委十届历次全会、科技创新大会、高质量发展（南疆片区）会议和地委扩大会议精神以及科技创新大会工作部署，完整准确全面贯彻新时代党的治疆方略，深入实施科教兴国战略、人才强国战略、创新驱动发展战略，坚持“四个面向”，落实“四抓”要求，围绕培育“五大产业集群”，以“一中心两基地三区联动”区域发展格局为抓手，聚焦科技项目、科研课题、科创平台、成果转化、科技人才、科技援疆和科学普及等重点任务，科技赋能美丽和田建设取得新成效。</w:t>
      </w:r>
    </w:p>
    <w:p>
      <w:pPr>
        <w:keepNext w:val="0"/>
        <w:keepLines w:val="0"/>
        <w:pageBreakBefore w:val="0"/>
        <w:widowControl/>
        <w:numPr>
          <w:ilvl w:val="0"/>
          <w:numId w:val="1"/>
        </w:numPr>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主动公开工作情况</w:t>
      </w:r>
      <w:r>
        <w:rPr>
          <w:rFonts w:hint="eastAsia" w:ascii="楷体_GB2312" w:hAnsi="楷体_GB2312" w:eastAsia="楷体_GB2312" w:cs="楷体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局党组高度重视政府信息公开工作，并列入重要议事日程。坚持“一把手”亲自抓，分管领导具体抓，办公室组织协调，并根据人员变动及时调整政务公开工作领导小组，明确政务公开分管领导，由办公室负责办理日常工作，并安排1名兼职工作人员办理具体事宜，认真做好政府信息报送、审查、公开、受理等工作。在运行过程中，严格规范工作程序。按照《中华人民共和国政府信息公开条例》和</w:t>
      </w:r>
      <w:r>
        <w:rPr>
          <w:rFonts w:hint="eastAsia" w:ascii="仿宋_GB2312" w:hAnsi="仿宋_GB2312" w:eastAsia="仿宋_GB2312" w:cs="仿宋_GB2312"/>
          <w:color w:val="000000"/>
          <w:kern w:val="0"/>
          <w:sz w:val="32"/>
          <w:szCs w:val="32"/>
          <w:shd w:val="clear" w:color="auto" w:fill="FFFFFF"/>
          <w:lang w:eastAsia="zh-CN"/>
        </w:rPr>
        <w:t>行署</w:t>
      </w:r>
      <w:r>
        <w:rPr>
          <w:rFonts w:hint="eastAsia" w:ascii="仿宋_GB2312" w:hAnsi="仿宋_GB2312" w:eastAsia="仿宋_GB2312" w:cs="仿宋_GB2312"/>
          <w:color w:val="000000"/>
          <w:kern w:val="0"/>
          <w:sz w:val="32"/>
          <w:szCs w:val="32"/>
          <w:shd w:val="clear" w:color="auto" w:fill="FFFFFF"/>
        </w:rPr>
        <w:t>有关工作要求，规范公开信息的收集、审查、发布程序，切实加强政府信息公开工作的制度化、规范化建设。严格执行政府信息公开审查制度，对拟公开的政府信息实行单位领导、工作机构、信息员三级审查复核制度。截至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年底，本局主动公开了</w:t>
      </w:r>
      <w:r>
        <w:rPr>
          <w:rFonts w:hint="eastAsia" w:ascii="仿宋_GB2312" w:hAnsi="仿宋_GB2312" w:eastAsia="仿宋_GB2312" w:cs="仿宋_GB2312"/>
          <w:color w:val="000000"/>
          <w:kern w:val="0"/>
          <w:sz w:val="32"/>
          <w:szCs w:val="32"/>
          <w:shd w:val="clear" w:color="auto" w:fill="FFFFFF"/>
          <w:lang w:eastAsia="zh-CN"/>
        </w:rPr>
        <w:t>《和田地区科技局政府信息公开指南》《和田地区科技创新“十四五”规划》，</w:t>
      </w:r>
      <w:r>
        <w:rPr>
          <w:rFonts w:hint="eastAsia" w:ascii="仿宋_GB2312" w:hAnsi="仿宋_GB2312" w:eastAsia="仿宋_GB2312" w:cs="仿宋_GB2312"/>
          <w:color w:val="000000"/>
          <w:kern w:val="0"/>
          <w:sz w:val="32"/>
          <w:szCs w:val="32"/>
          <w:shd w:val="clear" w:color="auto" w:fill="FFFFFF"/>
        </w:rPr>
        <w:t>202</w:t>
      </w:r>
      <w:r>
        <w:rPr>
          <w:rFonts w:hint="default" w:ascii="仿宋_GB2312" w:hAnsi="仿宋_GB2312" w:eastAsia="仿宋_GB2312" w:cs="仿宋_GB2312"/>
          <w:color w:val="000000"/>
          <w:kern w:val="0"/>
          <w:sz w:val="32"/>
          <w:szCs w:val="32"/>
          <w:shd w:val="clear" w:color="auto" w:fill="FFFFFF"/>
          <w:lang w:val="en" w:eastAsia="zh-CN"/>
        </w:rPr>
        <w:t>2</w:t>
      </w:r>
      <w:r>
        <w:rPr>
          <w:rFonts w:hint="eastAsia" w:ascii="仿宋_GB2312" w:hAnsi="仿宋_GB2312" w:eastAsia="仿宋_GB2312" w:cs="仿宋_GB2312"/>
          <w:color w:val="000000"/>
          <w:kern w:val="0"/>
          <w:sz w:val="32"/>
          <w:szCs w:val="32"/>
          <w:shd w:val="clear" w:color="auto" w:fill="FFFFFF"/>
        </w:rPr>
        <w:t>年预决算数据</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202</w:t>
      </w:r>
      <w:r>
        <w:rPr>
          <w:rFonts w:hint="default" w:ascii="仿宋_GB2312" w:hAnsi="仿宋_GB2312" w:eastAsia="仿宋_GB2312" w:cs="仿宋_GB2312"/>
          <w:color w:val="000000"/>
          <w:kern w:val="0"/>
          <w:sz w:val="32"/>
          <w:szCs w:val="32"/>
          <w:shd w:val="clear" w:color="auto" w:fill="FFFFFF"/>
          <w:lang w:val="en" w:eastAsia="zh-CN"/>
        </w:rPr>
        <w:t>3</w:t>
      </w:r>
      <w:r>
        <w:rPr>
          <w:rFonts w:hint="eastAsia" w:ascii="仿宋_GB2312" w:hAnsi="仿宋_GB2312" w:eastAsia="仿宋_GB2312" w:cs="仿宋_GB2312"/>
          <w:color w:val="000000"/>
          <w:kern w:val="0"/>
          <w:sz w:val="32"/>
          <w:szCs w:val="32"/>
          <w:shd w:val="clear" w:color="auto" w:fill="FFFFFF"/>
        </w:rPr>
        <w:t>年预算数据。</w:t>
      </w:r>
    </w:p>
    <w:p>
      <w:pPr>
        <w:keepNext w:val="0"/>
        <w:keepLines w:val="0"/>
        <w:pageBreakBefore w:val="0"/>
        <w:widowControl/>
        <w:numPr>
          <w:numId w:val="0"/>
        </w:numPr>
        <w:kinsoku/>
        <w:wordWrap w:val="0"/>
        <w:overflowPunct/>
        <w:topLinePunct w:val="0"/>
        <w:autoSpaceDE/>
        <w:autoSpaceDN/>
        <w:bidi w:val="0"/>
        <w:adjustRightInd/>
        <w:snapToGrid/>
        <w:spacing w:line="240" w:lineRule="auto"/>
        <w:ind w:leftChars="200"/>
        <w:jc w:val="left"/>
        <w:textAlignment w:val="auto"/>
        <w:outlineLvl w:val="9"/>
        <w:rPr>
          <w:rFonts w:hint="eastAsia" w:ascii="仿宋_GB2312" w:hAnsi="仿宋_GB2312" w:eastAsia="仿宋_GB2312" w:cs="仿宋_GB2312"/>
          <w:color w:val="000000"/>
          <w:kern w:val="0"/>
          <w:sz w:val="32"/>
          <w:szCs w:val="32"/>
          <w:shd w:val="clear" w:color="auto" w:fill="FFFFFF"/>
        </w:rPr>
      </w:pPr>
      <w:bookmarkStart w:id="0" w:name="_GoBack"/>
      <w:bookmarkEnd w:id="0"/>
      <w:r>
        <w:rPr>
          <w:rFonts w:hint="eastAsia" w:ascii="仿宋_GB2312" w:hAnsi="仿宋_GB2312" w:eastAsia="仿宋_GB2312" w:cs="仿宋_GB2312"/>
          <w:color w:val="000000"/>
          <w:kern w:val="0"/>
          <w:sz w:val="32"/>
          <w:szCs w:val="32"/>
          <w:shd w:val="clear" w:color="auto" w:fill="FFFFFF"/>
        </w:rPr>
        <w:t>（</w:t>
      </w:r>
      <w:r>
        <w:rPr>
          <w:rFonts w:hint="eastAsia" w:ascii="楷体_GB2312" w:hAnsi="楷体_GB2312" w:eastAsia="楷体_GB2312" w:cs="楷体_GB2312"/>
          <w:color w:val="000000"/>
          <w:kern w:val="0"/>
          <w:sz w:val="32"/>
          <w:szCs w:val="32"/>
          <w:shd w:val="clear" w:color="auto" w:fill="FFFFFF"/>
        </w:rPr>
        <w:t>二）依申请公开工作情况</w:t>
      </w:r>
      <w:r>
        <w:rPr>
          <w:rFonts w:hint="eastAsia" w:ascii="楷体_GB2312" w:hAnsi="楷体_GB2312" w:eastAsia="楷体_GB2312" w:cs="楷体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年，和田地区</w:t>
      </w:r>
      <w:r>
        <w:rPr>
          <w:rFonts w:hint="eastAsia" w:ascii="仿宋_GB2312" w:hAnsi="仿宋_GB2312" w:eastAsia="仿宋_GB2312" w:cs="仿宋_GB2312"/>
          <w:color w:val="000000"/>
          <w:kern w:val="0"/>
          <w:sz w:val="32"/>
          <w:szCs w:val="32"/>
          <w:shd w:val="clear" w:color="auto" w:fill="FFFFFF"/>
          <w:lang w:eastAsia="zh-CN"/>
        </w:rPr>
        <w:t>科技</w:t>
      </w:r>
      <w:r>
        <w:rPr>
          <w:rFonts w:hint="eastAsia" w:ascii="仿宋_GB2312" w:hAnsi="仿宋_GB2312" w:eastAsia="仿宋_GB2312" w:cs="仿宋_GB2312"/>
          <w:color w:val="000000"/>
          <w:kern w:val="0"/>
          <w:sz w:val="32"/>
          <w:szCs w:val="32"/>
          <w:shd w:val="clear" w:color="auto" w:fill="FFFFFF"/>
        </w:rPr>
        <w:t>局未收到政府信息公开申请。</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（三）政府信息管理工作情况</w:t>
      </w:r>
      <w:r>
        <w:rPr>
          <w:rFonts w:hint="eastAsia" w:ascii="楷体_GB2312" w:hAnsi="楷体_GB2312" w:eastAsia="楷体_GB2312" w:cs="楷体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研究分解政府信息公开有关任务，确定责任部门，细化任务清单，明确完成期限和完成形式，确保政府信息公开各项工作按照计划有序推进。落实好政府信息公开协调机制、审查机制、发布机制、动态调整机制，并按照公开权限做好相关文件等政府信息的审核发布工作。建立全系统政务公开联络员队伍，通过学习培训、专题讲座、组织测试等形式加强业务学习，提高工作人员业务素质和工作能力。</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（四）政府信息公开平台建设情况</w:t>
      </w:r>
      <w:r>
        <w:rPr>
          <w:rFonts w:hint="eastAsia" w:ascii="楷体_GB2312" w:hAnsi="楷体_GB2312" w:eastAsia="楷体_GB2312" w:cs="楷体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eastAsia="zh-CN"/>
        </w:rPr>
        <w:t>地区科技局目前无已建、在建</w:t>
      </w:r>
      <w:r>
        <w:rPr>
          <w:rFonts w:hint="eastAsia" w:ascii="仿宋_GB2312" w:hAnsi="仿宋_GB2312" w:eastAsia="仿宋_GB2312" w:cs="仿宋_GB2312"/>
          <w:color w:val="000000"/>
          <w:kern w:val="0"/>
          <w:sz w:val="32"/>
          <w:szCs w:val="32"/>
          <w:shd w:val="clear" w:color="auto" w:fill="FFFFFF"/>
        </w:rPr>
        <w:t>门户网站</w:t>
      </w:r>
      <w:r>
        <w:rPr>
          <w:rFonts w:hint="eastAsia" w:ascii="仿宋_GB2312" w:hAnsi="仿宋_GB2312" w:eastAsia="仿宋_GB2312" w:cs="仿宋_GB2312"/>
          <w:color w:val="000000"/>
          <w:kern w:val="0"/>
          <w:sz w:val="32"/>
          <w:szCs w:val="32"/>
          <w:shd w:val="clear" w:color="auto" w:fill="FFFFFF"/>
          <w:lang w:eastAsia="zh-CN"/>
        </w:rPr>
        <w:t>等政府信息管理平台</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（五）政府信息公开监督保障机制建设情况</w:t>
      </w:r>
      <w:r>
        <w:rPr>
          <w:rFonts w:hint="eastAsia" w:ascii="楷体_GB2312" w:hAnsi="楷体_GB2312" w:eastAsia="楷体_GB2312" w:cs="楷体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为有序推进政府信息公开工作，</w:t>
      </w:r>
      <w:r>
        <w:rPr>
          <w:rFonts w:hint="eastAsia" w:ascii="仿宋_GB2312" w:hAnsi="仿宋_GB2312" w:eastAsia="仿宋_GB2312" w:cs="仿宋_GB2312"/>
          <w:color w:val="000000"/>
          <w:kern w:val="0"/>
          <w:sz w:val="32"/>
          <w:szCs w:val="32"/>
          <w:shd w:val="clear" w:color="auto" w:fill="FFFFFF"/>
          <w:lang w:eastAsia="zh-CN"/>
        </w:rPr>
        <w:t>地区科技</w:t>
      </w:r>
      <w:r>
        <w:rPr>
          <w:rFonts w:hint="eastAsia" w:ascii="仿宋_GB2312" w:hAnsi="仿宋_GB2312" w:eastAsia="仿宋_GB2312" w:cs="仿宋_GB2312"/>
          <w:color w:val="000000"/>
          <w:kern w:val="0"/>
          <w:sz w:val="32"/>
          <w:szCs w:val="32"/>
          <w:shd w:val="clear" w:color="auto" w:fill="FFFFFF"/>
        </w:rPr>
        <w:t>局</w:t>
      </w:r>
      <w:r>
        <w:rPr>
          <w:rFonts w:hint="eastAsia" w:ascii="仿宋_GB2312" w:hAnsi="仿宋_GB2312" w:eastAsia="仿宋_GB2312" w:cs="仿宋_GB2312"/>
          <w:color w:val="000000"/>
          <w:kern w:val="0"/>
          <w:sz w:val="32"/>
          <w:szCs w:val="32"/>
          <w:shd w:val="clear" w:color="auto" w:fill="FFFFFF"/>
          <w:lang w:eastAsia="zh-CN"/>
        </w:rPr>
        <w:t>强化</w:t>
      </w:r>
      <w:r>
        <w:rPr>
          <w:rFonts w:hint="eastAsia" w:ascii="仿宋_GB2312" w:hAnsi="仿宋_GB2312" w:eastAsia="仿宋_GB2312" w:cs="仿宋_GB2312"/>
          <w:color w:val="000000"/>
          <w:kern w:val="0"/>
          <w:sz w:val="32"/>
          <w:szCs w:val="32"/>
          <w:shd w:val="clear" w:color="auto" w:fill="FFFFFF"/>
        </w:rPr>
        <w:t>政府信息公开工作机构建设，及时调整信息公开工作人员，具体组织落实政府信息公开的日常工作，相关</w:t>
      </w:r>
      <w:r>
        <w:rPr>
          <w:rFonts w:hint="eastAsia" w:ascii="仿宋_GB2312" w:hAnsi="仿宋_GB2312" w:eastAsia="仿宋_GB2312" w:cs="仿宋_GB2312"/>
          <w:color w:val="000000"/>
          <w:kern w:val="0"/>
          <w:sz w:val="32"/>
          <w:szCs w:val="32"/>
          <w:shd w:val="clear" w:color="auto" w:fill="FFFFFF"/>
          <w:lang w:eastAsia="zh-CN"/>
        </w:rPr>
        <w:t>业务</w:t>
      </w:r>
      <w:r>
        <w:rPr>
          <w:rFonts w:hint="eastAsia" w:ascii="仿宋_GB2312" w:hAnsi="仿宋_GB2312" w:eastAsia="仿宋_GB2312" w:cs="仿宋_GB2312"/>
          <w:color w:val="000000"/>
          <w:kern w:val="0"/>
          <w:sz w:val="32"/>
          <w:szCs w:val="32"/>
          <w:shd w:val="clear" w:color="auto" w:fill="FFFFFF"/>
        </w:rPr>
        <w:t>科室也明确了责任人，坚持和完善信息公开前审查、公文类信息目录备案等工作制度，规范依申请公开流程，实现了组织保障有力、公开内容规范、公开渠道完善、工作制度健全的目标，有效提</w:t>
      </w:r>
      <w:r>
        <w:rPr>
          <w:rFonts w:hint="eastAsia" w:ascii="仿宋_GB2312" w:hAnsi="仿宋_GB2312" w:eastAsia="仿宋_GB2312" w:cs="仿宋_GB2312"/>
          <w:color w:val="000000"/>
          <w:kern w:val="0"/>
          <w:sz w:val="32"/>
          <w:szCs w:val="32"/>
          <w:shd w:val="clear" w:color="auto" w:fill="FFFFFF"/>
          <w:lang w:eastAsia="zh-CN"/>
        </w:rPr>
        <w:t>升</w:t>
      </w:r>
      <w:r>
        <w:rPr>
          <w:rFonts w:hint="eastAsia" w:ascii="仿宋_GB2312" w:hAnsi="仿宋_GB2312" w:eastAsia="仿宋_GB2312" w:cs="仿宋_GB2312"/>
          <w:color w:val="000000"/>
          <w:kern w:val="0"/>
          <w:sz w:val="32"/>
          <w:szCs w:val="32"/>
          <w:shd w:val="clear" w:color="auto" w:fill="FFFFFF"/>
        </w:rPr>
        <w:t>信息公开工作的规范化程度</w:t>
      </w:r>
      <w:r>
        <w:rPr>
          <w:rFonts w:hint="eastAsia" w:ascii="仿宋_GB2312" w:hAnsi="仿宋_GB2312" w:eastAsia="仿宋_GB2312" w:cs="仿宋_GB2312"/>
          <w:color w:val="000000"/>
          <w:kern w:val="0"/>
          <w:sz w:val="32"/>
          <w:szCs w:val="32"/>
          <w:shd w:val="clear" w:color="auto" w:fill="FFFFFF"/>
          <w:lang w:eastAsia="zh-CN"/>
        </w:rPr>
        <w:t>，有力</w:t>
      </w:r>
      <w:r>
        <w:rPr>
          <w:rFonts w:hint="eastAsia" w:ascii="仿宋_GB2312" w:hAnsi="仿宋_GB2312" w:eastAsia="仿宋_GB2312" w:cs="仿宋_GB2312"/>
          <w:color w:val="000000"/>
          <w:kern w:val="0"/>
          <w:sz w:val="32"/>
          <w:szCs w:val="32"/>
          <w:shd w:val="clear" w:color="auto" w:fill="FFFFFF"/>
        </w:rPr>
        <w:t>推进</w:t>
      </w:r>
      <w:r>
        <w:rPr>
          <w:rFonts w:hint="eastAsia" w:ascii="仿宋_GB2312" w:hAnsi="仿宋_GB2312" w:eastAsia="仿宋_GB2312" w:cs="仿宋_GB2312"/>
          <w:color w:val="000000"/>
          <w:kern w:val="0"/>
          <w:sz w:val="32"/>
          <w:szCs w:val="32"/>
          <w:shd w:val="clear" w:color="auto" w:fill="FFFFFF"/>
          <w:lang w:eastAsia="zh-CN"/>
        </w:rPr>
        <w:t>局</w:t>
      </w:r>
      <w:r>
        <w:rPr>
          <w:rFonts w:hint="eastAsia" w:ascii="仿宋_GB2312" w:hAnsi="仿宋_GB2312" w:eastAsia="仿宋_GB2312" w:cs="仿宋_GB2312"/>
          <w:color w:val="000000"/>
          <w:kern w:val="0"/>
          <w:sz w:val="32"/>
          <w:szCs w:val="32"/>
          <w:shd w:val="clear" w:color="auto" w:fill="FFFFFF"/>
        </w:rPr>
        <w:t>机关</w:t>
      </w:r>
      <w:r>
        <w:rPr>
          <w:rFonts w:hint="eastAsia" w:ascii="仿宋_GB2312" w:hAnsi="仿宋_GB2312" w:eastAsia="仿宋_GB2312" w:cs="仿宋_GB2312"/>
          <w:color w:val="000000"/>
          <w:kern w:val="0"/>
          <w:sz w:val="32"/>
          <w:szCs w:val="32"/>
          <w:shd w:val="clear" w:color="auto" w:fill="FFFFFF"/>
          <w:lang w:eastAsia="zh-CN"/>
        </w:rPr>
        <w:t>依法依规依纪</w:t>
      </w:r>
      <w:r>
        <w:rPr>
          <w:rFonts w:hint="eastAsia" w:ascii="仿宋_GB2312" w:hAnsi="仿宋_GB2312" w:eastAsia="仿宋_GB2312" w:cs="仿宋_GB2312"/>
          <w:color w:val="000000"/>
          <w:kern w:val="0"/>
          <w:sz w:val="32"/>
          <w:szCs w:val="32"/>
          <w:shd w:val="clear" w:color="auto" w:fill="FFFFFF"/>
        </w:rPr>
        <w:t>办事公开工作。</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二、主动公开政府信息情况</w:t>
      </w:r>
    </w:p>
    <w:tbl>
      <w:tblPr>
        <w:tblStyle w:val="8"/>
        <w:tblW w:w="8020" w:type="dxa"/>
        <w:jc w:val="center"/>
        <w:tblLayout w:type="fixed"/>
        <w:tblCellMar>
          <w:top w:w="0" w:type="dxa"/>
          <w:left w:w="0" w:type="dxa"/>
          <w:bottom w:w="0" w:type="dxa"/>
          <w:right w:w="0" w:type="dxa"/>
        </w:tblCellMar>
      </w:tblPr>
      <w:tblGrid>
        <w:gridCol w:w="2005"/>
        <w:gridCol w:w="2005"/>
        <w:gridCol w:w="2005"/>
        <w:gridCol w:w="2005"/>
      </w:tblGrid>
      <w:tr>
        <w:tblPrEx>
          <w:tblCellMar>
            <w:top w:w="0" w:type="dxa"/>
            <w:left w:w="0" w:type="dxa"/>
            <w:bottom w:w="0" w:type="dxa"/>
            <w:right w:w="0" w:type="dxa"/>
          </w:tblCellMar>
        </w:tblPrEx>
        <w:trPr>
          <w:trHeight w:val="377" w:hRule="atLeast"/>
          <w:jc w:val="center"/>
        </w:trPr>
        <w:tc>
          <w:tcPr>
            <w:tcW w:w="802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第二十条第（一）项</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200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本年</w:t>
            </w:r>
            <w:r>
              <w:rPr>
                <w:rFonts w:hint="eastAsia" w:ascii="仿宋_GB2312" w:hAnsi="仿宋_GB2312" w:eastAsia="仿宋_GB2312" w:cs="仿宋_GB2312"/>
                <w:kern w:val="0"/>
                <w:sz w:val="20"/>
                <w:szCs w:val="20"/>
              </w:rPr>
              <w:t>制发件数</w:t>
            </w:r>
          </w:p>
        </w:tc>
        <w:tc>
          <w:tcPr>
            <w:tcW w:w="200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本年废止件数</w:t>
            </w:r>
          </w:p>
        </w:tc>
        <w:tc>
          <w:tcPr>
            <w:tcW w:w="200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现行有效件</w:t>
            </w:r>
            <w:r>
              <w:rPr>
                <w:rFonts w:hint="eastAsia" w:ascii="仿宋_GB2312" w:hAnsi="仿宋_GB2312" w:eastAsia="仿宋_GB2312" w:cs="仿宋_GB2312"/>
                <w:kern w:val="0"/>
                <w:sz w:val="20"/>
                <w:szCs w:val="20"/>
              </w:rPr>
              <w:t>数</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规章</w:t>
            </w:r>
          </w:p>
        </w:tc>
        <w:tc>
          <w:tcPr>
            <w:tcW w:w="200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00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00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Cs w:val="21"/>
              </w:rPr>
              <w:t>0</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行政规范性文件</w:t>
            </w:r>
          </w:p>
        </w:tc>
        <w:tc>
          <w:tcPr>
            <w:tcW w:w="200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00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0</w:t>
            </w:r>
          </w:p>
        </w:tc>
        <w:tc>
          <w:tcPr>
            <w:tcW w:w="200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Cs w:val="21"/>
              </w:rPr>
              <w:t>0</w:t>
            </w:r>
          </w:p>
        </w:tc>
      </w:tr>
      <w:tr>
        <w:tblPrEx>
          <w:tblCellMar>
            <w:top w:w="0" w:type="dxa"/>
            <w:left w:w="0" w:type="dxa"/>
            <w:bottom w:w="0" w:type="dxa"/>
            <w:right w:w="0" w:type="dxa"/>
          </w:tblCellMar>
        </w:tblPrEx>
        <w:trPr>
          <w:trHeight w:val="377" w:hRule="atLeast"/>
          <w:jc w:val="center"/>
        </w:trPr>
        <w:tc>
          <w:tcPr>
            <w:tcW w:w="80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第二十条第（五）项</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601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本年处理决定数量</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行政许可</w:t>
            </w:r>
          </w:p>
        </w:tc>
        <w:tc>
          <w:tcPr>
            <w:tcW w:w="601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Cs w:val="21"/>
              </w:rPr>
              <w:t>0</w:t>
            </w:r>
          </w:p>
        </w:tc>
      </w:tr>
      <w:tr>
        <w:tblPrEx>
          <w:tblCellMar>
            <w:top w:w="0" w:type="dxa"/>
            <w:left w:w="0" w:type="dxa"/>
            <w:bottom w:w="0" w:type="dxa"/>
            <w:right w:w="0" w:type="dxa"/>
          </w:tblCellMar>
        </w:tblPrEx>
        <w:trPr>
          <w:trHeight w:val="377" w:hRule="atLeast"/>
          <w:jc w:val="center"/>
        </w:trPr>
        <w:tc>
          <w:tcPr>
            <w:tcW w:w="80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第二十条第（六）项</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601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本年处理决定数量</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行政处罚</w:t>
            </w:r>
          </w:p>
        </w:tc>
        <w:tc>
          <w:tcPr>
            <w:tcW w:w="601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0</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行政强制</w:t>
            </w:r>
          </w:p>
        </w:tc>
        <w:tc>
          <w:tcPr>
            <w:tcW w:w="601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0</w:t>
            </w:r>
          </w:p>
        </w:tc>
      </w:tr>
      <w:tr>
        <w:tblPrEx>
          <w:tblCellMar>
            <w:top w:w="0" w:type="dxa"/>
            <w:left w:w="0" w:type="dxa"/>
            <w:bottom w:w="0" w:type="dxa"/>
            <w:right w:w="0" w:type="dxa"/>
          </w:tblCellMar>
        </w:tblPrEx>
        <w:trPr>
          <w:trHeight w:val="377" w:hRule="atLeast"/>
          <w:jc w:val="center"/>
        </w:trPr>
        <w:tc>
          <w:tcPr>
            <w:tcW w:w="80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第二十条第（八）项</w:t>
            </w:r>
          </w:p>
        </w:tc>
      </w:tr>
      <w:tr>
        <w:tblPrEx>
          <w:tblCellMar>
            <w:top w:w="0" w:type="dxa"/>
            <w:left w:w="0" w:type="dxa"/>
            <w:bottom w:w="0" w:type="dxa"/>
            <w:right w:w="0" w:type="dxa"/>
          </w:tblCellMar>
        </w:tblPrEx>
        <w:trPr>
          <w:trHeight w:val="377"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信息内容</w:t>
            </w:r>
          </w:p>
        </w:tc>
        <w:tc>
          <w:tcPr>
            <w:tcW w:w="601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本年收费金额（单位：万元）</w:t>
            </w:r>
          </w:p>
        </w:tc>
      </w:tr>
      <w:tr>
        <w:tblPrEx>
          <w:tblCellMar>
            <w:top w:w="0" w:type="dxa"/>
            <w:left w:w="0" w:type="dxa"/>
            <w:bottom w:w="0" w:type="dxa"/>
            <w:right w:w="0" w:type="dxa"/>
          </w:tblCellMar>
        </w:tblPrEx>
        <w:trPr>
          <w:trHeight w:val="435" w:hRule="atLeast"/>
          <w:jc w:val="center"/>
        </w:trPr>
        <w:tc>
          <w:tcPr>
            <w:tcW w:w="200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行政事业性收费</w:t>
            </w:r>
          </w:p>
        </w:tc>
        <w:tc>
          <w:tcPr>
            <w:tcW w:w="601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0</w:t>
            </w:r>
          </w:p>
        </w:tc>
      </w:tr>
    </w:tbl>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黑体" w:hAnsi="黑体" w:eastAsia="黑体" w:cs="黑体"/>
          <w:b w:val="0"/>
          <w:bCs/>
          <w:color w:val="000000"/>
          <w:kern w:val="0"/>
          <w:sz w:val="32"/>
          <w:szCs w:val="32"/>
          <w:shd w:val="clear" w:color="auto" w:fill="FFFFFF"/>
        </w:rPr>
      </w:pPr>
      <w:r>
        <w:rPr>
          <w:rFonts w:hint="eastAsia" w:ascii="黑体" w:hAnsi="黑体" w:eastAsia="黑体" w:cs="黑体"/>
          <w:b w:val="0"/>
          <w:bCs/>
          <w:color w:val="000000"/>
          <w:kern w:val="0"/>
          <w:sz w:val="32"/>
          <w:szCs w:val="32"/>
          <w:shd w:val="clear" w:color="auto" w:fill="FFFFFF"/>
        </w:rPr>
        <w:t>三、收到和处理政府信息公开申请情况</w:t>
      </w:r>
    </w:p>
    <w:tbl>
      <w:tblPr>
        <w:tblStyle w:val="8"/>
        <w:tblW w:w="80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9"/>
        <w:gridCol w:w="784"/>
        <w:gridCol w:w="2723"/>
        <w:gridCol w:w="576"/>
        <w:gridCol w:w="576"/>
        <w:gridCol w:w="576"/>
        <w:gridCol w:w="576"/>
        <w:gridCol w:w="576"/>
        <w:gridCol w:w="578"/>
        <w:gridCol w:w="4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146"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（本列数据的勾稽关系为：第一项加第二项之和，等于第三项加第四项之和）</w:t>
            </w:r>
          </w:p>
        </w:tc>
        <w:tc>
          <w:tcPr>
            <w:tcW w:w="3913"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4146"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76"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自然人</w:t>
            </w:r>
          </w:p>
        </w:tc>
        <w:tc>
          <w:tcPr>
            <w:tcW w:w="2882"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法人或其他组织</w:t>
            </w:r>
          </w:p>
        </w:tc>
        <w:tc>
          <w:tcPr>
            <w:tcW w:w="455"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4146"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76" w:type="dxa"/>
            <w:vMerge w:val="continue"/>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76"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商业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企业</w:t>
            </w:r>
          </w:p>
        </w:tc>
        <w:tc>
          <w:tcPr>
            <w:tcW w:w="576"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科研</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机构</w:t>
            </w:r>
          </w:p>
        </w:tc>
        <w:tc>
          <w:tcPr>
            <w:tcW w:w="57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社会公益组织</w:t>
            </w:r>
          </w:p>
        </w:tc>
        <w:tc>
          <w:tcPr>
            <w:tcW w:w="57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法律服务机构</w:t>
            </w:r>
          </w:p>
        </w:tc>
        <w:tc>
          <w:tcPr>
            <w:tcW w:w="578"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其他</w:t>
            </w:r>
          </w:p>
        </w:tc>
        <w:tc>
          <w:tcPr>
            <w:tcW w:w="455"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414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一、本年新收政府信息公开申请数量</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414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二、上年结转政府信息公开申请数量</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三、本年度办理结果</w:t>
            </w:r>
          </w:p>
        </w:tc>
        <w:tc>
          <w:tcPr>
            <w:tcW w:w="3507"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（一）予以公开</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9"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3507"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（二）部分公开（区分处理的，只计这一情形，不计其他情形）</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（三）不予公开</w:t>
            </w: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1.属于国家秘密</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2.其他法律行政法规禁止公开</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3.危及“三安全一稳定”</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4.保护第三方合法权益</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5.属于三类内部事务信息</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6.属于四类过程性信息</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7.属于行政执法案卷</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8.属于行政查询事项</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（四）无法提供</w:t>
            </w: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1.本机关不掌握相关政府信息</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2.没有现成信息需要另行制作</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3.补正后申请内容仍不明确</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（五）不予处理</w:t>
            </w: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1.信访举报投诉类申请</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2.重复申请</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3.要求提供公开出版物</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9"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4.无正当理由大量反复申请</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5.要求行政机关确认或重新出具已获取信息</w:t>
            </w:r>
          </w:p>
        </w:tc>
        <w:tc>
          <w:tcPr>
            <w:tcW w:w="576"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3"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（六）其他处理</w:t>
            </w:r>
          </w:p>
        </w:tc>
        <w:tc>
          <w:tcPr>
            <w:tcW w:w="272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1.申请人无正当理由逾期不补正、行政机关不再处理其政府信息公开申请</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9"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2.申请人逾期未按收费通知要求缴纳费用、行政机关不再处理其政府信息公开申请</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784"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272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3.其他</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39"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3507"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（七）总计</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414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四、结转下年度继续办理</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76"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7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45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仿宋_GB2312" w:hAnsi="仿宋_GB2312" w:eastAsia="仿宋_GB2312" w:cs="仿宋_GB2312"/>
                <w:sz w:val="24"/>
                <w:lang w:val="en"/>
              </w:rPr>
            </w:pPr>
            <w:r>
              <w:rPr>
                <w:rFonts w:hint="eastAsia" w:ascii="仿宋_GB2312" w:hAnsi="仿宋_GB2312" w:eastAsia="仿宋_GB2312" w:cs="仿宋_GB2312"/>
                <w:kern w:val="0"/>
                <w:sz w:val="20"/>
                <w:szCs w:val="20"/>
              </w:rPr>
              <w:t>0</w:t>
            </w:r>
          </w:p>
        </w:tc>
      </w:tr>
    </w:tbl>
    <w:p>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四、政府信息公开行政复议、行政诉讼情况</w:t>
      </w:r>
    </w:p>
    <w:tbl>
      <w:tblPr>
        <w:tblStyle w:val="8"/>
        <w:tblW w:w="80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31"/>
        <w:gridCol w:w="531"/>
        <w:gridCol w:w="531"/>
        <w:gridCol w:w="531"/>
        <w:gridCol w:w="539"/>
        <w:gridCol w:w="531"/>
        <w:gridCol w:w="531"/>
        <w:gridCol w:w="532"/>
        <w:gridCol w:w="532"/>
        <w:gridCol w:w="538"/>
        <w:gridCol w:w="532"/>
        <w:gridCol w:w="532"/>
        <w:gridCol w:w="532"/>
        <w:gridCol w:w="532"/>
        <w:gridCol w:w="6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266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行政复议</w:t>
            </w:r>
          </w:p>
        </w:tc>
        <w:tc>
          <w:tcPr>
            <w:tcW w:w="5416"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53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结果维持</w:t>
            </w:r>
          </w:p>
        </w:tc>
        <w:tc>
          <w:tcPr>
            <w:tcW w:w="53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纠正</w:t>
            </w:r>
          </w:p>
        </w:tc>
        <w:tc>
          <w:tcPr>
            <w:tcW w:w="53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其他</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结果</w:t>
            </w:r>
          </w:p>
        </w:tc>
        <w:tc>
          <w:tcPr>
            <w:tcW w:w="53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尚未</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审结</w:t>
            </w:r>
          </w:p>
        </w:tc>
        <w:tc>
          <w:tcPr>
            <w:tcW w:w="53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总计</w:t>
            </w:r>
          </w:p>
        </w:tc>
        <w:tc>
          <w:tcPr>
            <w:tcW w:w="266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未经复议直接起诉</w:t>
            </w:r>
          </w:p>
        </w:tc>
        <w:tc>
          <w:tcPr>
            <w:tcW w:w="275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9" w:hRule="atLeast"/>
          <w:jc w:val="center"/>
        </w:trPr>
        <w:tc>
          <w:tcPr>
            <w:tcW w:w="53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3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3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3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3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维持</w:t>
            </w: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纠正</w:t>
            </w:r>
          </w:p>
        </w:tc>
        <w:tc>
          <w:tcPr>
            <w:tcW w:w="5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其他</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结果</w:t>
            </w:r>
          </w:p>
        </w:tc>
        <w:tc>
          <w:tcPr>
            <w:tcW w:w="5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尚未</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审结</w:t>
            </w:r>
          </w:p>
        </w:tc>
        <w:tc>
          <w:tcPr>
            <w:tcW w:w="5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总计</w:t>
            </w:r>
          </w:p>
        </w:tc>
        <w:tc>
          <w:tcPr>
            <w:tcW w:w="5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维持</w:t>
            </w:r>
          </w:p>
        </w:tc>
        <w:tc>
          <w:tcPr>
            <w:tcW w:w="5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纠正</w:t>
            </w:r>
          </w:p>
        </w:tc>
        <w:tc>
          <w:tcPr>
            <w:tcW w:w="5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其他</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结果</w:t>
            </w:r>
          </w:p>
        </w:tc>
        <w:tc>
          <w:tcPr>
            <w:tcW w:w="5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尚未</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审结</w:t>
            </w:r>
          </w:p>
        </w:tc>
        <w:tc>
          <w:tcPr>
            <w:tcW w:w="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3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38"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3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20"/>
                <w:szCs w:val="20"/>
              </w:rPr>
              <w:t>0</w:t>
            </w:r>
          </w:p>
        </w:tc>
        <w:tc>
          <w:tcPr>
            <w:tcW w:w="53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53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仿宋_GB2312" w:eastAsia="仿宋_GB2312" w:cs="仿宋_GB2312"/>
                <w:lang w:val="en"/>
              </w:rPr>
            </w:pPr>
            <w:r>
              <w:rPr>
                <w:rFonts w:hint="eastAsia" w:ascii="仿宋_GB2312" w:hAnsi="仿宋_GB2312" w:eastAsia="仿宋_GB2312" w:cs="仿宋_GB2312"/>
                <w:kern w:val="0"/>
                <w:sz w:val="20"/>
                <w:szCs w:val="20"/>
              </w:rPr>
              <w:t>0</w:t>
            </w:r>
          </w:p>
        </w:tc>
        <w:tc>
          <w:tcPr>
            <w:tcW w:w="624"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0</w:t>
            </w:r>
          </w:p>
        </w:tc>
      </w:tr>
    </w:tbl>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五、存在的主要问题及改进情况</w:t>
      </w:r>
    </w:p>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eastAsia="zh-CN"/>
        </w:rPr>
        <w:t>（一）存在的问题。</w:t>
      </w: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color w:val="000000"/>
          <w:kern w:val="0"/>
          <w:sz w:val="32"/>
          <w:szCs w:val="32"/>
          <w:shd w:val="clear" w:color="auto" w:fill="FFFFFF"/>
          <w:lang w:eastAsia="zh-CN"/>
        </w:rPr>
        <w:t>地区科技</w:t>
      </w:r>
      <w:r>
        <w:rPr>
          <w:rFonts w:hint="eastAsia" w:ascii="仿宋_GB2312" w:hAnsi="仿宋_GB2312" w:eastAsia="仿宋_GB2312" w:cs="仿宋_GB2312"/>
          <w:color w:val="000000"/>
          <w:kern w:val="0"/>
          <w:sz w:val="32"/>
          <w:szCs w:val="32"/>
          <w:shd w:val="clear" w:color="auto" w:fill="FFFFFF"/>
        </w:rPr>
        <w:t>局政府信息公开工作取得了一定的成效，但政府信息公开内容的全面性尚存在不足，主动公开的信息内容不够全面，信息时效性还有待提高。</w:t>
      </w:r>
    </w:p>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eastAsia="zh-CN"/>
        </w:rPr>
        <w:t>（二）改进情况</w:t>
      </w:r>
      <w:r>
        <w:rPr>
          <w:rFonts w:hint="eastAsia" w:ascii="楷体_GB2312" w:hAnsi="楷体_GB2312" w:eastAsia="楷体_GB2312" w:cs="楷体_GB2312"/>
          <w:b w:val="0"/>
          <w:bCs w:val="0"/>
          <w:color w:val="000000"/>
          <w:kern w:val="0"/>
          <w:sz w:val="32"/>
          <w:szCs w:val="32"/>
          <w:shd w:val="clear" w:color="auto" w:fill="FFFFFF"/>
          <w:lang w:eastAsia="zh-CN"/>
        </w:rPr>
        <w:t>。</w:t>
      </w:r>
      <w:r>
        <w:rPr>
          <w:rFonts w:hint="eastAsia" w:ascii="仿宋_GB2312" w:hAnsi="仿宋_GB2312" w:eastAsia="仿宋_GB2312" w:cs="仿宋_GB2312"/>
          <w:b/>
          <w:bCs/>
          <w:color w:val="000000"/>
          <w:kern w:val="0"/>
          <w:sz w:val="32"/>
          <w:szCs w:val="32"/>
          <w:shd w:val="clear" w:color="auto" w:fill="FFFFFF"/>
        </w:rPr>
        <w:t>一是</w:t>
      </w:r>
      <w:r>
        <w:rPr>
          <w:rFonts w:hint="eastAsia" w:ascii="仿宋_GB2312" w:hAnsi="仿宋_GB2312" w:eastAsia="仿宋_GB2312" w:cs="仿宋_GB2312"/>
          <w:color w:val="000000"/>
          <w:kern w:val="0"/>
          <w:sz w:val="32"/>
          <w:szCs w:val="32"/>
          <w:shd w:val="clear" w:color="auto" w:fill="FFFFFF"/>
        </w:rPr>
        <w:t>加强对需要发布的文件严审保障无误，分工明确形成有记录审核流程，扎实贯彻新条例，加大主动公开力度。</w:t>
      </w:r>
      <w:r>
        <w:rPr>
          <w:rFonts w:hint="eastAsia" w:ascii="楷体_GB2312" w:hAnsi="楷体_GB2312" w:eastAsia="楷体_GB2312" w:cs="楷体_GB2312"/>
          <w:b/>
          <w:bCs/>
          <w:color w:val="000000"/>
          <w:kern w:val="0"/>
          <w:sz w:val="32"/>
          <w:szCs w:val="32"/>
          <w:shd w:val="clear" w:color="auto" w:fill="FFFFFF"/>
          <w:lang w:eastAsia="zh-CN"/>
        </w:rPr>
        <w:t>二是</w:t>
      </w:r>
      <w:r>
        <w:rPr>
          <w:rFonts w:hint="eastAsia" w:ascii="仿宋_GB2312" w:hAnsi="仿宋_GB2312" w:eastAsia="仿宋_GB2312" w:cs="仿宋_GB2312"/>
          <w:color w:val="000000"/>
          <w:kern w:val="0"/>
          <w:sz w:val="32"/>
          <w:szCs w:val="32"/>
          <w:shd w:val="clear" w:color="auto" w:fill="FFFFFF"/>
        </w:rPr>
        <w:t>进一步强化意识，加强学习培训，注重提升业务人员的能力建设，积极组织工作人员参加</w:t>
      </w:r>
      <w:r>
        <w:rPr>
          <w:rFonts w:hint="eastAsia" w:ascii="仿宋_GB2312" w:hAnsi="仿宋_GB2312" w:eastAsia="仿宋_GB2312" w:cs="仿宋_GB2312"/>
          <w:color w:val="000000"/>
          <w:kern w:val="0"/>
          <w:sz w:val="32"/>
          <w:szCs w:val="32"/>
          <w:shd w:val="clear" w:color="auto" w:fill="FFFFFF"/>
          <w:lang w:eastAsia="zh-CN"/>
        </w:rPr>
        <w:t>行署</w:t>
      </w:r>
      <w:r>
        <w:rPr>
          <w:rFonts w:hint="eastAsia" w:ascii="仿宋_GB2312" w:hAnsi="仿宋_GB2312" w:eastAsia="仿宋_GB2312" w:cs="仿宋_GB2312"/>
          <w:color w:val="000000"/>
          <w:kern w:val="0"/>
          <w:sz w:val="32"/>
          <w:szCs w:val="32"/>
          <w:shd w:val="clear" w:color="auto" w:fill="FFFFFF"/>
        </w:rPr>
        <w:t>政府信息公开工作业务培训。</w:t>
      </w:r>
      <w:r>
        <w:rPr>
          <w:rFonts w:hint="eastAsia" w:ascii="楷体_GB2312" w:hAnsi="楷体_GB2312" w:eastAsia="楷体_GB2312" w:cs="楷体_GB2312"/>
          <w:b/>
          <w:bCs/>
          <w:color w:val="000000"/>
          <w:kern w:val="0"/>
          <w:sz w:val="32"/>
          <w:szCs w:val="32"/>
          <w:shd w:val="clear" w:color="auto" w:fill="FFFFFF"/>
          <w:lang w:eastAsia="zh-CN"/>
        </w:rPr>
        <w:t>三是</w:t>
      </w:r>
      <w:r>
        <w:rPr>
          <w:rFonts w:hint="eastAsia" w:ascii="仿宋_GB2312" w:hAnsi="仿宋_GB2312" w:eastAsia="仿宋_GB2312" w:cs="仿宋_GB2312"/>
          <w:color w:val="000000"/>
          <w:kern w:val="0"/>
          <w:sz w:val="32"/>
          <w:szCs w:val="32"/>
          <w:shd w:val="clear" w:color="auto" w:fill="FFFFFF"/>
        </w:rPr>
        <w:t>加大信息公开力度，规范公开程序，强化信息公开的责任意识、大局意识、服务意识，确保政务信息公开工作及时、准确</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不断提升政府信息公开工作水平。</w:t>
      </w:r>
    </w:p>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六、其他需要报告的事项</w:t>
      </w:r>
    </w:p>
    <w:p>
      <w:pPr>
        <w:keepNext w:val="0"/>
        <w:keepLines w:val="0"/>
        <w:pageBreakBefore w:val="0"/>
        <w:widowControl/>
        <w:kinsoku/>
        <w:wordWrap w:val="0"/>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地区</w:t>
      </w:r>
      <w:r>
        <w:rPr>
          <w:rFonts w:hint="eastAsia" w:ascii="仿宋_GB2312" w:hAnsi="仿宋_GB2312" w:eastAsia="仿宋_GB2312" w:cs="仿宋_GB2312"/>
          <w:color w:val="000000"/>
          <w:kern w:val="0"/>
          <w:sz w:val="32"/>
          <w:szCs w:val="32"/>
          <w:shd w:val="clear" w:color="auto" w:fill="FFFFFF"/>
          <w:lang w:eastAsia="zh-CN"/>
        </w:rPr>
        <w:t>科技</w:t>
      </w:r>
      <w:r>
        <w:rPr>
          <w:rFonts w:hint="eastAsia" w:ascii="仿宋_GB2312" w:hAnsi="仿宋_GB2312" w:eastAsia="仿宋_GB2312" w:cs="仿宋_GB2312"/>
          <w:color w:val="000000"/>
          <w:kern w:val="0"/>
          <w:sz w:val="32"/>
          <w:szCs w:val="32"/>
          <w:shd w:val="clear" w:color="auto" w:fill="FFFFFF"/>
        </w:rPr>
        <w:t>局</w:t>
      </w:r>
      <w:r>
        <w:rPr>
          <w:rFonts w:hint="eastAsia" w:ascii="仿宋_GB2312" w:hAnsi="仿宋_GB2312" w:eastAsia="仿宋_GB2312" w:cs="仿宋_GB2312"/>
          <w:color w:val="000000"/>
          <w:kern w:val="0"/>
          <w:sz w:val="32"/>
          <w:szCs w:val="32"/>
          <w:shd w:val="clear" w:color="auto" w:fill="FFFFFF"/>
          <w:lang w:eastAsia="zh-CN"/>
        </w:rPr>
        <w:t>按照《国务院办公厅关于印发〈政府信息公开信息处理费管理办法〉的通知》（国办函〔202</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109</w:t>
      </w:r>
      <w:r>
        <w:rPr>
          <w:rFonts w:hint="eastAsia" w:ascii="仿宋_GB2312" w:hAnsi="仿宋_GB2312" w:eastAsia="仿宋_GB2312" w:cs="仿宋_GB2312"/>
          <w:color w:val="000000"/>
          <w:kern w:val="0"/>
          <w:sz w:val="32"/>
          <w:szCs w:val="32"/>
          <w:shd w:val="clear" w:color="auto" w:fill="FFFFFF"/>
          <w:lang w:eastAsia="zh-CN"/>
        </w:rPr>
        <w:t>号）规定的按件、按量收费标准，本年度没有产生信息公开处理费。</w:t>
      </w:r>
    </w:p>
    <w:p>
      <w:pPr>
        <w:keepNext w:val="0"/>
        <w:keepLines w:val="0"/>
        <w:pageBreakBefore w:val="0"/>
        <w:widowControl/>
        <w:kinsoku/>
        <w:wordWrap w:val="0"/>
        <w:overflowPunct/>
        <w:topLinePunct w:val="0"/>
        <w:autoSpaceDE/>
        <w:autoSpaceDN/>
        <w:bidi w:val="0"/>
        <w:adjustRightInd/>
        <w:snapToGrid/>
        <w:spacing w:before="157" w:beforeLines="50" w:line="540" w:lineRule="exact"/>
        <w:ind w:firstLine="448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shd w:val="clear" w:color="auto" w:fill="FFFFFF"/>
        </w:rPr>
        <w:t>和田地区科技局</w:t>
      </w:r>
    </w:p>
    <w:p>
      <w:pPr>
        <w:keepNext w:val="0"/>
        <w:keepLines w:val="0"/>
        <w:pageBreakBefore w:val="0"/>
        <w:widowControl/>
        <w:kinsoku/>
        <w:wordWrap w:val="0"/>
        <w:overflowPunct/>
        <w:topLinePunct w:val="0"/>
        <w:autoSpaceDE/>
        <w:autoSpaceDN/>
        <w:bidi w:val="0"/>
        <w:adjustRightInd/>
        <w:snapToGrid/>
        <w:spacing w:before="157" w:beforeLines="50" w:line="540" w:lineRule="exact"/>
        <w:ind w:firstLine="4480"/>
        <w:jc w:val="center"/>
        <w:textAlignment w:val="auto"/>
        <w:outlineLvl w:val="9"/>
        <w:rPr>
          <w:rFonts w:ascii="方正仿宋简体" w:hAnsi="仿宋_GB2312" w:eastAsia="方正仿宋简体"/>
          <w:sz w:val="32"/>
          <w:szCs w:val="32"/>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年1月</w:t>
      </w:r>
      <w:r>
        <w:rPr>
          <w:rFonts w:hint="eastAsia" w:ascii="仿宋_GB2312" w:hAnsi="仿宋_GB2312" w:eastAsia="仿宋_GB2312" w:cs="仿宋_GB2312"/>
          <w:color w:val="000000"/>
          <w:kern w:val="0"/>
          <w:sz w:val="32"/>
          <w:szCs w:val="32"/>
          <w:shd w:val="clear" w:color="auto" w:fill="FFFFFF"/>
          <w:lang w:val="en-US" w:eastAsia="zh-CN"/>
        </w:rPr>
        <w:t>7</w:t>
      </w:r>
      <w:r>
        <w:rPr>
          <w:rFonts w:hint="eastAsia" w:ascii="仿宋_GB2312" w:hAnsi="仿宋_GB2312" w:eastAsia="仿宋_GB2312" w:cs="仿宋_GB2312"/>
          <w:color w:val="000000"/>
          <w:kern w:val="0"/>
          <w:sz w:val="32"/>
          <w:szCs w:val="32"/>
          <w:shd w:val="clear" w:color="auto" w:fill="FFFFFF"/>
        </w:rPr>
        <w:t>日</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3C0F"/>
    <w:multiLevelType w:val="singleLevel"/>
    <w:tmpl w:val="FDFE3C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B1486"/>
    <w:rsid w:val="000351C7"/>
    <w:rsid w:val="003519C0"/>
    <w:rsid w:val="0043680C"/>
    <w:rsid w:val="005A73C7"/>
    <w:rsid w:val="007A54AE"/>
    <w:rsid w:val="008E1C64"/>
    <w:rsid w:val="061057F6"/>
    <w:rsid w:val="06F37BD7"/>
    <w:rsid w:val="071A0D34"/>
    <w:rsid w:val="084C693A"/>
    <w:rsid w:val="0BC66135"/>
    <w:rsid w:val="0C940104"/>
    <w:rsid w:val="0C9E04AC"/>
    <w:rsid w:val="0CD56C46"/>
    <w:rsid w:val="0D647E82"/>
    <w:rsid w:val="101D27DA"/>
    <w:rsid w:val="14282C1D"/>
    <w:rsid w:val="1F1A145D"/>
    <w:rsid w:val="1F8E0355"/>
    <w:rsid w:val="228C12DA"/>
    <w:rsid w:val="240D6E9E"/>
    <w:rsid w:val="252F3957"/>
    <w:rsid w:val="283E6C76"/>
    <w:rsid w:val="2D232CBE"/>
    <w:rsid w:val="2EE93414"/>
    <w:rsid w:val="310B174F"/>
    <w:rsid w:val="32593D4D"/>
    <w:rsid w:val="360C59E3"/>
    <w:rsid w:val="38495CF5"/>
    <w:rsid w:val="3C6F379A"/>
    <w:rsid w:val="3CF3F2AC"/>
    <w:rsid w:val="3DFB3BA7"/>
    <w:rsid w:val="43085CC3"/>
    <w:rsid w:val="46F669B1"/>
    <w:rsid w:val="4A3B0DAA"/>
    <w:rsid w:val="4B7D5305"/>
    <w:rsid w:val="4E5F3F08"/>
    <w:rsid w:val="4F3F4927"/>
    <w:rsid w:val="4FA6683F"/>
    <w:rsid w:val="52BB1486"/>
    <w:rsid w:val="57F73533"/>
    <w:rsid w:val="590F593B"/>
    <w:rsid w:val="597FBA5A"/>
    <w:rsid w:val="5C1D38A3"/>
    <w:rsid w:val="5D7B6A0D"/>
    <w:rsid w:val="5DF85181"/>
    <w:rsid w:val="65512C10"/>
    <w:rsid w:val="68DE7272"/>
    <w:rsid w:val="69C50B00"/>
    <w:rsid w:val="6C6F788A"/>
    <w:rsid w:val="6DBC64B5"/>
    <w:rsid w:val="6F273200"/>
    <w:rsid w:val="6FFC694B"/>
    <w:rsid w:val="76B0100D"/>
    <w:rsid w:val="77FBF803"/>
    <w:rsid w:val="77FFBDFD"/>
    <w:rsid w:val="79803851"/>
    <w:rsid w:val="7AB84935"/>
    <w:rsid w:val="7DD53A89"/>
    <w:rsid w:val="7EE57E6A"/>
    <w:rsid w:val="7EEF1B29"/>
    <w:rsid w:val="7F3798F2"/>
    <w:rsid w:val="7F7510A8"/>
    <w:rsid w:val="7FB02AC6"/>
    <w:rsid w:val="7FDFB95F"/>
    <w:rsid w:val="7FFFB8D8"/>
    <w:rsid w:val="96FA3DF8"/>
    <w:rsid w:val="97FD7936"/>
    <w:rsid w:val="A2EF570E"/>
    <w:rsid w:val="BFBEF987"/>
    <w:rsid w:val="BFCF5293"/>
    <w:rsid w:val="BFF7CC7A"/>
    <w:rsid w:val="BFFF28CA"/>
    <w:rsid w:val="CB17440D"/>
    <w:rsid w:val="D7FA9D04"/>
    <w:rsid w:val="DB69CEE3"/>
    <w:rsid w:val="E8FE79E0"/>
    <w:rsid w:val="EBDFE0F5"/>
    <w:rsid w:val="EBFF0F5A"/>
    <w:rsid w:val="EEEBECFA"/>
    <w:rsid w:val="EF579E17"/>
    <w:rsid w:val="EFEE828E"/>
    <w:rsid w:val="F7DEEDA8"/>
    <w:rsid w:val="FD7FEA1F"/>
    <w:rsid w:val="FEF7C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2">
    <w:name w:val="heading 3"/>
    <w:basedOn w:val="1"/>
    <w:next w:val="1"/>
    <w:qFormat/>
    <w:uiPriority w:val="0"/>
    <w:pPr>
      <w:keepNext/>
      <w:keepLines/>
      <w:spacing w:before="260" w:after="260" w:line="560" w:lineRule="exact"/>
      <w:outlineLvl w:val="2"/>
    </w:pPr>
    <w:rPr>
      <w:rFonts w:ascii="Calibri" w:hAnsi="Calibri"/>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402</Words>
  <Characters>2298</Characters>
  <Lines>19</Lines>
  <Paragraphs>5</Paragraphs>
  <TotalTime>8</TotalTime>
  <ScaleCrop>false</ScaleCrop>
  <LinksUpToDate>false</LinksUpToDate>
  <CharactersWithSpaces>2695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2020-05-28T13:26:00Z</dcterms:created>
  <dc:creator>Administrator</dc:creator>
  <cp:lastModifiedBy>user</cp:lastModifiedBy>
  <cp:lastPrinted>2023-02-01T10:42:00Z</cp:lastPrinted>
  <dcterms:modified xsi:type="dcterms:W3CDTF">2024-01-30T16:50:51Z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