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简体" w:hAnsi="方正仿宋简体" w:eastAsia="方正仿宋简体" w:cs="方正仿宋简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仿宋_GB2312" w:eastAsia="方正小标宋_GBK" w:cs="仿宋_GB2312"/>
          <w:b w:val="0"/>
          <w:bCs w:val="0"/>
          <w:color w:val="auto"/>
          <w:sz w:val="44"/>
          <w:szCs w:val="44"/>
        </w:rPr>
      </w:pPr>
      <w:r>
        <w:rPr>
          <w:rFonts w:hint="eastAsia" w:ascii="方正小标宋_GBK" w:hAnsi="仿宋_GB2312" w:eastAsia="方正小标宋_GBK" w:cs="仿宋_GB2312"/>
          <w:b w:val="0"/>
          <w:bCs w:val="0"/>
          <w:color w:val="auto"/>
          <w:sz w:val="44"/>
          <w:szCs w:val="44"/>
        </w:rPr>
        <w:t>和田地区农业农村局202</w:t>
      </w:r>
      <w:r>
        <w:rPr>
          <w:rFonts w:hint="eastAsia" w:ascii="方正小标宋_GBK" w:hAnsi="仿宋_GB2312" w:eastAsia="方正小标宋_GBK" w:cs="仿宋_GB2312"/>
          <w:b w:val="0"/>
          <w:bCs w:val="0"/>
          <w:color w:val="auto"/>
          <w:sz w:val="44"/>
          <w:szCs w:val="44"/>
          <w:lang w:val="en-US" w:eastAsia="zh-CN"/>
        </w:rPr>
        <w:t>3</w:t>
      </w:r>
      <w:r>
        <w:rPr>
          <w:rFonts w:hint="eastAsia" w:ascii="方正小标宋_GBK" w:hAnsi="仿宋_GB2312" w:eastAsia="方正小标宋_GBK" w:cs="仿宋_GB2312"/>
          <w:b w:val="0"/>
          <w:bCs w:val="0"/>
          <w:color w:val="auto"/>
          <w:sz w:val="44"/>
          <w:szCs w:val="44"/>
        </w:rPr>
        <w:t>年政府信息公开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仿宋_GB2312" w:eastAsia="方正小标宋_GBK" w:cs="仿宋_GB2312"/>
          <w:b w:val="0"/>
          <w:bCs w:val="0"/>
          <w:color w:val="auto"/>
          <w:sz w:val="44"/>
          <w:szCs w:val="44"/>
        </w:rPr>
      </w:pPr>
      <w:r>
        <w:rPr>
          <w:rFonts w:hint="eastAsia" w:ascii="方正小标宋_GBK" w:hAnsi="仿宋_GB2312" w:eastAsia="方正小标宋_GBK" w:cs="仿宋_GB2312"/>
          <w:b w:val="0"/>
          <w:bCs w:val="0"/>
          <w:color w:val="auto"/>
          <w:sz w:val="44"/>
          <w:szCs w:val="44"/>
        </w:rPr>
        <w:t>工作年度报告</w:t>
      </w:r>
    </w:p>
    <w:p>
      <w:pPr>
        <w:keepNext w:val="0"/>
        <w:keepLines w:val="0"/>
        <w:pageBreakBefore w:val="0"/>
        <w:kinsoku/>
        <w:overflowPunct/>
        <w:topLinePunct w:val="0"/>
        <w:autoSpaceDE/>
        <w:autoSpaceDN/>
        <w:bidi w:val="0"/>
        <w:adjustRightInd/>
        <w:snapToGrid/>
        <w:spacing w:line="560" w:lineRule="exact"/>
        <w:ind w:firstLine="880" w:firstLineChars="200"/>
        <w:jc w:val="center"/>
        <w:textAlignment w:val="auto"/>
        <w:outlineLvl w:val="9"/>
        <w:rPr>
          <w:rFonts w:hint="eastAsia" w:ascii="方正小标宋_GBK" w:hAnsi="仿宋_GB2312" w:eastAsia="方正小标宋_GBK" w:cs="仿宋_GB2312"/>
          <w:color w:val="auto"/>
          <w:sz w:val="44"/>
          <w:szCs w:val="4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年，在和</w:t>
      </w:r>
      <w:r>
        <w:rPr>
          <w:rFonts w:hint="eastAsia" w:ascii="仿宋" w:hAnsi="仿宋" w:eastAsia="仿宋" w:cs="仿宋"/>
          <w:color w:val="auto"/>
          <w:sz w:val="32"/>
          <w:szCs w:val="32"/>
        </w:rPr>
        <w:t>田地委、</w:t>
      </w:r>
      <w:r>
        <w:rPr>
          <w:rFonts w:hint="eastAsia" w:ascii="仿宋" w:hAnsi="仿宋" w:eastAsia="仿宋" w:cs="仿宋"/>
          <w:color w:val="auto"/>
          <w:sz w:val="32"/>
          <w:szCs w:val="32"/>
          <w:lang w:eastAsia="zh-CN"/>
        </w:rPr>
        <w:t>行署</w:t>
      </w:r>
      <w:r>
        <w:rPr>
          <w:rFonts w:hint="eastAsia" w:ascii="仿宋" w:hAnsi="仿宋" w:eastAsia="仿宋" w:cs="仿宋"/>
          <w:color w:val="auto"/>
          <w:sz w:val="32"/>
          <w:szCs w:val="32"/>
        </w:rPr>
        <w:t>的正确领导下，和田地区农业农村局</w:t>
      </w:r>
      <w:r>
        <w:rPr>
          <w:rFonts w:hint="eastAsia" w:ascii="仿宋" w:hAnsi="仿宋" w:eastAsia="仿宋" w:cs="仿宋"/>
          <w:color w:val="auto"/>
          <w:kern w:val="2"/>
          <w:sz w:val="32"/>
          <w:szCs w:val="32"/>
          <w:lang w:val="en-US" w:eastAsia="zh-CN" w:bidi="ar-SA"/>
        </w:rPr>
        <w:t>规范信息公开内容，突出信息公开重点，加强信息发布和政策解读回应，认真落实政府信息公开工作，</w:t>
      </w:r>
      <w:r>
        <w:rPr>
          <w:rFonts w:hint="eastAsia" w:ascii="仿宋" w:hAnsi="仿宋" w:eastAsia="仿宋" w:cs="仿宋"/>
          <w:color w:val="auto"/>
          <w:sz w:val="32"/>
          <w:szCs w:val="32"/>
        </w:rPr>
        <w:t>切实保障群众的知情权，特向社会公开</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政府信息公开年度报告。</w:t>
      </w:r>
      <w:r>
        <w:rPr>
          <w:rFonts w:hint="eastAsia" w:ascii="仿宋" w:hAnsi="仿宋" w:eastAsia="仿宋" w:cs="仿宋"/>
          <w:color w:val="auto"/>
          <w:sz w:val="32"/>
          <w:szCs w:val="32"/>
          <w:lang w:eastAsia="zh-CN"/>
        </w:rPr>
        <w:t>本报告</w:t>
      </w:r>
      <w:r>
        <w:rPr>
          <w:rFonts w:hint="eastAsia" w:ascii="仿宋" w:hAnsi="仿宋" w:eastAsia="仿宋" w:cs="仿宋"/>
          <w:color w:val="auto"/>
          <w:sz w:val="32"/>
          <w:szCs w:val="32"/>
        </w:rPr>
        <w:t>信息数据统计期限为：</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1月1日—</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12月31日。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宋体"/>
          <w:color w:val="auto"/>
          <w:sz w:val="32"/>
          <w:szCs w:val="32"/>
        </w:rPr>
      </w:pPr>
      <w:r>
        <w:rPr>
          <w:rFonts w:hint="eastAsia" w:ascii="黑体" w:hAnsi="黑体" w:eastAsia="黑体" w:cs="宋体"/>
          <w:color w:val="auto"/>
          <w:sz w:val="32"/>
          <w:szCs w:val="32"/>
        </w:rPr>
        <w:t>一、总体情况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地区农业农村局</w:t>
      </w:r>
      <w:r>
        <w:rPr>
          <w:rFonts w:hint="eastAsia" w:ascii="仿宋" w:hAnsi="仿宋" w:eastAsia="仿宋" w:cs="仿宋"/>
          <w:color w:val="auto"/>
          <w:sz w:val="32"/>
          <w:szCs w:val="32"/>
          <w:lang w:eastAsia="zh-CN"/>
        </w:rPr>
        <w:t>深入学习</w:t>
      </w:r>
      <w:r>
        <w:rPr>
          <w:rFonts w:hint="eastAsia" w:ascii="仿宋_GB2312" w:hAnsi="仿宋_GB2312" w:eastAsia="仿宋_GB2312" w:cs="仿宋_GB2312"/>
          <w:kern w:val="2"/>
          <w:sz w:val="32"/>
          <w:szCs w:val="32"/>
          <w:highlight w:val="none"/>
          <w:lang w:val="en-US" w:eastAsia="zh-CN" w:bidi="ar-SA"/>
        </w:rPr>
        <w:t>习近平新时代中国特色社会主义思想，</w:t>
      </w:r>
      <w:r>
        <w:rPr>
          <w:rFonts w:hint="default" w:ascii="仿宋_GB2312" w:hAnsi="仿宋_GB2312" w:eastAsia="仿宋_GB2312" w:cs="仿宋_GB2312"/>
          <w:kern w:val="2"/>
          <w:sz w:val="32"/>
          <w:szCs w:val="32"/>
          <w:highlight w:val="none"/>
          <w:lang w:val="en-US" w:eastAsia="zh-CN" w:bidi="ar-SA"/>
        </w:rPr>
        <w:t>全面</w:t>
      </w:r>
      <w:r>
        <w:rPr>
          <w:rFonts w:hint="eastAsia" w:ascii="仿宋_GB2312" w:hAnsi="仿宋_GB2312" w:eastAsia="仿宋_GB2312" w:cs="仿宋_GB2312"/>
          <w:kern w:val="2"/>
          <w:sz w:val="32"/>
          <w:szCs w:val="32"/>
          <w:highlight w:val="none"/>
          <w:lang w:val="en-US" w:eastAsia="zh-CN" w:bidi="ar-SA"/>
        </w:rPr>
        <w:t>贯彻</w:t>
      </w:r>
      <w:r>
        <w:rPr>
          <w:rFonts w:hint="default" w:ascii="仿宋_GB2312" w:hAnsi="仿宋_GB2312" w:eastAsia="仿宋_GB2312" w:cs="仿宋_GB2312"/>
          <w:kern w:val="2"/>
          <w:sz w:val="32"/>
          <w:szCs w:val="32"/>
          <w:highlight w:val="none"/>
          <w:lang w:val="en-US" w:eastAsia="zh-CN" w:bidi="ar-SA"/>
        </w:rPr>
        <w:t>落实党的二十大精神</w:t>
      </w:r>
      <w:r>
        <w:rPr>
          <w:rFonts w:hint="eastAsia" w:ascii="仿宋_GB2312" w:hAnsi="仿宋_GB2312" w:eastAsia="仿宋_GB2312" w:cs="仿宋_GB2312"/>
          <w:kern w:val="2"/>
          <w:sz w:val="32"/>
          <w:szCs w:val="32"/>
          <w:highlight w:val="none"/>
          <w:lang w:val="en-US" w:eastAsia="zh-CN" w:bidi="ar-SA"/>
        </w:rPr>
        <w:t>、深入贯彻</w:t>
      </w:r>
      <w:r>
        <w:rPr>
          <w:rFonts w:hint="default" w:ascii="仿宋_GB2312" w:hAnsi="仿宋_GB2312" w:eastAsia="仿宋_GB2312" w:cs="仿宋_GB2312"/>
          <w:kern w:val="2"/>
          <w:sz w:val="32"/>
          <w:szCs w:val="32"/>
          <w:highlight w:val="none"/>
          <w:lang w:val="en-US" w:eastAsia="zh-CN" w:bidi="ar-SA"/>
        </w:rPr>
        <w:t>中央第</w:t>
      </w:r>
      <w:r>
        <w:rPr>
          <w:rFonts w:hint="eastAsia" w:ascii="仿宋_GB2312" w:hAnsi="仿宋_GB2312" w:eastAsia="仿宋_GB2312" w:cs="仿宋_GB2312"/>
          <w:kern w:val="2"/>
          <w:sz w:val="32"/>
          <w:szCs w:val="32"/>
          <w:highlight w:val="none"/>
          <w:lang w:val="en-US" w:eastAsia="zh-CN" w:bidi="ar-SA"/>
        </w:rPr>
        <w:t>三</w:t>
      </w:r>
      <w:r>
        <w:rPr>
          <w:rFonts w:hint="default" w:ascii="仿宋_GB2312" w:hAnsi="仿宋_GB2312" w:eastAsia="仿宋_GB2312" w:cs="仿宋_GB2312"/>
          <w:kern w:val="2"/>
          <w:sz w:val="32"/>
          <w:szCs w:val="32"/>
          <w:highlight w:val="none"/>
          <w:lang w:val="en-US" w:eastAsia="zh-CN" w:bidi="ar-SA"/>
        </w:rPr>
        <w:t>次新疆工作座谈会</w:t>
      </w:r>
      <w:r>
        <w:rPr>
          <w:rFonts w:hint="eastAsia" w:ascii="仿宋_GB2312" w:hAnsi="仿宋_GB2312" w:eastAsia="仿宋_GB2312" w:cs="仿宋_GB2312"/>
          <w:kern w:val="2"/>
          <w:sz w:val="32"/>
          <w:szCs w:val="32"/>
          <w:highlight w:val="none"/>
          <w:lang w:val="en-US" w:eastAsia="zh-CN" w:bidi="ar-SA"/>
        </w:rPr>
        <w:t>精神和习近平总书记关于新疆工作的系列重要讲话精神，</w:t>
      </w:r>
      <w:r>
        <w:rPr>
          <w:rFonts w:hint="eastAsia" w:ascii="仿宋" w:hAnsi="仿宋" w:eastAsia="仿宋" w:cs="仿宋"/>
          <w:color w:val="auto"/>
          <w:sz w:val="32"/>
          <w:szCs w:val="32"/>
          <w:lang w:eastAsia="zh-CN"/>
        </w:rPr>
        <w:t>贯彻落实《中华人民共和国政府信息公开条例》，坚持“公开为常态、不公开为例外”原则，严格执行政府信息公开条例及相关配套制度，推进行政行为和政务服务全过程公开，保障人民群众知情权、参与权、表达权、监督权，打造法治、创新、廉洁和服务型机关，为全地区农业农村经济发展创造了良好环境氛围。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sz w:val="32"/>
          <w:szCs w:val="32"/>
          <w:lang w:val="en-US" w:eastAsia="zh-CN" w:bidi="ar-SA"/>
          <w14:textFill>
            <w14:solidFill>
              <w14:schemeClr w14:val="tx1"/>
            </w14:solidFill>
          </w14:textFill>
        </w:rPr>
      </w:pPr>
      <w:r>
        <w:rPr>
          <w:rFonts w:hint="eastAsia" w:ascii="楷体_GB2312" w:hAnsi="楷体_GB2312" w:eastAsia="楷体_GB2312" w:cs="楷体"/>
          <w:b w:val="0"/>
          <w:bCs w:val="0"/>
          <w:sz w:val="32"/>
          <w:szCs w:val="32"/>
          <w:lang w:val="en-US" w:eastAsia="zh-CN"/>
        </w:rPr>
        <w:t>（一）主动公开情况。</w:t>
      </w:r>
      <w:r>
        <w:rPr>
          <w:rFonts w:hint="eastAsia" w:ascii="仿宋" w:hAnsi="仿宋" w:eastAsia="仿宋" w:cs="仿宋"/>
          <w:b/>
          <w:bCs w:val="0"/>
          <w:color w:val="auto"/>
          <w:kern w:val="2"/>
          <w:sz w:val="32"/>
          <w:szCs w:val="32"/>
          <w:lang w:val="en-US" w:eastAsia="zh-CN" w:bidi="ar-SA"/>
        </w:rPr>
        <w:t>一是</w:t>
      </w:r>
      <w:r>
        <w:rPr>
          <w:rFonts w:hint="eastAsia" w:ascii="仿宋" w:hAnsi="仿宋" w:eastAsia="仿宋" w:cs="仿宋"/>
          <w:b w:val="0"/>
          <w:bCs/>
          <w:color w:val="auto"/>
          <w:kern w:val="2"/>
          <w:sz w:val="32"/>
          <w:szCs w:val="32"/>
          <w:lang w:val="en-US" w:eastAsia="zh-CN" w:bidi="ar-SA"/>
        </w:rPr>
        <w:t>进一步梳理完善了涉农行政许可、行政处罚、行政检查等服务事项，在新疆政务服务网站对和田地区农业农村局权责事项清单进行了修正、完善、公示；在和田地区行政公署网主动公开本机关机构职责、负责人、联系电话、办公地址等，自觉接受社会各界群众的监督；主动公开地区本级 30项行政处罚案件、</w:t>
      </w:r>
      <w:r>
        <w:rPr>
          <w:rFonts w:hint="eastAsia" w:ascii="仿宋" w:hAnsi="仿宋" w:eastAsia="仿宋" w:cs="仿宋"/>
          <w:b w:val="0"/>
          <w:bCs/>
          <w:color w:val="auto"/>
          <w:kern w:val="2"/>
          <w:sz w:val="32"/>
          <w:szCs w:val="32"/>
          <w:lang w:val="en-US" w:eastAsia="zh-CN" w:bidi="ar-SA"/>
        </w:rPr>
        <w:fldChar w:fldCharType="begin"/>
      </w:r>
      <w:r>
        <w:rPr>
          <w:rFonts w:hint="eastAsia" w:ascii="仿宋" w:hAnsi="仿宋" w:eastAsia="仿宋" w:cs="仿宋"/>
          <w:b w:val="0"/>
          <w:bCs/>
          <w:color w:val="auto"/>
          <w:kern w:val="2"/>
          <w:sz w:val="32"/>
          <w:szCs w:val="32"/>
          <w:lang w:val="en-US" w:eastAsia="zh-CN" w:bidi="ar-SA"/>
        </w:rPr>
        <w:instrText xml:space="preserve"> HYPERLINK "https://www.xjht.gov.cn/article/show.php?itemid=293808" \o "涉农补贴领域基层政务公开标准目录" \t "https://www.xjht.gov.cn/article/_blank" </w:instrText>
      </w:r>
      <w:r>
        <w:rPr>
          <w:rFonts w:hint="eastAsia" w:ascii="仿宋" w:hAnsi="仿宋" w:eastAsia="仿宋" w:cs="仿宋"/>
          <w:b w:val="0"/>
          <w:bCs/>
          <w:color w:val="auto"/>
          <w:kern w:val="2"/>
          <w:sz w:val="32"/>
          <w:szCs w:val="32"/>
          <w:lang w:val="en-US" w:eastAsia="zh-CN" w:bidi="ar-SA"/>
        </w:rPr>
        <w:fldChar w:fldCharType="separate"/>
      </w:r>
      <w:r>
        <w:rPr>
          <w:rFonts w:hint="eastAsia" w:ascii="仿宋" w:hAnsi="仿宋" w:eastAsia="仿宋" w:cs="仿宋"/>
          <w:b w:val="0"/>
          <w:bCs/>
          <w:color w:val="auto"/>
          <w:kern w:val="2"/>
          <w:sz w:val="32"/>
          <w:szCs w:val="32"/>
          <w:lang w:val="en-US" w:eastAsia="zh-CN" w:bidi="ar-SA"/>
        </w:rPr>
        <w:t>涉农补贴领域基层政务公开标准目录</w:t>
      </w:r>
      <w:r>
        <w:rPr>
          <w:rFonts w:hint="eastAsia" w:ascii="仿宋" w:hAnsi="仿宋" w:eastAsia="仿宋" w:cs="仿宋"/>
          <w:b w:val="0"/>
          <w:bCs/>
          <w:color w:val="auto"/>
          <w:kern w:val="2"/>
          <w:sz w:val="32"/>
          <w:szCs w:val="32"/>
          <w:lang w:val="en-US" w:eastAsia="zh-CN" w:bidi="ar-SA"/>
        </w:rPr>
        <w:fldChar w:fldCharType="end"/>
      </w:r>
      <w:r>
        <w:rPr>
          <w:rFonts w:hint="eastAsia" w:ascii="仿宋" w:hAnsi="仿宋" w:eastAsia="仿宋" w:cs="仿宋"/>
          <w:b w:val="0"/>
          <w:bCs/>
          <w:color w:val="auto"/>
          <w:kern w:val="2"/>
          <w:sz w:val="32"/>
          <w:szCs w:val="32"/>
          <w:lang w:val="en-US" w:eastAsia="zh-CN" w:bidi="ar-SA"/>
        </w:rPr>
        <w:t>、</w:t>
      </w:r>
      <w:r>
        <w:rPr>
          <w:rFonts w:hint="eastAsia" w:ascii="仿宋" w:hAnsi="仿宋" w:eastAsia="仿宋" w:cs="仿宋"/>
          <w:b w:val="0"/>
          <w:bCs/>
          <w:color w:val="auto"/>
          <w:kern w:val="2"/>
          <w:sz w:val="32"/>
          <w:szCs w:val="32"/>
          <w:lang w:val="en-US" w:eastAsia="zh-CN" w:bidi="ar-SA"/>
        </w:rPr>
        <w:fldChar w:fldCharType="begin"/>
      </w:r>
      <w:r>
        <w:rPr>
          <w:rFonts w:hint="eastAsia" w:ascii="仿宋" w:hAnsi="仿宋" w:eastAsia="仿宋" w:cs="仿宋"/>
          <w:b w:val="0"/>
          <w:bCs/>
          <w:color w:val="auto"/>
          <w:kern w:val="2"/>
          <w:sz w:val="32"/>
          <w:szCs w:val="32"/>
          <w:lang w:val="en-US" w:eastAsia="zh-CN" w:bidi="ar-SA"/>
        </w:rPr>
        <w:instrText xml:space="preserve"> HYPERLINK "https://www.xjht.gov.cn/article/show.php?itemid=305407" \o "和田地区农业农村局政府信息公开指南" \t "https://www.xjht.gov.cn/article/_blank" </w:instrText>
      </w:r>
      <w:r>
        <w:rPr>
          <w:rFonts w:hint="eastAsia" w:ascii="仿宋" w:hAnsi="仿宋" w:eastAsia="仿宋" w:cs="仿宋"/>
          <w:b w:val="0"/>
          <w:bCs/>
          <w:color w:val="auto"/>
          <w:kern w:val="2"/>
          <w:sz w:val="32"/>
          <w:szCs w:val="32"/>
          <w:lang w:val="en-US" w:eastAsia="zh-CN" w:bidi="ar-SA"/>
        </w:rPr>
        <w:fldChar w:fldCharType="separate"/>
      </w:r>
      <w:r>
        <w:rPr>
          <w:rFonts w:hint="eastAsia" w:ascii="仿宋" w:hAnsi="仿宋" w:eastAsia="仿宋" w:cs="仿宋"/>
          <w:b w:val="0"/>
          <w:bCs/>
          <w:color w:val="auto"/>
          <w:kern w:val="2"/>
          <w:sz w:val="32"/>
          <w:szCs w:val="32"/>
          <w:lang w:val="en-US" w:eastAsia="zh-CN" w:bidi="ar-SA"/>
        </w:rPr>
        <w:t>和田地区农业农村局政府信息公开指南</w:t>
      </w:r>
      <w:r>
        <w:rPr>
          <w:rFonts w:hint="eastAsia" w:ascii="仿宋" w:hAnsi="仿宋" w:eastAsia="仿宋" w:cs="仿宋"/>
          <w:b w:val="0"/>
          <w:bCs/>
          <w:color w:val="auto"/>
          <w:kern w:val="2"/>
          <w:sz w:val="32"/>
          <w:szCs w:val="32"/>
          <w:lang w:val="en-US" w:eastAsia="zh-CN" w:bidi="ar-SA"/>
        </w:rPr>
        <w:fldChar w:fldCharType="end"/>
      </w:r>
      <w:r>
        <w:rPr>
          <w:rFonts w:hint="eastAsia" w:ascii="仿宋" w:hAnsi="仿宋" w:eastAsia="仿宋" w:cs="仿宋"/>
          <w:b w:val="0"/>
          <w:bCs/>
          <w:color w:val="auto"/>
          <w:kern w:val="2"/>
          <w:sz w:val="32"/>
          <w:szCs w:val="32"/>
          <w:lang w:val="en-US" w:eastAsia="zh-CN" w:bidi="ar-SA"/>
        </w:rPr>
        <w:t>、行政许可和其他对外管理服务办理结果等。</w:t>
      </w:r>
      <w:r>
        <w:rPr>
          <w:rFonts w:hint="eastAsia" w:ascii="仿宋" w:hAnsi="仿宋" w:eastAsia="仿宋" w:cs="仿宋"/>
          <w:b/>
          <w:bCs w:val="0"/>
          <w:color w:val="auto"/>
          <w:kern w:val="2"/>
          <w:sz w:val="32"/>
          <w:szCs w:val="32"/>
          <w:lang w:val="en-US" w:eastAsia="zh-CN" w:bidi="ar-SA"/>
        </w:rPr>
        <w:t>二是</w:t>
      </w:r>
      <w:r>
        <w:rPr>
          <w:rFonts w:hint="eastAsia" w:ascii="仿宋" w:hAnsi="仿宋" w:eastAsia="仿宋" w:cs="仿宋"/>
          <w:b w:val="0"/>
          <w:bCs/>
          <w:i w:val="0"/>
          <w:iCs w:val="0"/>
          <w:caps w:val="0"/>
          <w:color w:val="auto"/>
          <w:spacing w:val="0"/>
          <w:sz w:val="32"/>
          <w:szCs w:val="32"/>
          <w:shd w:val="clear" w:fill="FFFFFF"/>
        </w:rPr>
        <w:t>建立并规</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范“双随机</w:t>
      </w:r>
      <w:r>
        <w:rPr>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一公开”制度。</w:t>
      </w:r>
      <w:r>
        <w:rPr>
          <w:rFonts w:hint="eastAsia" w:ascii="仿宋_GB2312" w:hAnsi="仿宋_GB2312" w:eastAsia="仿宋_GB2312" w:cs="仿宋_GB2312"/>
          <w:b w:val="0"/>
          <w:bCs w:val="0"/>
          <w:color w:val="000000" w:themeColor="text1"/>
          <w:sz w:val="32"/>
          <w:szCs w:val="32"/>
          <w:lang w:val="en-US" w:eastAsia="zh-CN" w:bidi="ar-SA"/>
          <w14:textFill>
            <w14:solidFill>
              <w14:schemeClr w14:val="tx1"/>
            </w14:solidFill>
          </w14:textFill>
        </w:rPr>
        <w:t>实行“一单两库一表一细则”管理，目前“双随机、一公开”监管平台涉农检查清单、执法检查人员97人录入实现全覆盖；开展随机抽查监管企业1312家，完成年度计划。</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楷体_GB2312" w:hAnsi="楷体_GB2312" w:eastAsia="楷体_GB2312" w:cs="楷体"/>
          <w:b w:val="0"/>
          <w:bCs w:val="0"/>
          <w:sz w:val="32"/>
          <w:szCs w:val="32"/>
          <w:lang w:val="en-US" w:eastAsia="zh-CN"/>
        </w:rPr>
        <w:t>（二）依申请公开情况。</w:t>
      </w:r>
      <w:r>
        <w:rPr>
          <w:rFonts w:hint="eastAsia" w:ascii="仿宋_GB2312" w:hAnsi="仿宋_GB2312" w:eastAsia="仿宋_GB2312" w:cs="仿宋_GB2312"/>
          <w:color w:val="000000"/>
          <w:kern w:val="0"/>
          <w:sz w:val="32"/>
          <w:szCs w:val="32"/>
          <w:shd w:val="clear" w:color="auto" w:fill="FFFFFF"/>
          <w:lang w:eastAsia="zh-CN" w:bidi="ar"/>
        </w:rPr>
        <w:t>地区农业农村局畅通受理渠道，争取精准规范答复意见，进一步提升依申请公开办理质量。</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2023年度未收到公</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民、法人和其他组织提交的政府信息公开申请</w:t>
      </w:r>
      <w:r>
        <w:rPr>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
          <w:b w:val="0"/>
          <w:bCs w:val="0"/>
          <w:sz w:val="32"/>
          <w:szCs w:val="32"/>
          <w:lang w:val="en-US" w:eastAsia="zh-CN"/>
        </w:rPr>
        <w:t>（三）政府信息管理情况。</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严格落实拟公开的政府信息审核、发布和更新机制，并由专人负责信息审核和发布，进一步做好政府信息规范管理。</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default"/>
          <w:color w:val="000000" w:themeColor="text1"/>
          <w:lang w:val="en-US" w:eastAsia="zh-CN"/>
          <w14:textFill>
            <w14:solidFill>
              <w14:schemeClr w14:val="tx1"/>
            </w14:solidFill>
          </w14:textFill>
        </w:rPr>
      </w:pPr>
      <w:r>
        <w:rPr>
          <w:rFonts w:hint="eastAsia" w:ascii="楷体_GB2312" w:hAnsi="楷体_GB2312" w:eastAsia="楷体_GB2312" w:cs="楷体"/>
          <w:b w:val="0"/>
          <w:bCs w:val="0"/>
          <w:sz w:val="32"/>
          <w:szCs w:val="32"/>
          <w:lang w:val="en-US" w:eastAsia="zh-CN"/>
        </w:rPr>
        <w:t>（四）政府信息公开平台建设。</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地区农业农村局未建设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门户网站</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，主要</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通过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新疆政务服务网、</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和田地区行政公署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网站“政务动态”、 “通知公告”、“网上服务”等栏目公开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相关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政府信息。</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楷体_GB2312" w:hAnsi="楷体_GB2312" w:eastAsia="楷体_GB2312" w:cs="楷体"/>
          <w:b w:val="0"/>
          <w:bCs w:val="0"/>
          <w:sz w:val="32"/>
          <w:szCs w:val="32"/>
          <w:lang w:val="en-US" w:eastAsia="zh-CN"/>
        </w:rPr>
        <w:t>（五）监督保障情况。</w:t>
      </w:r>
      <w:r>
        <w:rPr>
          <w:rFonts w:hint="eastAsia" w:ascii="仿宋" w:hAnsi="仿宋" w:eastAsia="仿宋" w:cs="仿宋"/>
          <w:b w:val="0"/>
          <w:i w:val="0"/>
          <w:iCs w:val="0"/>
          <w:caps w:val="0"/>
          <w:color w:val="000000" w:themeColor="text1"/>
          <w:spacing w:val="0"/>
          <w:kern w:val="0"/>
          <w:sz w:val="32"/>
          <w:szCs w:val="32"/>
          <w:shd w:val="clear" w:fill="FFFFFF"/>
          <w:lang w:val="en-US" w:eastAsia="zh-CN" w:bidi="ar-SA"/>
          <w14:textFill>
            <w14:solidFill>
              <w14:schemeClr w14:val="tx1"/>
            </w14:solidFill>
          </w14:textFill>
        </w:rPr>
        <w:t>印发《和田地区农业农村局2023年政务公开工作要点》，制定政务公开重点任务清单，开展经常性检查与重点专项检查，定期开展“回头看”工作，确保政务公开工作落到实处。组织相关工作人员，认真学习《中华人民共和国政府信息公开条例》，不断提高工作人员对政府信息公开工作的认识和做好信息公开工作的能力水平。</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宋体"/>
          <w:color w:val="auto"/>
          <w:sz w:val="32"/>
          <w:szCs w:val="32"/>
        </w:rPr>
      </w:pPr>
      <w:r>
        <w:rPr>
          <w:rFonts w:hint="eastAsia" w:ascii="黑体" w:hAnsi="黑体" w:eastAsia="黑体" w:cs="宋体"/>
          <w:color w:val="auto"/>
          <w:sz w:val="32"/>
          <w:szCs w:val="32"/>
        </w:rPr>
        <w:t>二、主动公开政府信息情况</w: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842"/>
        <w:gridCol w:w="164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本年制</w:t>
            </w:r>
            <w:r>
              <w:rPr>
                <w:rFonts w:hint="eastAsia" w:ascii="仿宋_GB2312" w:hAnsi="仿宋_GB2312" w:eastAsia="仿宋_GB2312" w:cs="宋体"/>
                <w:b/>
                <w:bCs/>
                <w:color w:val="auto"/>
                <w:kern w:val="0"/>
                <w:sz w:val="21"/>
                <w:szCs w:val="21"/>
                <w:lang w:eastAsia="zh-CN" w:bidi="ar"/>
              </w:rPr>
              <w:t>发件数</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w:t>
            </w:r>
            <w:r>
              <w:rPr>
                <w:rFonts w:hint="eastAsia" w:ascii="仿宋_GB2312" w:hAnsi="仿宋_GB2312" w:eastAsia="仿宋_GB2312" w:cs="宋体"/>
                <w:b/>
                <w:bCs/>
                <w:color w:val="auto"/>
                <w:kern w:val="0"/>
                <w:sz w:val="21"/>
                <w:szCs w:val="21"/>
                <w:lang w:eastAsia="zh-CN" w:bidi="ar"/>
              </w:rPr>
              <w:t>废止件数</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规章</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规范性文件</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cs" w:ascii="仿宋_GB2312" w:hAnsi="仿宋_GB2312" w:eastAsia="仿宋_GB2312" w:cs="Microsoft Uighur"/>
                <w:color w:val="auto"/>
                <w:sz w:val="21"/>
                <w:szCs w:val="21"/>
                <w:lang w:val="en-US" w:eastAsia="zh-CN" w:bidi="ug-CN"/>
              </w:rPr>
            </w:pPr>
            <w:r>
              <w:rPr>
                <w:rFonts w:hint="eastAsia" w:ascii="仿宋_GB2312" w:hAnsi="仿宋_GB2312" w:eastAsia="仿宋_GB2312" w:cs="Microsoft Uighur"/>
                <w:color w:val="auto"/>
                <w:sz w:val="21"/>
                <w:szCs w:val="21"/>
                <w:rtl w:val="0"/>
                <w:lang w:val="en-US" w:eastAsia="zh-CN" w:bidi="ug-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行政许可</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Microsoft Uighur"/>
                <w:color w:val="auto"/>
                <w:sz w:val="21"/>
                <w:szCs w:val="21"/>
                <w:lang w:val="en-US" w:eastAsia="zh-CN" w:bidi="ug-CN"/>
              </w:rPr>
            </w:pPr>
            <w:r>
              <w:rPr>
                <w:rFonts w:hint="eastAsia" w:ascii="仿宋_GB2312" w:hAnsi="仿宋_GB2312" w:eastAsia="仿宋_GB2312" w:cs="Microsoft Uighur"/>
                <w:color w:val="auto"/>
                <w:sz w:val="21"/>
                <w:szCs w:val="21"/>
                <w:rtl w:val="0"/>
                <w:lang w:val="en-US" w:eastAsia="zh-CN" w:bidi="ug-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行政处罚</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行政强制</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行政事业性收费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bl>
    <w:p>
      <w:pPr>
        <w:pStyle w:val="7"/>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宋体"/>
          <w:color w:val="auto"/>
          <w:sz w:val="32"/>
          <w:szCs w:val="30"/>
        </w:rPr>
      </w:pPr>
      <w:r>
        <w:rPr>
          <w:rFonts w:hint="eastAsia" w:ascii="黑体" w:hAnsi="黑体" w:eastAsia="黑体" w:cs="宋体"/>
          <w:color w:val="auto"/>
          <w:sz w:val="32"/>
          <w:szCs w:val="30"/>
        </w:rPr>
        <w:t>三、收到和处理政府信息公开申请情况</w:t>
      </w:r>
    </w:p>
    <w:tbl>
      <w:tblPr>
        <w:tblStyle w:val="9"/>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792"/>
        <w:gridCol w:w="3643"/>
        <w:gridCol w:w="456"/>
        <w:gridCol w:w="707"/>
        <w:gridCol w:w="707"/>
        <w:gridCol w:w="706"/>
        <w:gridCol w:w="707"/>
        <w:gridCol w:w="465"/>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4849"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（本列数据的勾稽关系为：第一项加第二项之和，等于第三项加第四项之和）</w:t>
            </w:r>
          </w:p>
        </w:tc>
        <w:tc>
          <w:tcPr>
            <w:tcW w:w="4099" w:type="dxa"/>
            <w:gridSpan w:val="7"/>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自然人</w:t>
            </w:r>
          </w:p>
        </w:tc>
        <w:tc>
          <w:tcPr>
            <w:tcW w:w="329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法人或其他组织</w:t>
            </w:r>
          </w:p>
        </w:tc>
        <w:tc>
          <w:tcPr>
            <w:tcW w:w="35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商业企业</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科研机构</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社会公益组织</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法律服务机构</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其他</w:t>
            </w:r>
          </w:p>
        </w:tc>
        <w:tc>
          <w:tcPr>
            <w:tcW w:w="35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一、本年新收政府信息公开申请数量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二、上年结转政府信息公开申请数量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1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三、本年度办理结果</w:t>
            </w: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（一）予以公开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（二）部分公开（区分处理的，只计这一情形，不计其他情形）</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（三）不予公开</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1.属于国家秘密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2.其他法律行政法规禁止公开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3.危及“三安全一稳定”</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4.保护第三方合法权益</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5.属于三类内部事务信息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6.属于四类过程性信息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7.属于行政执法案卷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8.属于行政查询事项</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（四）无法提供</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1.本机关不掌握相关政府信息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2.没有现成信息需要另行制作</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3.补正后申请内容仍不明确</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（五）不予处理</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1.信访举报投诉类申请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3.要求提供公开出版物</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4.无正当理由大量反复申请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bottom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Borders>
              <w:bottom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5.要求行政机关确认或重新出具已获取信息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（六）其他处理</w:t>
            </w:r>
          </w:p>
        </w:tc>
        <w:tc>
          <w:tcPr>
            <w:tcW w:w="3643" w:type="dxa"/>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1.申请人无正当理由逾期不补正、行政机关不再处理其政府信息公开申请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2.申请人逾期未按收费通知要求缴纳费用、行政机关不再处理其政府信息公开申请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3.其他</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435" w:type="dxa"/>
            <w:gridSpan w:val="2"/>
            <w:tcBorders>
              <w:top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（七）总计</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四、结转下年度继续办理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bl>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四、政府信息公开行政复议、行政诉讼情况</w:t>
      </w:r>
    </w:p>
    <w:tbl>
      <w:tblPr>
        <w:tblStyle w:val="9"/>
        <w:tblW w:w="90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452"/>
        <w:gridCol w:w="680"/>
        <w:gridCol w:w="680"/>
        <w:gridCol w:w="680"/>
        <w:gridCol w:w="622"/>
        <w:gridCol w:w="408"/>
        <w:gridCol w:w="648"/>
        <w:gridCol w:w="648"/>
        <w:gridCol w:w="660"/>
        <w:gridCol w:w="636"/>
        <w:gridCol w:w="3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02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行政复议</w:t>
            </w:r>
          </w:p>
        </w:tc>
        <w:tc>
          <w:tcPr>
            <w:tcW w:w="605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总计</w:t>
            </w:r>
          </w:p>
        </w:tc>
        <w:tc>
          <w:tcPr>
            <w:tcW w:w="307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未经复议直接起诉</w:t>
            </w:r>
          </w:p>
        </w:tc>
        <w:tc>
          <w:tcPr>
            <w:tcW w:w="29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45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8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22"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0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总计</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39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9" w:hRule="atLeast"/>
        </w:trPr>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4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40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39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宋体"/>
                <w:sz w:val="24"/>
                <w:szCs w:val="24"/>
              </w:rPr>
            </w:pPr>
            <w:r>
              <w:rPr>
                <w:rFonts w:hint="eastAsia" w:ascii="黑体" w:hAnsi="宋体" w:eastAsia="黑体" w:cs="黑体"/>
                <w:kern w:val="0"/>
                <w:sz w:val="20"/>
                <w:szCs w:val="20"/>
              </w:rPr>
              <w:t>0</w:t>
            </w:r>
          </w:p>
        </w:tc>
      </w:tr>
    </w:tbl>
    <w:p>
      <w:pPr>
        <w:keepNext w:val="0"/>
        <w:keepLines w:val="0"/>
        <w:pageBreakBefore w:val="0"/>
        <w:kinsoku/>
        <w:overflowPunct/>
        <w:topLinePunct w:val="0"/>
        <w:autoSpaceDE/>
        <w:autoSpaceDN/>
        <w:bidi w:val="0"/>
        <w:adjustRightInd/>
        <w:snapToGrid/>
        <w:spacing w:line="560" w:lineRule="exact"/>
        <w:ind w:firstLine="636" w:firstLineChars="199"/>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i w:val="0"/>
          <w:iCs w:val="0"/>
          <w:caps w:val="0"/>
          <w:color w:val="auto"/>
          <w:spacing w:val="0"/>
          <w:kern w:val="0"/>
          <w:sz w:val="32"/>
          <w:szCs w:val="32"/>
          <w:shd w:val="clear" w:color="080000" w:fill="FFFFFF"/>
          <w:lang w:val="en-US" w:eastAsia="zh-CN" w:bidi="ar-SA"/>
        </w:rPr>
        <w:t>政府信息公开的深度和广度不够，涉及面较为单一；同时，对政策解读和热点回应关切力度有待进一步加大。</w:t>
      </w:r>
      <w:r>
        <w:rPr>
          <w:rFonts w:hint="eastAsia" w:ascii="仿宋" w:hAnsi="仿宋" w:eastAsia="仿宋" w:cs="仿宋"/>
          <w:color w:val="auto"/>
          <w:kern w:val="2"/>
          <w:sz w:val="32"/>
          <w:szCs w:val="32"/>
          <w:lang w:val="en-US" w:eastAsia="zh-CN" w:bidi="ar-SA"/>
        </w:rPr>
        <w:t>今后，我局将继续认真贯彻落实《中华人民共和国政府信息公开条例》及自治区、地区有关做好政府信息公开工作的各项要求，围绕群众关心的热点问题持续深化信息公开内容，努力提升我局政府信息公开工作水平。</w:t>
      </w:r>
    </w:p>
    <w:p>
      <w:pPr>
        <w:keepNext w:val="0"/>
        <w:keepLines w:val="0"/>
        <w:pageBreakBefore w:val="0"/>
        <w:kinsoku/>
        <w:overflowPunct/>
        <w:topLinePunct w:val="0"/>
        <w:autoSpaceDE/>
        <w:autoSpaceDN/>
        <w:bidi w:val="0"/>
        <w:adjustRightInd/>
        <w:snapToGrid/>
        <w:spacing w:line="560" w:lineRule="exact"/>
        <w:ind w:firstLine="636" w:firstLineChars="199"/>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本机关按照《国务院办公厅关于印发〈政府信息公开信息处理费管理办法〉的通知》（国办函〔2020〕109号）规定的按件、按量收费标准，本年度没有产生信息公开处理费。</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p>
    <w:p>
      <w:pPr>
        <w:pStyle w:val="8"/>
        <w:keepNext w:val="0"/>
        <w:keepLines w:val="0"/>
        <w:pageBreakBefore w:val="0"/>
        <w:kinsoku/>
        <w:overflowPunct/>
        <w:topLinePunct w:val="0"/>
        <w:autoSpaceDE/>
        <w:autoSpaceDN/>
        <w:bidi w:val="0"/>
        <w:adjustRightInd/>
        <w:snapToGrid/>
        <w:spacing w:line="560" w:lineRule="exact"/>
        <w:textAlignment w:val="auto"/>
        <w:rPr>
          <w:rFonts w:hint="eastAsia" w:ascii="仿宋_GB2312" w:hAnsi="宋体" w:eastAsia="仿宋_GB2312" w:cs="宋体"/>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left="0" w:leftChars="0" w:firstLine="4198" w:firstLineChars="1312"/>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和田地区农业农村局</w:t>
      </w:r>
    </w:p>
    <w:p>
      <w:pPr>
        <w:keepNext w:val="0"/>
        <w:keepLines w:val="0"/>
        <w:pageBreakBefore w:val="0"/>
        <w:kinsoku/>
        <w:overflowPunct/>
        <w:topLinePunct w:val="0"/>
        <w:autoSpaceDE/>
        <w:autoSpaceDN/>
        <w:bidi w:val="0"/>
        <w:adjustRightInd/>
        <w:snapToGrid/>
        <w:spacing w:line="560" w:lineRule="exact"/>
        <w:ind w:left="0" w:leftChars="0" w:firstLine="4198" w:firstLineChars="1312"/>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2024年1月16日</w:t>
      </w:r>
    </w:p>
    <w:p>
      <w:pPr>
        <w:keepNext w:val="0"/>
        <w:keepLines w:val="0"/>
        <w:pageBreakBefore w:val="0"/>
        <w:kinsoku/>
        <w:overflowPunct/>
        <w:topLinePunct w:val="0"/>
        <w:autoSpaceDE/>
        <w:autoSpaceDN/>
        <w:bidi w:val="0"/>
        <w:adjustRightInd/>
        <w:snapToGrid/>
        <w:spacing w:line="560" w:lineRule="exact"/>
        <w:textAlignment w:val="auto"/>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UKK TZK2">
    <w:altName w:val="方正书宋_GBK"/>
    <w:panose1 w:val="00000000000000000000"/>
    <w:charset w:val="8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Uighur">
    <w:altName w:val="FreeSerif"/>
    <w:panose1 w:val="02000000000000000000"/>
    <w:charset w:val="00"/>
    <w:family w:val="auto"/>
    <w:pitch w:val="default"/>
    <w:sig w:usb0="00000000" w:usb1="00000000" w:usb2="00000008" w:usb3="00000000" w:csb0="00000041" w:csb1="200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002232"/>
      <w:docPartObj>
        <w:docPartGallery w:val="autotext"/>
      </w:docPartObj>
    </w:sdtPr>
    <w:sdtContent>
      <w:p>
        <w:pPr>
          <w:pStyle w:val="6"/>
          <w:jc w:val="center"/>
        </w:pPr>
        <w:r>
          <w:fldChar w:fldCharType="begin"/>
        </w:r>
        <w:r>
          <w:instrText xml:space="preserve">PAGE   \* MERGEFORMAT</w:instrText>
        </w:r>
        <w:r>
          <w:fldChar w:fldCharType="separate"/>
        </w:r>
        <w:r>
          <w:rPr>
            <w:lang w:val="zh-CN"/>
          </w:rPr>
          <w:t>12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YzNhMWZmN2U3OWI0NzI5NmQ3ZDMxNDE3NWY2YWYifQ=="/>
  </w:docVars>
  <w:rsids>
    <w:rsidRoot w:val="00000000"/>
    <w:rsid w:val="0B681CC4"/>
    <w:rsid w:val="28456A3F"/>
    <w:rsid w:val="58053178"/>
    <w:rsid w:val="63FA34D3"/>
    <w:rsid w:val="65FD1FF8"/>
    <w:rsid w:val="7EFF97BD"/>
    <w:rsid w:val="DFB74674"/>
    <w:rsid w:val="EB7D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4"/>
    <w:qFormat/>
    <w:uiPriority w:val="0"/>
    <w:pPr>
      <w:spacing w:line="574" w:lineRule="exact"/>
      <w:ind w:left="400" w:hanging="400" w:hangingChars="400"/>
    </w:pPr>
    <w:rPr>
      <w:rFonts w:ascii="UKK TZK2" w:hAnsi="UKK TZK2" w:eastAsia="仿宋_GB2312"/>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5"/>
    <w:next w:val="5"/>
    <w:unhideWhenUsed/>
    <w:qFormat/>
    <w:uiPriority w:val="0"/>
    <w:pPr>
      <w:ind w:firstLine="420" w:firstLineChars="200"/>
    </w:pPr>
    <w:rPr>
      <w:rFonts w:hint="eastAsia"/>
      <w:sz w:val="32"/>
    </w:rPr>
  </w:style>
  <w:style w:type="character" w:styleId="11">
    <w:name w:val="Hyperlink"/>
    <w:basedOn w:val="10"/>
    <w:qFormat/>
    <w:uiPriority w:val="0"/>
    <w:rPr>
      <w:color w:val="0000FF"/>
      <w:u w:val="single"/>
    </w:rPr>
  </w:style>
  <w:style w:type="paragraph" w:customStyle="1" w:styleId="12">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2024-01-10T15:43:00Z</dcterms:created>
  <dc:creator>Administrator</dc:creator>
  <cp:lastModifiedBy>user</cp:lastModifiedBy>
  <cp:lastPrinted>2024-01-18T11:23:00Z</cp:lastPrinted>
  <dcterms:modified xsi:type="dcterms:W3CDTF">2025-02-20T10:59:51Z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39D5A6D1C66843F585A6D795C73883EE_13</vt:lpwstr>
  </property>
</Properties>
</file>