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和田地区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行署办公室</w:t>
      </w:r>
      <w:r>
        <w:rPr>
          <w:rFonts w:hint="eastAsia" w:ascii="仿宋" w:hAnsi="仿宋" w:eastAsia="仿宋" w:cs="仿宋"/>
          <w:sz w:val="32"/>
          <w:szCs w:val="32"/>
        </w:rPr>
        <w:t>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sz w:val="32"/>
          <w:szCs w:val="32"/>
        </w:rPr>
        <w:t>政府信息公开工作年度报告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编制工作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sz w:val="32"/>
          <w:szCs w:val="32"/>
        </w:rPr>
        <w:t>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和田地区</w:t>
      </w:r>
      <w:r>
        <w:rPr>
          <w:rFonts w:hint="eastAsia" w:ascii="仿宋" w:hAnsi="仿宋" w:eastAsia="仿宋" w:cs="仿宋"/>
          <w:sz w:val="32"/>
          <w:szCs w:val="32"/>
        </w:rPr>
        <w:t>生态环境局特向社会公布</w:t>
      </w: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年度政府信息公开工作年度报告。全文包括总体情况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主动公开政府信息情况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收到和处理政府信息公开申请情况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政府信息公开行政复议、行政诉讼情况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存在的主要问题及改进情况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其他需要报告的事项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六个</w:t>
      </w:r>
      <w:r>
        <w:rPr>
          <w:rFonts w:hint="eastAsia" w:ascii="仿宋" w:hAnsi="仿宋" w:eastAsia="仿宋" w:cs="仿宋"/>
          <w:sz w:val="32"/>
          <w:szCs w:val="32"/>
        </w:rPr>
        <w:t>方面内容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数据统计期限为</w:t>
      </w: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年1月1日至</w:t>
      </w: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年，我局严格贯彻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年政务公开工作要点》（新政办函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default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，按照相关文件要求，坚持以公开为常态、不公开为例外原则，推进决策公开、执行公开、管理公开、服务公开、结果公开，不断增强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政府信</w:t>
      </w:r>
      <w:r>
        <w:rPr>
          <w:rFonts w:hint="eastAsia" w:ascii="仿宋" w:hAnsi="仿宋" w:eastAsia="仿宋" w:cs="仿宋"/>
          <w:sz w:val="32"/>
          <w:szCs w:val="32"/>
        </w:rPr>
        <w:t>息公开实效，扎实推动全局政府信息公开工作。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  <w:lang w:eastAsia="zh-CN"/>
        </w:rPr>
        <w:t>（一）主动公开情况。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通过政府门户网站、政务微信、政务微博等方式，积极推动机构职能职责、环境质量、行政审批、行政处罚、信访办理等信息主动公开。2022年在各平台共主动公开信息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309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条，其中政府门户网站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条，微信公众号“和田环保”158条，新浪微博“和田生态环境”94条。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为满足公众对政府信息的需求，保障人民群众的知情权，我局高度重视依申请公开工作。2022年未收到政府信息公开申请。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明确由我局环评科牵头负责处理政府信息公开日常工作，各科室、站、队配合全面推进政府信息公开工作。持续梳理规范性文件，2022年我局无新增规范性文件，未发现实施的规范性文件需要清理。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未建设政府网站，主要依托和田地区行政公署网站，及时公开相关政府信息。完善微信公众号“和田环保”、新浪微博“和田生态环境”功能模块，及时发布我地区生态环境各业务和各县市分局工作动态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  <w:lang w:val="en-US" w:eastAsia="zh-CN"/>
        </w:rPr>
        <w:t>（五）监督保障。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环评科牵头负责处理政府信息公开日常工作，各科室、站、队按照职责分工，做好政府信息公开保密审查工作。指导各县市生态环境分局按职责完成政府信息公开目标任务，并将其纳入年度绩效考核考评。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W w:w="93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2448"/>
        <w:gridCol w:w="2163"/>
        <w:gridCol w:w="20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3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DB3E2" w:themeFill="text2" w:themeFillTint="6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第二十条第（一）项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2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本年制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发件数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本年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废止件数</w:t>
            </w:r>
          </w:p>
        </w:tc>
        <w:tc>
          <w:tcPr>
            <w:tcW w:w="2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规章</w:t>
            </w:r>
          </w:p>
        </w:tc>
        <w:tc>
          <w:tcPr>
            <w:tcW w:w="2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2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cs="宋体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</w:rPr>
              <w:t>规范性文件</w:t>
            </w:r>
          </w:p>
        </w:tc>
        <w:tc>
          <w:tcPr>
            <w:tcW w:w="2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3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DB3E2" w:themeFill="text2" w:themeFillTint="6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第二十条第（五）项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</w:rPr>
              <w:t>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行政许可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3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DB3E2" w:themeFill="text2" w:themeFillTint="6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第二十条第（六）项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行政处罚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行政强制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3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8DB3E2" w:themeFill="text2" w:themeFillTint="6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第二十条第（八）项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</w:rPr>
              <w:t>行政事业性收费</w:t>
            </w:r>
          </w:p>
        </w:tc>
        <w:tc>
          <w:tcPr>
            <w:tcW w:w="665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0 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520" w:lineRule="exact"/>
        <w:ind w:left="0" w:right="0" w:firstLine="42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7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49"/>
        <w:gridCol w:w="3288"/>
        <w:gridCol w:w="697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0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5"/>
        <w:tblW w:w="978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8"/>
        <w:gridCol w:w="650"/>
        <w:gridCol w:w="648"/>
        <w:gridCol w:w="710"/>
        <w:gridCol w:w="589"/>
        <w:gridCol w:w="648"/>
        <w:gridCol w:w="649"/>
        <w:gridCol w:w="649"/>
        <w:gridCol w:w="679"/>
        <w:gridCol w:w="649"/>
        <w:gridCol w:w="648"/>
        <w:gridCol w:w="649"/>
        <w:gridCol w:w="650"/>
        <w:gridCol w:w="66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3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行政复议</w:t>
            </w:r>
          </w:p>
        </w:tc>
        <w:tc>
          <w:tcPr>
            <w:tcW w:w="647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7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321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未经复议直接起诉</w:t>
            </w:r>
          </w:p>
        </w:tc>
        <w:tc>
          <w:tcPr>
            <w:tcW w:w="326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6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0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0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0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0</w:t>
            </w:r>
          </w:p>
        </w:tc>
        <w:tc>
          <w:tcPr>
            <w:tcW w:w="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2022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，我局在政府信息公开工作方面取得了一定的成绩，但与公众的需求还存在差距。主要表现为政策解读有待进一步丰富。下一步，我局将进一步强化政策解读，做好相关政策解读的公开工作，不断提升政府信息公开工作的群众满意度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根据《政府信息公开信息处理费管理办法》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，2022年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我局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收取信息处理费的情况。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和田地区生态环境局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2023年1月29日</w:t>
      </w: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jBjMjY5ODU5MDhhY2JmZDk0NjE5OTVjOGJkMmMifQ=="/>
  </w:docVars>
  <w:rsids>
    <w:rsidRoot w:val="00000000"/>
    <w:rsid w:val="06C50937"/>
    <w:rsid w:val="0F1A0778"/>
    <w:rsid w:val="189D7C69"/>
    <w:rsid w:val="202F0388"/>
    <w:rsid w:val="47427A0D"/>
    <w:rsid w:val="668E4BBD"/>
    <w:rsid w:val="66D90FE4"/>
    <w:rsid w:val="7FF9BA09"/>
    <w:rsid w:val="F6552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table" w:styleId="4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默认段落字体1"/>
    <w:semiHidden/>
    <w:qFormat/>
    <w:uiPriority w:val="0"/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2100</Characters>
  <Lines>0</Lines>
  <Paragraphs>0</Paragraphs>
  <TotalTime>7</TotalTime>
  <ScaleCrop>false</ScaleCrop>
  <LinksUpToDate>false</LinksUpToDate>
  <CharactersWithSpaces>2108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2023-01-31T00:53:00Z</dcterms:created>
  <dc:creator>user</dc:creator>
  <cp:lastModifiedBy>user</cp:lastModifiedBy>
  <cp:lastPrinted>2023-01-30T11:12:00Z</cp:lastPrinted>
  <dcterms:modified xsi:type="dcterms:W3CDTF">2025-02-20T10:47:30Z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DBD9D762B2BA410BB8C00119033D7032</vt:lpwstr>
  </property>
</Properties>
</file>