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地区统计局202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本年度报告根据《中华人民共和国政府信息公开条例》（以下简称《条例》）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《中华人民共和国政府信息公开工作年度报告格式》有关规定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年度报告予以公开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。本报告所列数据的统计期限为20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2025年，和田地区统计局坚持以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为根本遵循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围绕地委、行署中心工作和统计主责主业，持续深化政府信息公开，不断提升统计工作透明度和政府统计公信力，现工作报告如下。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（一）主动公开情况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地区统计局聚焦核心职能，坚持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将政府信息公开工作作为依法行政的重要抓手，加强信息资源整合，提升信息化手段的运用能力，坚持常态化公开，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依法主动公开了机构设置与职责、统计执法监督信息、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统计报告、统计数据以及重大国情国力普查成果，及时通报经济发展阶段性成效，做到季度数据、年度数据及时上网。2025年公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开统计公报1篇，政府信息36条,其中：季度报告类4篇，财务预算、决算类2条。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优化完善依法申请公开流程，地区统计局依托政府网站、QQ邮箱、在线咨询等平台作用，明确申请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受理、登记、分发和处理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环节工作程序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，严格按照法定程序和时限做好依申请公开信息答复工作，提升回复质效，切实保障群众知情权，提升政府透明度。2025年共收到政府信息公开申请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件,并依规对其予以公开答复。未发生针对统计局政府信息公开的行政复议、行政诉讼及投诉举报情况。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（三）政务信息管理情况。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结合工作实际，落实“以公开为常态、不公开为例外”原则，严格执行政府信息公开前的保密审查制度，确保“涉密不公开，公开不涉密”的标准；2025年，地区统计局有效完成统计报告、财务决算等重点政府信息集中统一公开，全面做好了政府信息公开工作，严格落实政府信息发布审核制度，严格执行撰稿人初审、科室（中心）负责人校对、办公室复核、分管领导复审查、主要领导审定的程序，确保内容准确、表述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地区统计局依托和田地区行政公署网站、和田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统计公众号平台，方便公众一站式查询，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不断扩展信息公开渠道，改进公开方式方法，及时更新经济发展数据和工作动态，拓宽宣传载体与受众范围，保障各类统计产品及时落地，切实发挥统计宣传服务发展、引导舆论的积极作用。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监管保障情况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总结本单位2025年度政务公开工作开展情况，深入分析存在的问题，研究制定切实可行的整改措施，确保各项重点工作落到实处、取得实效，本单位继续加强组织领导，明确科室职责，不断完善考核评议机制，将本单位政务公开工作纳入干部职工平时考核，并作为年度评先选优的重要依据；有效提高政务公开工作人员的业务能力和综合素质，推动政务公开工作质量和水平再上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二、主动公开政府信息情况 </w:t>
      </w:r>
    </w:p>
    <w:tbl>
      <w:tblPr>
        <w:tblStyle w:val="8"/>
        <w:tblW w:w="88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3"/>
        <w:gridCol w:w="1856"/>
        <w:gridCol w:w="1888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897" w:type="dxa"/>
            <w:gridSpan w:val="4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1856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本年</w:t>
            </w:r>
            <w:r>
              <w:rPr>
                <w:kern w:val="0"/>
                <w:sz w:val="24"/>
                <w:lang w:bidi="ar"/>
              </w:rPr>
              <w:t>制</w:t>
            </w:r>
            <w:r>
              <w:rPr>
                <w:rFonts w:hint="eastAsia"/>
                <w:kern w:val="0"/>
                <w:sz w:val="24"/>
                <w:lang w:eastAsia="zh-CN" w:bidi="ar"/>
              </w:rPr>
              <w:t>发件数</w:t>
            </w:r>
          </w:p>
        </w:tc>
        <w:tc>
          <w:tcPr>
            <w:tcW w:w="1888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本年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废止件数</w:t>
            </w:r>
          </w:p>
        </w:tc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现行有效件数（司法局）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规章</w:t>
            </w:r>
          </w:p>
        </w:tc>
        <w:tc>
          <w:tcPr>
            <w:tcW w:w="1856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88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规范性文件</w:t>
            </w:r>
          </w:p>
        </w:tc>
        <w:tc>
          <w:tcPr>
            <w:tcW w:w="1856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8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97" w:type="dxa"/>
            <w:gridSpan w:val="4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974" w:type="dxa"/>
            <w:gridSpan w:val="3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5974" w:type="dxa"/>
            <w:gridSpan w:val="3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897" w:type="dxa"/>
            <w:gridSpan w:val="4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974" w:type="dxa"/>
            <w:gridSpan w:val="3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行政处罚</w:t>
            </w:r>
          </w:p>
        </w:tc>
        <w:tc>
          <w:tcPr>
            <w:tcW w:w="5974" w:type="dxa"/>
            <w:gridSpan w:val="3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0（统计造假）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行政强制</w:t>
            </w:r>
          </w:p>
        </w:tc>
        <w:tc>
          <w:tcPr>
            <w:tcW w:w="5974" w:type="dxa"/>
            <w:gridSpan w:val="3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0（封存）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897" w:type="dxa"/>
            <w:gridSpan w:val="4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974" w:type="dxa"/>
            <w:gridSpan w:val="3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行政事业性收费</w:t>
            </w:r>
          </w:p>
        </w:tc>
        <w:tc>
          <w:tcPr>
            <w:tcW w:w="5974" w:type="dxa"/>
            <w:gridSpan w:val="3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三、收到和处理政府信息公开申请情况 </w:t>
      </w:r>
    </w:p>
    <w:tbl>
      <w:tblPr>
        <w:tblStyle w:val="8"/>
        <w:tblW w:w="91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878"/>
        <w:gridCol w:w="3287"/>
        <w:gridCol w:w="546"/>
        <w:gridCol w:w="707"/>
        <w:gridCol w:w="707"/>
        <w:gridCol w:w="737"/>
        <w:gridCol w:w="773"/>
        <w:gridCol w:w="427"/>
        <w:gridCol w:w="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662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455" w:type="dxa"/>
            <w:gridSpan w:val="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62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54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自然人</w:t>
            </w:r>
          </w:p>
        </w:tc>
        <w:tc>
          <w:tcPr>
            <w:tcW w:w="3351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法人或其他组织</w:t>
            </w:r>
          </w:p>
        </w:tc>
        <w:tc>
          <w:tcPr>
            <w:tcW w:w="55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662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54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商业企业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科研机构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社会公益组织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法律服务机构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</w:t>
            </w:r>
          </w:p>
        </w:tc>
        <w:tc>
          <w:tcPr>
            <w:tcW w:w="55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466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一、本年新收政府信息公开申请数量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default" w:cs="Calibri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 w:cs="Calibri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 w:cs="Calibri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 w:cs="Calibri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 w:cs="Calibri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 w:cs="Calibri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default" w:cs="Calibri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6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二、上年结转政府信息公开申请数量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97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三、本年度办理结果</w:t>
            </w:r>
          </w:p>
        </w:tc>
        <w:tc>
          <w:tcPr>
            <w:tcW w:w="4165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（一）予以公开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165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（三）不予公开</w:t>
            </w: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1.属于国家秘密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2.其他法律行政法规禁止公开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3.危及“三安全一稳定”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4.保护第三方合法权益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5.属于三类内部事务信息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6.属于四类过程性信息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7.属于行政执法案卷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8.属于行政查询事项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（四）无法提供</w:t>
            </w: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1.本机关不掌握相关政府信息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2.没有现成信息需要另行制作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3.补正后申请内容仍不明确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（五）不予处理</w:t>
            </w: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1.信访举报投诉类申请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2.重复申请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3.要求提供公开出版物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4.无正当理由大量反复申请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Borders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Borders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5.要求行政机关确认或重新出具已获取信息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97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（六）其他处理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46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</w:pPr>
          </w:p>
        </w:tc>
        <w:tc>
          <w:tcPr>
            <w:tcW w:w="3287" w:type="dxa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46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</w:pPr>
          </w:p>
        </w:tc>
        <w:tc>
          <w:tcPr>
            <w:tcW w:w="32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 w:bidi="ar"/>
              </w:rPr>
              <w:t>3.其他</w:t>
            </w:r>
          </w:p>
        </w:tc>
        <w:tc>
          <w:tcPr>
            <w:tcW w:w="546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default" w:cs="Calibri"/>
                <w:kern w:val="0"/>
                <w:sz w:val="24"/>
                <w:lang w:val="en-US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highlight w:val="red"/>
              </w:rPr>
            </w:pPr>
          </w:p>
        </w:tc>
        <w:tc>
          <w:tcPr>
            <w:tcW w:w="4165" w:type="dxa"/>
            <w:gridSpan w:val="2"/>
            <w:tcBorders>
              <w:top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 w:bidi="ar"/>
              </w:rPr>
              <w:t>（七）总计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6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四、结转下年度继续办理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8"/>
        <w:tblW w:w="8931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5"/>
        <w:gridCol w:w="647"/>
        <w:gridCol w:w="553"/>
        <w:gridCol w:w="506"/>
        <w:gridCol w:w="538"/>
        <w:gridCol w:w="675"/>
        <w:gridCol w:w="589"/>
        <w:gridCol w:w="473"/>
        <w:gridCol w:w="588"/>
        <w:gridCol w:w="525"/>
        <w:gridCol w:w="705"/>
        <w:gridCol w:w="628"/>
        <w:gridCol w:w="623"/>
        <w:gridCol w:w="739"/>
        <w:gridCol w:w="51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69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行政复议</w:t>
            </w:r>
          </w:p>
        </w:tc>
        <w:tc>
          <w:tcPr>
            <w:tcW w:w="6062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结果维持</w:t>
            </w:r>
          </w:p>
        </w:tc>
        <w:tc>
          <w:tcPr>
            <w:tcW w:w="64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结果纠正</w:t>
            </w:r>
          </w:p>
        </w:tc>
        <w:tc>
          <w:tcPr>
            <w:tcW w:w="55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其他结果</w:t>
            </w:r>
          </w:p>
        </w:tc>
        <w:tc>
          <w:tcPr>
            <w:tcW w:w="50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尚未审结</w:t>
            </w:r>
          </w:p>
        </w:tc>
        <w:tc>
          <w:tcPr>
            <w:tcW w:w="53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总计</w:t>
            </w:r>
          </w:p>
        </w:tc>
        <w:tc>
          <w:tcPr>
            <w:tcW w:w="285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未经复议直接起诉</w:t>
            </w:r>
          </w:p>
        </w:tc>
        <w:tc>
          <w:tcPr>
            <w:tcW w:w="321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4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5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53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结果维持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结果纠正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其他结果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尚未审结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总计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结果维持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结果纠正</w:t>
            </w:r>
          </w:p>
        </w:tc>
        <w:tc>
          <w:tcPr>
            <w:tcW w:w="6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其他结果</w:t>
            </w:r>
          </w:p>
        </w:tc>
        <w:tc>
          <w:tcPr>
            <w:tcW w:w="7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尚未审结</w:t>
            </w:r>
          </w:p>
        </w:tc>
        <w:tc>
          <w:tcPr>
            <w:tcW w:w="5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（一）存在的问题。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2025年，地区统计局政府信息公开工作取得了一定的成绩，但也存在一些问题，主要包括：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公开内容与社会需求的契合度有待提升，公开的统计数据以宏观指标为主，细分领域、微观层次的统计数据供给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不足，难以完全满足社会各界的多元化需求。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政策解读与数据诠释的深度有待加强，对发布的统计数据和政策文件，可能存在解读形式单一、专业术语较多、通俗化解读不足的情形，影响了信息的传播效果和公众理解。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能力需要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仍有提升空间，需要进一步健全常态化培训机制，开展针对性强、实效性强的业务培训。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（二）改进情况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针对以上问题，统计局将从三个方面进行改进：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深化数据公开内涵，能够进一步按月度、季度规律发布更及时的经济运行分析。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创新解读回应方式，加强对全社会关注热点数据的解读，探索运用简明问答、短视频等形象生动的形式进行解读，提升统计服务的亲和力。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继续加强信息公开工作队伍建设，建议能有更多的培训机会加强学习，进一步提高政府信息公开工作水平，强化培训成果转化应用，通过以学促干、以干促学，全面夯实政务公开工作专业根基。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本单位按照《国务院办公厅关于印发〈政府信息公开信息处理费管理办法〉的通知》(国办函〔2020〕109号)规定的按件、按量收费标准，本年度没有产生信息公开处理费。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和田地区统计局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211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A7E50"/>
    <w:rsid w:val="00641E23"/>
    <w:rsid w:val="0064761F"/>
    <w:rsid w:val="007A6082"/>
    <w:rsid w:val="00DC4BB4"/>
    <w:rsid w:val="00E51D55"/>
    <w:rsid w:val="00EF5E8D"/>
    <w:rsid w:val="016F72BC"/>
    <w:rsid w:val="02B4079E"/>
    <w:rsid w:val="02D8173A"/>
    <w:rsid w:val="04955C88"/>
    <w:rsid w:val="04DB2EE4"/>
    <w:rsid w:val="05CF6C26"/>
    <w:rsid w:val="05D04082"/>
    <w:rsid w:val="05D66CA4"/>
    <w:rsid w:val="06D86E05"/>
    <w:rsid w:val="07A47765"/>
    <w:rsid w:val="07D12695"/>
    <w:rsid w:val="092A6FC0"/>
    <w:rsid w:val="09D12FFC"/>
    <w:rsid w:val="0A092C17"/>
    <w:rsid w:val="0ACF61E5"/>
    <w:rsid w:val="0C696149"/>
    <w:rsid w:val="0DFA1824"/>
    <w:rsid w:val="0F0F48A2"/>
    <w:rsid w:val="0F5817A8"/>
    <w:rsid w:val="1022019B"/>
    <w:rsid w:val="12372CFE"/>
    <w:rsid w:val="13C7368C"/>
    <w:rsid w:val="13D94F5D"/>
    <w:rsid w:val="1491730A"/>
    <w:rsid w:val="15FD5417"/>
    <w:rsid w:val="1686253F"/>
    <w:rsid w:val="16F86825"/>
    <w:rsid w:val="17E1317A"/>
    <w:rsid w:val="17F61D58"/>
    <w:rsid w:val="188111BE"/>
    <w:rsid w:val="18E44C27"/>
    <w:rsid w:val="1AA367C6"/>
    <w:rsid w:val="1AEC3BAD"/>
    <w:rsid w:val="1B6E0C93"/>
    <w:rsid w:val="1BF9576F"/>
    <w:rsid w:val="1C4B3D69"/>
    <w:rsid w:val="1CE71F70"/>
    <w:rsid w:val="1E4A5EAE"/>
    <w:rsid w:val="1E7F7A43"/>
    <w:rsid w:val="1ECD46A9"/>
    <w:rsid w:val="1F7B890C"/>
    <w:rsid w:val="1FC6290D"/>
    <w:rsid w:val="206E58F4"/>
    <w:rsid w:val="209033B6"/>
    <w:rsid w:val="21530A85"/>
    <w:rsid w:val="21721C7E"/>
    <w:rsid w:val="21897DA0"/>
    <w:rsid w:val="23082514"/>
    <w:rsid w:val="24E966EE"/>
    <w:rsid w:val="25184CB9"/>
    <w:rsid w:val="25584BE7"/>
    <w:rsid w:val="26696CE2"/>
    <w:rsid w:val="266F3BFF"/>
    <w:rsid w:val="26E706F2"/>
    <w:rsid w:val="281B258F"/>
    <w:rsid w:val="284A7E50"/>
    <w:rsid w:val="2978438A"/>
    <w:rsid w:val="2A9E049F"/>
    <w:rsid w:val="2BBC3778"/>
    <w:rsid w:val="2CFE1B9D"/>
    <w:rsid w:val="2D9F3119"/>
    <w:rsid w:val="2DAE6D24"/>
    <w:rsid w:val="2F14068C"/>
    <w:rsid w:val="2FE79004"/>
    <w:rsid w:val="31210A3E"/>
    <w:rsid w:val="313F5B58"/>
    <w:rsid w:val="31C62FE6"/>
    <w:rsid w:val="31E72711"/>
    <w:rsid w:val="321B7CDB"/>
    <w:rsid w:val="32F65881"/>
    <w:rsid w:val="33A74FC6"/>
    <w:rsid w:val="33E561E4"/>
    <w:rsid w:val="33FF4C2E"/>
    <w:rsid w:val="34273EBC"/>
    <w:rsid w:val="35EFFB4C"/>
    <w:rsid w:val="36D8296E"/>
    <w:rsid w:val="37B7BEA5"/>
    <w:rsid w:val="38185E68"/>
    <w:rsid w:val="3931702F"/>
    <w:rsid w:val="3B3A6B49"/>
    <w:rsid w:val="3B8F0BE8"/>
    <w:rsid w:val="3BA375B6"/>
    <w:rsid w:val="3D26249A"/>
    <w:rsid w:val="3D93F18C"/>
    <w:rsid w:val="3DAC7D8E"/>
    <w:rsid w:val="3E6652E0"/>
    <w:rsid w:val="3EBD2D9C"/>
    <w:rsid w:val="3F6651C6"/>
    <w:rsid w:val="3FBD3A87"/>
    <w:rsid w:val="3FCCFD6A"/>
    <w:rsid w:val="3FEB74A0"/>
    <w:rsid w:val="3FF5E47A"/>
    <w:rsid w:val="41AE5E01"/>
    <w:rsid w:val="41D04979"/>
    <w:rsid w:val="41FB0B82"/>
    <w:rsid w:val="43230443"/>
    <w:rsid w:val="43CB39FF"/>
    <w:rsid w:val="44875D9B"/>
    <w:rsid w:val="45AD3E05"/>
    <w:rsid w:val="45B652BF"/>
    <w:rsid w:val="468D02A1"/>
    <w:rsid w:val="47307393"/>
    <w:rsid w:val="47FF7861"/>
    <w:rsid w:val="49463453"/>
    <w:rsid w:val="49626EF3"/>
    <w:rsid w:val="49C5367E"/>
    <w:rsid w:val="49DF6ADE"/>
    <w:rsid w:val="49F00C83"/>
    <w:rsid w:val="4A516DD6"/>
    <w:rsid w:val="4BFFAF18"/>
    <w:rsid w:val="4C157B88"/>
    <w:rsid w:val="4C833C47"/>
    <w:rsid w:val="4CA6342C"/>
    <w:rsid w:val="4F316E64"/>
    <w:rsid w:val="4F8F251C"/>
    <w:rsid w:val="4F9F02A6"/>
    <w:rsid w:val="50030518"/>
    <w:rsid w:val="522D35EB"/>
    <w:rsid w:val="52616143"/>
    <w:rsid w:val="52B61094"/>
    <w:rsid w:val="52CC6DAB"/>
    <w:rsid w:val="53626051"/>
    <w:rsid w:val="54E81ED3"/>
    <w:rsid w:val="55552540"/>
    <w:rsid w:val="55FB28F8"/>
    <w:rsid w:val="57DB41B4"/>
    <w:rsid w:val="58EA393B"/>
    <w:rsid w:val="592633FB"/>
    <w:rsid w:val="59764BBF"/>
    <w:rsid w:val="5A5E38DC"/>
    <w:rsid w:val="5AAD35DE"/>
    <w:rsid w:val="5CE12B9F"/>
    <w:rsid w:val="5CFFB505"/>
    <w:rsid w:val="5D786719"/>
    <w:rsid w:val="5E931FBE"/>
    <w:rsid w:val="5ECF5736"/>
    <w:rsid w:val="5EF411D5"/>
    <w:rsid w:val="5EFF8F0A"/>
    <w:rsid w:val="5F360A7F"/>
    <w:rsid w:val="5F8F050F"/>
    <w:rsid w:val="5FFF66D6"/>
    <w:rsid w:val="5FFF82B5"/>
    <w:rsid w:val="602C4DB3"/>
    <w:rsid w:val="60993C00"/>
    <w:rsid w:val="61223671"/>
    <w:rsid w:val="62BD3D57"/>
    <w:rsid w:val="63406154"/>
    <w:rsid w:val="64DF9A6F"/>
    <w:rsid w:val="66D5391C"/>
    <w:rsid w:val="66E2779C"/>
    <w:rsid w:val="66F745AC"/>
    <w:rsid w:val="66FFBA9A"/>
    <w:rsid w:val="67677FA3"/>
    <w:rsid w:val="679A370B"/>
    <w:rsid w:val="680166BF"/>
    <w:rsid w:val="69644B17"/>
    <w:rsid w:val="6B3A79BC"/>
    <w:rsid w:val="6BFA05A6"/>
    <w:rsid w:val="6DB66919"/>
    <w:rsid w:val="6DC374D3"/>
    <w:rsid w:val="6E69325F"/>
    <w:rsid w:val="6F345A3E"/>
    <w:rsid w:val="6FAB0543"/>
    <w:rsid w:val="6FB4193B"/>
    <w:rsid w:val="6FFFFB9F"/>
    <w:rsid w:val="70163FE3"/>
    <w:rsid w:val="708C463B"/>
    <w:rsid w:val="70FE22EB"/>
    <w:rsid w:val="71D76077"/>
    <w:rsid w:val="71DB6AA0"/>
    <w:rsid w:val="73EFA820"/>
    <w:rsid w:val="740D3AF4"/>
    <w:rsid w:val="755B04B5"/>
    <w:rsid w:val="7749FCA6"/>
    <w:rsid w:val="777F470F"/>
    <w:rsid w:val="77E32BD4"/>
    <w:rsid w:val="77E7C6F6"/>
    <w:rsid w:val="78E921FE"/>
    <w:rsid w:val="79A642AD"/>
    <w:rsid w:val="79D7275C"/>
    <w:rsid w:val="7A463011"/>
    <w:rsid w:val="7BDF9DAA"/>
    <w:rsid w:val="7BE126C5"/>
    <w:rsid w:val="7C6B3783"/>
    <w:rsid w:val="7C7A8CA8"/>
    <w:rsid w:val="7D5F8A3D"/>
    <w:rsid w:val="7D906404"/>
    <w:rsid w:val="7D9A145D"/>
    <w:rsid w:val="7DE353DA"/>
    <w:rsid w:val="7E075368"/>
    <w:rsid w:val="7E0E0DE8"/>
    <w:rsid w:val="7E5D9A0C"/>
    <w:rsid w:val="7E5F610B"/>
    <w:rsid w:val="7F6F5188"/>
    <w:rsid w:val="7F7BBA5E"/>
    <w:rsid w:val="7F7E0DEB"/>
    <w:rsid w:val="7F7F72FB"/>
    <w:rsid w:val="7FD7C59B"/>
    <w:rsid w:val="7FDBCF58"/>
    <w:rsid w:val="7FEF2561"/>
    <w:rsid w:val="7FFDEA46"/>
    <w:rsid w:val="837F468E"/>
    <w:rsid w:val="8BEAEDD9"/>
    <w:rsid w:val="8D3FDD9F"/>
    <w:rsid w:val="AB5FCBFB"/>
    <w:rsid w:val="ABCB083D"/>
    <w:rsid w:val="AEAF8B42"/>
    <w:rsid w:val="AFF5CD91"/>
    <w:rsid w:val="B19F9F58"/>
    <w:rsid w:val="B3EFE82A"/>
    <w:rsid w:val="B7E71AB8"/>
    <w:rsid w:val="BB6F1E5A"/>
    <w:rsid w:val="BF7F02AC"/>
    <w:rsid w:val="BFDFFDA8"/>
    <w:rsid w:val="C57FD6C4"/>
    <w:rsid w:val="C79BBE09"/>
    <w:rsid w:val="C83FD2FC"/>
    <w:rsid w:val="CA8F30B3"/>
    <w:rsid w:val="CB9FFD58"/>
    <w:rsid w:val="CD3744A9"/>
    <w:rsid w:val="CEEFFF19"/>
    <w:rsid w:val="CF4B912A"/>
    <w:rsid w:val="CFDF2BF1"/>
    <w:rsid w:val="CFE368F7"/>
    <w:rsid w:val="CFFF67EF"/>
    <w:rsid w:val="D7753943"/>
    <w:rsid w:val="DAFF9379"/>
    <w:rsid w:val="DC7612F7"/>
    <w:rsid w:val="DF8F7969"/>
    <w:rsid w:val="DFEFFD5E"/>
    <w:rsid w:val="DFFFDA9F"/>
    <w:rsid w:val="E4CE3E42"/>
    <w:rsid w:val="E6EDBDBF"/>
    <w:rsid w:val="E7FA1D71"/>
    <w:rsid w:val="E7FDD12A"/>
    <w:rsid w:val="E7FF6273"/>
    <w:rsid w:val="EB173427"/>
    <w:rsid w:val="EB6ECE95"/>
    <w:rsid w:val="EC764620"/>
    <w:rsid w:val="EF3E1241"/>
    <w:rsid w:val="EF7FF936"/>
    <w:rsid w:val="EFFDC563"/>
    <w:rsid w:val="EFFF14D4"/>
    <w:rsid w:val="EFFF9297"/>
    <w:rsid w:val="F36EB700"/>
    <w:rsid w:val="F3F9A1CF"/>
    <w:rsid w:val="F56F8820"/>
    <w:rsid w:val="F5AEC211"/>
    <w:rsid w:val="F7DD5638"/>
    <w:rsid w:val="F7F4032F"/>
    <w:rsid w:val="FBCBDCCD"/>
    <w:rsid w:val="FBDC5A85"/>
    <w:rsid w:val="FC7AE4BF"/>
    <w:rsid w:val="FD9F4930"/>
    <w:rsid w:val="FDFB2318"/>
    <w:rsid w:val="FE6C202A"/>
    <w:rsid w:val="FE7CADDF"/>
    <w:rsid w:val="FEDEB557"/>
    <w:rsid w:val="FEDF0D2F"/>
    <w:rsid w:val="FEFF423D"/>
    <w:rsid w:val="FF7786C5"/>
    <w:rsid w:val="FF7BB4CF"/>
    <w:rsid w:val="FF7F0AA7"/>
    <w:rsid w:val="FFB550DA"/>
    <w:rsid w:val="FFE89356"/>
    <w:rsid w:val="FFF83FBE"/>
    <w:rsid w:val="FFF8B7EC"/>
    <w:rsid w:val="FFFCAEBF"/>
    <w:rsid w:val="FFFF0013"/>
    <w:rsid w:val="FFFF03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394</Words>
  <Characters>2252</Characters>
  <Lines>18</Lines>
  <Paragraphs>5</Paragraphs>
  <TotalTime>42</TotalTime>
  <ScaleCrop>false</ScaleCrop>
  <LinksUpToDate>false</LinksUpToDate>
  <CharactersWithSpaces>2641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2021-02-07T04:41:00Z</dcterms:created>
  <dc:creator>Administrator</dc:creator>
  <cp:lastModifiedBy>Administrator</cp:lastModifiedBy>
  <cp:lastPrinted>2026-01-09T03:16:00Z</cp:lastPrinted>
  <dcterms:modified xsi:type="dcterms:W3CDTF">2026-01-30T11:18:50Z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3D32AB0A38EF46F1AFEE4825D343757F_13</vt:lpwstr>
  </property>
</Properties>
</file>