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  <w:t>和田地区生态环境局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  <w:t>年政</w:t>
      </w:r>
      <w:r>
        <w:rPr>
          <w:rFonts w:hint="default" w:ascii="Nimbus Roman No9 L" w:hAnsi="Nimbus Roman No9 L" w:eastAsia="方正小标宋简体" w:cs="Nimbus Roman No9 L"/>
          <w:sz w:val="44"/>
          <w:szCs w:val="44"/>
        </w:rPr>
        <w:t>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工作年度报告</w:t>
      </w:r>
    </w:p>
    <w:p>
      <w:pPr>
        <w:spacing w:line="30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Nimbus Roman No9 L" w:hAnsi="Nimbus Roman No9 L" w:eastAsia="仿宋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和田地区生态环境局坚持以人民为中心的发展思想，紧紧围绕地委、行署中心工作和生态环境保护重点任务，深入贯彻落实《中华人民共和国政府信息公开条例》，以“公开为常态、不公开为例外”为原则，扎实推进政务公开各项工作，为推动全地区生态环境质量持续改善、建设人与自然和谐共生的美丽和田提供了有力支撑。本报告所列数据的统计期限自2025年1月1日起至2025年12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（一）主动公开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和田地区生态环境局围绕生态环境保护重点工作任务，持续公开蓝天、碧水、净土三大保卫战进展情况，及时发布环评审批、排污许可、行政处罚等行政执法信息，切实做到“应公开、尽公开”，确保能够及时有效的将相关信息传达给群众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政府门户网站公开信息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职能职责2条、生态保护措施类3条、建设项目环境影响评价审批类30条、执法监督与投诉处理类24条，污染源监测、减排信息5条，大气、水、土壤污染防治进展类6条。通过全国排污许可证管理信息平台公开信息20条。同时利用“和田环保”微信公众号“和田生态环境”微博账号做好生态环境保护宣传工作，发布信息1177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Nimbus Roman No9 L" w:hAnsi="Nimbus Roman No9 L" w:eastAsia="方正楷体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楷体_GBK" w:cs="Nimbus Roman No9 L"/>
          <w:sz w:val="32"/>
          <w:szCs w:val="32"/>
          <w:lang w:val="en-US" w:eastAsia="zh-CN"/>
        </w:rPr>
        <w:t>（二）</w:t>
      </w:r>
      <w:r>
        <w:rPr>
          <w:rFonts w:hint="default" w:ascii="Nimbus Roman No9 L" w:hAnsi="Nimbus Roman No9 L" w:eastAsia="方正楷体_GBK" w:cs="Nimbus Roman No9 L"/>
          <w:sz w:val="32"/>
          <w:szCs w:val="32"/>
          <w:lang w:val="en-US" w:eastAsia="zh-CN"/>
        </w:rPr>
        <w:t>依申请公开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严格按照依申请公开工作相关制度，认真落实依申请公开办事流程，规范接收、办理、答复、寄送、存档等工作环节，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确保答复合法合规、准确规范。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积极回应群众公开诉求，主动为申请人提供服务。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年办理依申请公开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Nimbus Roman No9 L" w:hAnsi="Nimbus Roman No9 L" w:eastAsia="方正楷体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楷体_GBK" w:cs="Nimbus Roman No9 L"/>
          <w:sz w:val="32"/>
          <w:szCs w:val="32"/>
          <w:lang w:val="en-US" w:eastAsia="zh-CN"/>
        </w:rPr>
        <w:t>（三）</w:t>
      </w:r>
      <w:r>
        <w:rPr>
          <w:rFonts w:hint="default" w:ascii="Nimbus Roman No9 L" w:hAnsi="Nimbus Roman No9 L" w:eastAsia="方正楷体_GBK" w:cs="Nimbus Roman No9 L"/>
          <w:sz w:val="32"/>
          <w:szCs w:val="32"/>
          <w:lang w:val="en-US" w:eastAsia="zh-CN"/>
        </w:rPr>
        <w:t>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三审三校制度，认真审核对外发布信息内容，实行“先审查、后公开”和“一事一审”原则，确保公开信息真实准确、规范统一。定期对环境政策法规、标准规范等进行动态管理，及时废止或修订失效信息，保证信息公开的时效性和有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Nimbus Roman No9 L" w:hAnsi="Nimbus Roman No9 L" w:eastAsia="方正楷体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楷体_GBK" w:cs="Nimbus Roman No9 L"/>
          <w:sz w:val="32"/>
          <w:szCs w:val="32"/>
          <w:lang w:val="en-US" w:eastAsia="zh-CN"/>
        </w:rPr>
        <w:t>（四）</w:t>
      </w:r>
      <w:r>
        <w:rPr>
          <w:rFonts w:hint="default" w:ascii="Nimbus Roman No9 L" w:hAnsi="Nimbus Roman No9 L" w:eastAsia="方正楷体_GBK" w:cs="Nimbus Roman No9 L"/>
          <w:sz w:val="32"/>
          <w:szCs w:val="32"/>
          <w:lang w:val="en-US" w:eastAsia="zh-CN"/>
        </w:rPr>
        <w:t>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围绕生态环境保护工作和群众关心的热点问题，进一步加大了政务公开力度，及时更新机构职能，发布业务工作动态。安排专人做好“和田环保”微信公众号、“和田生态环境”微博账号的日常管理，通过政务新媒体及时更新生态环境动态、环保科普等内容，及时回应网友留言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全年发布信息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增强公开信息的可读性和传播力。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Nimbus Roman No9 L" w:hAnsi="Nimbus Roman No9 L" w:eastAsia="方正楷体_GBK" w:cs="Nimbus Roman No9 L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方正楷体_GBK" w:cs="Nimbus Roman No9 L"/>
          <w:sz w:val="32"/>
          <w:szCs w:val="32"/>
          <w:lang w:val="en-US" w:eastAsia="zh-CN"/>
        </w:rPr>
        <w:t>（五）</w:t>
      </w:r>
      <w:r>
        <w:rPr>
          <w:rFonts w:hint="default" w:ascii="Nimbus Roman No9 L" w:hAnsi="Nimbus Roman No9 L" w:eastAsia="方正楷体_GBK" w:cs="Nimbus Roman No9 L"/>
          <w:sz w:val="32"/>
          <w:szCs w:val="32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健全政务公开制度，提升工作人员业务能力，规范信息发布流程。定期开展自查自纠，增强工作实效，确保信息公开及时、准确和规范。建立社会评议机制，广泛听取公众意见，主动接受社会监督，全年未发生因政府信息公开工作引发的责任追究事项。</w:t>
      </w:r>
    </w:p>
    <w:p>
      <w:pPr>
        <w:spacing w:before="191" w:line="213" w:lineRule="auto"/>
        <w:ind w:left="749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二、主动公开政府信息情况</w:t>
      </w:r>
    </w:p>
    <w:tbl>
      <w:tblPr>
        <w:tblStyle w:val="10"/>
        <w:tblW w:w="843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908"/>
        <w:gridCol w:w="1807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1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>
            <w:pPr>
              <w:pStyle w:val="11"/>
              <w:spacing w:before="2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>
            <w:pPr>
              <w:pStyle w:val="11"/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>
            <w:pPr>
              <w:pStyle w:val="11"/>
              <w:spacing w:before="4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5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42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1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1"/>
              <w:spacing w:before="7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1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6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1"/>
              <w:spacing w:before="6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77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78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1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八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5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1"/>
              <w:spacing w:before="6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本年收费金额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11"/>
              <w:spacing w:before="6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32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三、收到和处理政府信息公开申请情况</w:t>
      </w:r>
    </w:p>
    <w:p>
      <w:pPr>
        <w:spacing w:line="71" w:lineRule="auto"/>
        <w:rPr>
          <w:rFonts w:ascii="Arial"/>
          <w:sz w:val="2"/>
        </w:rPr>
      </w:pPr>
    </w:p>
    <w:tbl>
      <w:tblPr>
        <w:tblStyle w:val="10"/>
        <w:tblW w:w="8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spacing w:before="75" w:line="206" w:lineRule="auto"/>
              <w:ind w:left="185" w:right="259" w:firstLine="1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二项之和，等于第三项加第四项之和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0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11"/>
              <w:spacing w:before="75" w:line="219" w:lineRule="auto"/>
              <w:ind w:left="9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11"/>
              <w:spacing w:before="87" w:line="219" w:lineRule="auto"/>
              <w:ind w:left="9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spacing w:before="75" w:line="180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</w:rPr>
              <w:t>三、</w:t>
            </w:r>
          </w:p>
          <w:p>
            <w:pPr>
              <w:pStyle w:val="11"/>
              <w:spacing w:line="197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本年</w:t>
            </w:r>
          </w:p>
          <w:p>
            <w:pPr>
              <w:pStyle w:val="11"/>
              <w:spacing w:line="210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度办</w:t>
            </w:r>
          </w:p>
          <w:p>
            <w:pPr>
              <w:pStyle w:val="11"/>
              <w:spacing w:line="208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理结</w:t>
            </w:r>
          </w:p>
          <w:p>
            <w:pPr>
              <w:pStyle w:val="11"/>
              <w:spacing w:line="220" w:lineRule="auto"/>
              <w:ind w:left="22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予以公开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部分公开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区分处理的，只计这一情形，不计其他情形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公开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无法</w:t>
            </w: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提供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六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其他</w:t>
            </w: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七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四、结转下年度继续办理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624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四、政府信息公开行政复议、行政诉讼情况</w:t>
      </w:r>
    </w:p>
    <w:tbl>
      <w:tblPr>
        <w:tblStyle w:val="10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54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行政复议</w:t>
            </w:r>
          </w:p>
        </w:tc>
        <w:tc>
          <w:tcPr>
            <w:tcW w:w="454" w:type="dxa"/>
            <w:gridSpan w:val="1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54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未经复议直接起诉</w:t>
            </w:r>
          </w:p>
        </w:tc>
        <w:tc>
          <w:tcPr>
            <w:tcW w:w="454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4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存在的主要问题及改进情况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2025年，和田地区生态环境局完成了政务公开各项指标任务，但与上级要求仍有一定差距，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信息公开工作仍存在不足：公开内容有待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全面。现有公开信息多以事项清单、结果公示等基础形式为主，对执法监管案例细节、政策文件的解读说明等内容披露较少，公众难以全面深入了解生态环境执法相关具体举措和实际成效。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上述问题，已制定针对性改进措施并推进落实：深化公开内容，聚焦公众关切，优化信息公开内容结构，在保留原有基础事项公示的基础上，新增“执法案例解读”“政策文件图解”等板块，详细披露典型执法案例的调查过程、法律适用、整改要求，用通俗易懂的语言解读生态环境相关政策法规，增强信息的深度和可读性，满足公众对信息的多元化需求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，和田地区生态环境局将持续巩固政务公开工作成效，针对存在的问题精准发力，紧密结合污染防治、项目审批、行政执法等重点工作，深入开展政府信息公开工作，及时发布群众关心的环境保护热点问题，不断提升政府信息公开的规范化、专业化、便民化水平，以更透明的政务公开推动生态环境治理效能提升，为建设美丽和田提供坚强保障，推动政府信息公开工作再上新台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default" w:ascii="Nimbus Roman No9 L" w:hAnsi="Nimbus Roman No9 L" w:eastAsia="黑体" w:cs="Nimbus Roman No9 L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kern w:val="2"/>
          <w:sz w:val="32"/>
          <w:szCs w:val="32"/>
          <w:lang w:val="en-US" w:eastAsia="zh-CN" w:bidi="ar-SA"/>
        </w:rPr>
        <w:t>其他需要报告的事项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20" w:lineRule="exact"/>
        <w:ind w:left="155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line="520" w:lineRule="exact"/>
        <w:ind w:left="155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和田地区生态环境局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年1月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pStyle w:val="3"/>
        <w:spacing w:line="219" w:lineRule="auto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sectPr>
      <w:footerReference r:id="rId5" w:type="default"/>
      <w:pgSz w:w="11905" w:h="16838"/>
      <w:pgMar w:top="1701" w:right="1474" w:bottom="1871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AA2C5"/>
    <w:multiLevelType w:val="singleLevel"/>
    <w:tmpl w:val="BFFAA2C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embedTrueTypeFonts/>
  <w:saveSubset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07FF0D56"/>
    <w:rsid w:val="13D46914"/>
    <w:rsid w:val="186A061D"/>
    <w:rsid w:val="1AF617F8"/>
    <w:rsid w:val="1FE771BD"/>
    <w:rsid w:val="2BBECCF3"/>
    <w:rsid w:val="2BEE2C41"/>
    <w:rsid w:val="310801DF"/>
    <w:rsid w:val="317F821C"/>
    <w:rsid w:val="36BF3E71"/>
    <w:rsid w:val="3BA00460"/>
    <w:rsid w:val="3FBDFBCB"/>
    <w:rsid w:val="3FCF0A0D"/>
    <w:rsid w:val="4CA63DE7"/>
    <w:rsid w:val="4E5F5F21"/>
    <w:rsid w:val="50613B79"/>
    <w:rsid w:val="53F21392"/>
    <w:rsid w:val="55C022BA"/>
    <w:rsid w:val="56F50413"/>
    <w:rsid w:val="5AFA409D"/>
    <w:rsid w:val="5B6F705F"/>
    <w:rsid w:val="5BFFA17D"/>
    <w:rsid w:val="5DF988C3"/>
    <w:rsid w:val="5E432044"/>
    <w:rsid w:val="5FF9E0EB"/>
    <w:rsid w:val="5FFDD97A"/>
    <w:rsid w:val="61DEF541"/>
    <w:rsid w:val="6D785F60"/>
    <w:rsid w:val="6F4FF1E2"/>
    <w:rsid w:val="6F7D998F"/>
    <w:rsid w:val="6FAEC0B4"/>
    <w:rsid w:val="6FE758B5"/>
    <w:rsid w:val="6FF7DB4A"/>
    <w:rsid w:val="702E2744"/>
    <w:rsid w:val="725FCF84"/>
    <w:rsid w:val="75FB8C7E"/>
    <w:rsid w:val="75FBF282"/>
    <w:rsid w:val="76FBED25"/>
    <w:rsid w:val="77C796C6"/>
    <w:rsid w:val="786DC0CF"/>
    <w:rsid w:val="78BFEAA5"/>
    <w:rsid w:val="78EE27EC"/>
    <w:rsid w:val="797C0647"/>
    <w:rsid w:val="7A78007C"/>
    <w:rsid w:val="7AE615DB"/>
    <w:rsid w:val="7BEA4AE4"/>
    <w:rsid w:val="7DFC0EB7"/>
    <w:rsid w:val="7EAD23D9"/>
    <w:rsid w:val="7EFD9AF8"/>
    <w:rsid w:val="7F5B3640"/>
    <w:rsid w:val="7F9B1E4D"/>
    <w:rsid w:val="7FFD0C4B"/>
    <w:rsid w:val="7FFFE97C"/>
    <w:rsid w:val="8575DE42"/>
    <w:rsid w:val="935BACF6"/>
    <w:rsid w:val="9F7BB536"/>
    <w:rsid w:val="AB9FC083"/>
    <w:rsid w:val="ABEA8843"/>
    <w:rsid w:val="B2D73C1D"/>
    <w:rsid w:val="B75FBC11"/>
    <w:rsid w:val="BA7B23C6"/>
    <w:rsid w:val="BE672ECA"/>
    <w:rsid w:val="BF5F47DE"/>
    <w:rsid w:val="BFBE9EE7"/>
    <w:rsid w:val="BFFE8F58"/>
    <w:rsid w:val="CDFE45BB"/>
    <w:rsid w:val="CF9F9C03"/>
    <w:rsid w:val="CFF4E29F"/>
    <w:rsid w:val="D837C4AE"/>
    <w:rsid w:val="DDBC62AE"/>
    <w:rsid w:val="DFCF3A02"/>
    <w:rsid w:val="DFFD3EC5"/>
    <w:rsid w:val="DFFF5368"/>
    <w:rsid w:val="EB3E9BF3"/>
    <w:rsid w:val="EFFEF372"/>
    <w:rsid w:val="EFFF651E"/>
    <w:rsid w:val="F1F9F433"/>
    <w:rsid w:val="F457501A"/>
    <w:rsid w:val="F5DE14D3"/>
    <w:rsid w:val="F68DF1D6"/>
    <w:rsid w:val="F76B8AE0"/>
    <w:rsid w:val="F7DFE779"/>
    <w:rsid w:val="F7FDDA92"/>
    <w:rsid w:val="FD76D214"/>
    <w:rsid w:val="FDEE3D5E"/>
    <w:rsid w:val="FE7E0BFA"/>
    <w:rsid w:val="FE7E2C68"/>
    <w:rsid w:val="FEFBA7FC"/>
    <w:rsid w:val="FFDA735A"/>
    <w:rsid w:val="FFEF618C"/>
    <w:rsid w:val="FFFB1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5558</Words>
  <Characters>5711</Characters>
  <TotalTime>0</TotalTime>
  <ScaleCrop>false</ScaleCrop>
  <LinksUpToDate>false</LinksUpToDate>
  <CharactersWithSpaces>5734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2024-01-09T13:47:00Z</dcterms:created>
  <dc:creator>Kingsoft-PDF</dc:creator>
  <cp:lastModifiedBy>user</cp:lastModifiedBy>
  <cp:lastPrinted>2026-01-14T20:00:00Z</cp:lastPrinted>
  <dcterms:modified xsi:type="dcterms:W3CDTF">2026-01-30T12:15:37Z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2052-11.8.2.10386</vt:lpwstr>
  </property>
  <property fmtid="{D5CDD505-2E9C-101B-9397-08002B2CF9AE}" pid="6" name="ICV">
    <vt:lpwstr>76ED987BBA1B48C99C1F7E28BDBB7AA6_13</vt:lpwstr>
  </property>
</Properties>
</file>