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t>2025年地区机关事务管理局</w:t>
      </w:r>
      <w:r>
        <w:rPr>
          <w:rFonts w:hint="eastAsia" w:ascii="方正小标宋简体" w:hAnsi="方正小标宋简体" w:eastAsia="方正小标宋简体" w:cs="方正小标宋简体"/>
        </w:rPr>
        <w:t>政府信息公开</w:t>
      </w:r>
    </w:p>
    <w:p>
      <w:pPr>
        <w:pStyle w:val="3"/>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工作年度报告</w:t>
      </w:r>
    </w:p>
    <w:p>
      <w:pPr>
        <w:spacing w:line="303" w:lineRule="auto"/>
        <w:rPr>
          <w:rFonts w:ascii="Arial"/>
          <w:color w:val="auto"/>
          <w:sz w:val="21"/>
        </w:rPr>
      </w:pPr>
    </w:p>
    <w:p>
      <w:pPr>
        <w:pStyle w:val="4"/>
        <w:bidi w:val="0"/>
      </w:pPr>
      <w: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2025年，</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地区机关事务局始终以习近平新时代中国特色社会主义思想为根本遵循，严格遵照《中华人民共和国政府信息公开条例》核心规定，</w:t>
      </w:r>
      <w:r>
        <w:rPr>
          <w:rFonts w:hint="eastAsia" w:ascii="仿宋_GB2312" w:hAnsi="仿宋_GB2312" w:eastAsia="仿宋_GB2312" w:cs="仿宋_GB2312"/>
          <w:i w:val="0"/>
          <w:iCs w:val="0"/>
          <w:caps w:val="0"/>
          <w:color w:val="auto"/>
          <w:spacing w:val="0"/>
          <w:sz w:val="32"/>
          <w:szCs w:val="32"/>
          <w:shd w:val="clear" w:fill="FFFFFF"/>
          <w:lang w:eastAsia="zh-CN"/>
        </w:rPr>
        <w:t>不断完善政府信息公开工作机制，提升政府信息公开工作制度化、规范化水平。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主动公开情况</w:t>
      </w:r>
      <w:r>
        <w:rPr>
          <w:rFonts w:hint="eastAsia" w:ascii="仿宋_GB2312" w:hAnsi="仿宋_GB2312" w:eastAsia="仿宋_GB2312" w:cs="仿宋_GB2312"/>
          <w:i w:val="0"/>
          <w:iCs w:val="0"/>
          <w:caps w:val="0"/>
          <w:color w:val="auto"/>
          <w:spacing w:val="0"/>
          <w:sz w:val="32"/>
          <w:szCs w:val="32"/>
          <w:shd w:val="clear" w:fill="FFFFFF"/>
          <w:lang w:eastAsia="zh-CN"/>
        </w:rPr>
        <w:t>。2025年，我局严格对照《中华人民共和国政府信息公开条例》及相关规定，依托和田地区政府门户网站、和田日报、和田地区融媒体中心等渠道主动公开信息。截至</w:t>
      </w:r>
      <w:r>
        <w:rPr>
          <w:rFonts w:hint="eastAsia" w:ascii="仿宋_GB2312" w:hAnsi="仿宋_GB2312" w:eastAsia="仿宋_GB2312" w:cs="仿宋_GB2312"/>
          <w:i w:val="0"/>
          <w:iCs w:val="0"/>
          <w:caps w:val="0"/>
          <w:color w:val="auto"/>
          <w:spacing w:val="0"/>
          <w:sz w:val="32"/>
          <w:szCs w:val="32"/>
          <w:shd w:val="clear" w:fill="FFFFFF"/>
          <w:lang w:val="en-US" w:eastAsia="zh-CN"/>
        </w:rPr>
        <w:t>12月31日，</w:t>
      </w:r>
      <w:r>
        <w:rPr>
          <w:rFonts w:hint="eastAsia" w:ascii="仿宋_GB2312" w:hAnsi="仿宋_GB2312" w:eastAsia="仿宋_GB2312" w:cs="仿宋_GB2312"/>
          <w:i w:val="0"/>
          <w:iCs w:val="0"/>
          <w:caps w:val="0"/>
          <w:color w:val="auto"/>
          <w:spacing w:val="0"/>
          <w:sz w:val="32"/>
          <w:szCs w:val="32"/>
          <w:shd w:val="clear" w:fill="FFFFFF"/>
          <w:lang w:eastAsia="zh-CN"/>
        </w:rPr>
        <w:t>报送信息</w:t>
      </w:r>
      <w:r>
        <w:rPr>
          <w:rFonts w:hint="eastAsia" w:ascii="仿宋_GB2312" w:hAnsi="仿宋_GB2312" w:eastAsia="仿宋_GB2312" w:cs="仿宋_GB2312"/>
          <w:i w:val="0"/>
          <w:iCs w:val="0"/>
          <w:caps w:val="0"/>
          <w:color w:val="auto"/>
          <w:spacing w:val="0"/>
          <w:sz w:val="32"/>
          <w:szCs w:val="32"/>
          <w:shd w:val="clear" w:fill="FFFFFF"/>
          <w:lang w:val="en-US" w:eastAsia="zh-CN"/>
        </w:rPr>
        <w:t>17篇，重大决策预公开2次。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依申请公开情况</w:t>
      </w:r>
      <w:r>
        <w:rPr>
          <w:rFonts w:hint="eastAsia" w:ascii="仿宋_GB2312" w:hAnsi="仿宋_GB2312" w:eastAsia="仿宋_GB2312" w:cs="仿宋_GB2312"/>
          <w:i w:val="0"/>
          <w:iCs w:val="0"/>
          <w:caps w:val="0"/>
          <w:color w:val="auto"/>
          <w:spacing w:val="0"/>
          <w:sz w:val="32"/>
          <w:szCs w:val="32"/>
          <w:shd w:val="clear" w:fill="FFFFFF"/>
          <w:lang w:eastAsia="zh-CN"/>
        </w:rPr>
        <w:t>。严格按照《政府信息公开条例》关于依申请公开的程序要求，健全工作机制，明确办理时限，依法依规、规范高效地处理各类信息公开申请。2025年，我局未收到依申请公开信息的申请。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eastAsia" w:ascii="仿宋_GB2312" w:hAnsi="仿宋_GB2312" w:eastAsia="仿宋_GB2312" w:cs="仿宋_GB2312"/>
          <w:i w:val="0"/>
          <w:iCs w:val="0"/>
          <w:caps w:val="0"/>
          <w:color w:val="auto"/>
          <w:spacing w:val="0"/>
          <w:sz w:val="32"/>
          <w:szCs w:val="32"/>
          <w:shd w:val="clear" w:fill="FFFFFF"/>
        </w:rPr>
        <w:t>政府信息管理情况</w:t>
      </w:r>
      <w:r>
        <w:rPr>
          <w:rFonts w:hint="eastAsia" w:ascii="仿宋_GB2312" w:hAnsi="仿宋_GB2312" w:eastAsia="仿宋_GB2312" w:cs="仿宋_GB2312"/>
          <w:i w:val="0"/>
          <w:iCs w:val="0"/>
          <w:caps w:val="0"/>
          <w:color w:val="auto"/>
          <w:spacing w:val="0"/>
          <w:sz w:val="32"/>
          <w:szCs w:val="32"/>
          <w:shd w:val="clear" w:fill="FFFFFF"/>
          <w:lang w:eastAsia="zh-CN"/>
        </w:rPr>
        <w:t>。持续强化政府信息公开前审查机制，严格落实“谁公开、谁审查、谁负责”的原则，确保公开内容真实、准确、完整、安全。进一步规范信息公开流程，完善信息采集、编辑、审核、发布等环节的操作规范，明确公开范围、公开方式和公开时限。加强对公开信息的动态管理，定期对公开目录进行更新和维护，确保政府信息管理工作制度化、规范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rPr>
        <w:t>平台建设情况</w:t>
      </w:r>
      <w:r>
        <w:rPr>
          <w:rFonts w:hint="eastAsia" w:ascii="仿宋_GB2312" w:hAnsi="仿宋_GB2312" w:eastAsia="仿宋_GB2312" w:cs="仿宋_GB2312"/>
          <w:i w:val="0"/>
          <w:iCs w:val="0"/>
          <w:caps w:val="0"/>
          <w:color w:val="auto"/>
          <w:spacing w:val="0"/>
          <w:sz w:val="32"/>
          <w:szCs w:val="32"/>
          <w:shd w:val="clear" w:fill="FFFFFF"/>
          <w:lang w:eastAsia="zh-CN"/>
        </w:rPr>
        <w:t>。我局依托和田地区政府门户网站作为政府信息公开的主渠道，严格按照网站管理要求，做好信息内容及时更新。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pacing w:val="-3"/>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（五）</w:t>
      </w:r>
      <w:r>
        <w:rPr>
          <w:rFonts w:hint="eastAsia" w:ascii="仿宋_GB2312" w:hAnsi="仿宋_GB2312" w:eastAsia="仿宋_GB2312" w:cs="仿宋_GB2312"/>
          <w:i w:val="0"/>
          <w:iCs w:val="0"/>
          <w:caps w:val="0"/>
          <w:color w:val="auto"/>
          <w:spacing w:val="0"/>
          <w:sz w:val="32"/>
          <w:szCs w:val="32"/>
          <w:shd w:val="clear" w:fill="FFFFFF"/>
        </w:rPr>
        <w:t>监督保障情况</w:t>
      </w:r>
      <w:r>
        <w:rPr>
          <w:rFonts w:hint="eastAsia" w:ascii="仿宋_GB2312" w:hAnsi="仿宋_GB2312" w:eastAsia="仿宋_GB2312" w:cs="仿宋_GB2312"/>
          <w:i w:val="0"/>
          <w:iCs w:val="0"/>
          <w:caps w:val="0"/>
          <w:color w:val="auto"/>
          <w:spacing w:val="0"/>
          <w:sz w:val="32"/>
          <w:szCs w:val="32"/>
          <w:shd w:val="clear" w:fill="FFFFFF"/>
          <w:lang w:eastAsia="zh-CN"/>
        </w:rPr>
        <w:t>。我局高度重视政务公开工作的组织领导和监督落实，局政务公开领导小组办公室统一负责全局信息公开工作的统筹规划、组织协调和监督检查。领导小组办公室具体承担日常管理工作，加强与各科室的沟通协作，推动信息公开任务有效落实。2025年，我局严格执行政务公开工作制度，定期对信息公开情况进行自查和评估，及时发现并整改存在的问题，确保各项工作规范有序推进。全年未发生</w:t>
      </w: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25</w:t>
      </w:r>
      <w:r>
        <w:rPr>
          <w:rFonts w:hint="eastAsia" w:ascii="仿宋_GB2312" w:hAnsi="仿宋_GB2312" w:eastAsia="仿宋_GB2312" w:cs="仿宋_GB2312"/>
          <w:i w:val="0"/>
          <w:iCs w:val="0"/>
          <w:caps w:val="0"/>
          <w:color w:val="auto"/>
          <w:spacing w:val="0"/>
          <w:sz w:val="32"/>
          <w:szCs w:val="32"/>
          <w:shd w:val="clear" w:fill="FFFFFF"/>
        </w:rPr>
        <w:t>年，我局未发生因不履行政务公开义务而发生的责任追究</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情况。</w:t>
      </w:r>
    </w:p>
    <w:p>
      <w:pPr>
        <w:spacing w:before="191" w:line="213" w:lineRule="auto"/>
        <w:ind w:left="749"/>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3"/>
          <w:sz w:val="32"/>
          <w:szCs w:val="32"/>
        </w:rPr>
        <w:t>二、主动公开政府信息情况</w:t>
      </w:r>
    </w:p>
    <w:tbl>
      <w:tblPr>
        <w:tblStyle w:val="21"/>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430" w:type="dxa"/>
            <w:gridSpan w:val="4"/>
            <w:vAlign w:val="center"/>
          </w:tcPr>
          <w:p>
            <w:pPr>
              <w:pStyle w:val="20"/>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6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1908" w:type="dxa"/>
            <w:vAlign w:val="center"/>
          </w:tcPr>
          <w:p>
            <w:pPr>
              <w:pStyle w:val="20"/>
              <w:spacing w:before="2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本年制发件数</w:t>
            </w:r>
          </w:p>
        </w:tc>
        <w:tc>
          <w:tcPr>
            <w:tcW w:w="1807" w:type="dxa"/>
            <w:vAlign w:val="center"/>
          </w:tcPr>
          <w:p>
            <w:pPr>
              <w:pStyle w:val="20"/>
              <w:spacing w:before="1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本年废止件数</w:t>
            </w:r>
          </w:p>
        </w:tc>
        <w:tc>
          <w:tcPr>
            <w:tcW w:w="1883" w:type="dxa"/>
            <w:vAlign w:val="center"/>
          </w:tcPr>
          <w:p>
            <w:pPr>
              <w:pStyle w:val="20"/>
              <w:spacing w:before="4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5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规章</w:t>
            </w:r>
          </w:p>
        </w:tc>
        <w:tc>
          <w:tcPr>
            <w:tcW w:w="1908"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07"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83"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42"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规范性文件</w:t>
            </w:r>
          </w:p>
        </w:tc>
        <w:tc>
          <w:tcPr>
            <w:tcW w:w="1908"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07"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883" w:type="dxa"/>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430" w:type="dxa"/>
            <w:gridSpan w:val="4"/>
            <w:vAlign w:val="center"/>
          </w:tcPr>
          <w:p>
            <w:pPr>
              <w:pStyle w:val="20"/>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20"/>
              <w:spacing w:before="72"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45" w:line="22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行政许可</w:t>
            </w:r>
          </w:p>
        </w:tc>
        <w:tc>
          <w:tcPr>
            <w:tcW w:w="5598" w:type="dxa"/>
            <w:gridSpan w:val="3"/>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430" w:type="dxa"/>
            <w:gridSpan w:val="4"/>
            <w:vAlign w:val="center"/>
          </w:tcPr>
          <w:p>
            <w:pPr>
              <w:pStyle w:val="20"/>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66"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20"/>
              <w:spacing w:before="6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77"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行政处罚</w:t>
            </w:r>
          </w:p>
        </w:tc>
        <w:tc>
          <w:tcPr>
            <w:tcW w:w="5598" w:type="dxa"/>
            <w:gridSpan w:val="3"/>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78"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行政强制</w:t>
            </w:r>
          </w:p>
        </w:tc>
        <w:tc>
          <w:tcPr>
            <w:tcW w:w="5598" w:type="dxa"/>
            <w:gridSpan w:val="3"/>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8430" w:type="dxa"/>
            <w:gridSpan w:val="4"/>
            <w:vAlign w:val="center"/>
          </w:tcPr>
          <w:p>
            <w:pPr>
              <w:pStyle w:val="20"/>
              <w:spacing w:before="78"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5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20"/>
              <w:spacing w:before="68"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4"/>
                <w:sz w:val="21"/>
                <w:szCs w:val="21"/>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832" w:type="dxa"/>
            <w:vAlign w:val="center"/>
          </w:tcPr>
          <w:p>
            <w:pPr>
              <w:pStyle w:val="20"/>
              <w:spacing w:before="6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bl>
    <w:p>
      <w:pPr>
        <w:ind w:firstLine="632" w:firstLineChars="200"/>
        <w:rPr>
          <w:rFonts w:ascii="黑体" w:hAnsi="黑体" w:eastAsia="黑体" w:cs="黑体"/>
          <w:b w:val="0"/>
          <w:bCs w:val="0"/>
          <w:color w:val="auto"/>
          <w:sz w:val="32"/>
          <w:szCs w:val="32"/>
        </w:rPr>
      </w:pPr>
      <w:r>
        <w:rPr>
          <w:rFonts w:ascii="黑体" w:hAnsi="黑体" w:eastAsia="黑体" w:cs="黑体"/>
          <w:b w:val="0"/>
          <w:bCs w:val="0"/>
          <w:color w:val="auto"/>
          <w:spacing w:val="-2"/>
          <w:sz w:val="32"/>
          <w:szCs w:val="32"/>
        </w:rPr>
        <w:t>三、收到和处理政府信息公开申请情况</w:t>
      </w:r>
    </w:p>
    <w:p>
      <w:pPr>
        <w:spacing w:line="71" w:lineRule="auto"/>
        <w:rPr>
          <w:rFonts w:ascii="Arial"/>
          <w:color w:val="auto"/>
          <w:sz w:val="2"/>
        </w:rPr>
      </w:pPr>
    </w:p>
    <w:tbl>
      <w:tblPr>
        <w:tblStyle w:val="21"/>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77"/>
        <w:gridCol w:w="469"/>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4361" w:type="dxa"/>
            <w:gridSpan w:val="3"/>
            <w:vMerge w:val="restart"/>
            <w:tcBorders>
              <w:bottom w:val="nil"/>
            </w:tcBorders>
            <w:vAlign w:val="center"/>
          </w:tcPr>
          <w:p>
            <w:pPr>
              <w:pStyle w:val="20"/>
              <w:spacing w:before="75" w:line="206" w:lineRule="auto"/>
              <w:ind w:left="185" w:right="259" w:firstLine="109"/>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(本列数据的勾稽关系为：第一项加第</w:t>
            </w:r>
            <w:r>
              <w:rPr>
                <w:rFonts w:hint="eastAsia" w:ascii="方正仿宋_GB2312" w:hAnsi="方正仿宋_GB2312" w:eastAsia="方正仿宋_GB2312" w:cs="方正仿宋_GB2312"/>
                <w:color w:val="auto"/>
                <w:spacing w:val="2"/>
                <w:sz w:val="21"/>
                <w:szCs w:val="21"/>
              </w:rPr>
              <w:t>二项之和，等于第三项加第四项之和)</w:t>
            </w:r>
          </w:p>
        </w:tc>
        <w:tc>
          <w:tcPr>
            <w:tcW w:w="3989" w:type="dxa"/>
            <w:gridSpan w:val="7"/>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361" w:type="dxa"/>
            <w:gridSpan w:val="3"/>
            <w:vMerge w:val="continue"/>
            <w:tcBorders>
              <w:top w:val="nil"/>
              <w:bottom w:val="nil"/>
            </w:tcBorders>
            <w:vAlign w:val="center"/>
          </w:tcPr>
          <w:p>
            <w:pPr>
              <w:jc w:val="center"/>
              <w:rPr>
                <w:rFonts w:hint="eastAsia" w:ascii="方正仿宋_GB2312" w:hAnsi="方正仿宋_GB2312" w:eastAsia="方正仿宋_GB2312" w:cs="方正仿宋_GB2312"/>
                <w:color w:val="auto"/>
                <w:sz w:val="21"/>
                <w:szCs w:val="21"/>
              </w:rPr>
            </w:pPr>
          </w:p>
        </w:tc>
        <w:tc>
          <w:tcPr>
            <w:tcW w:w="469"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4361" w:type="dxa"/>
            <w:gridSpan w:val="3"/>
            <w:vMerge w:val="continue"/>
            <w:tcBorders>
              <w:top w:val="nil"/>
            </w:tcBorders>
            <w:vAlign w:val="center"/>
          </w:tcPr>
          <w:p>
            <w:pPr>
              <w:jc w:val="center"/>
              <w:rPr>
                <w:rFonts w:hint="eastAsia" w:ascii="方正仿宋_GB2312" w:hAnsi="方正仿宋_GB2312" w:eastAsia="方正仿宋_GB2312" w:cs="方正仿宋_GB2312"/>
                <w:color w:val="auto"/>
                <w:sz w:val="21"/>
                <w:szCs w:val="21"/>
              </w:rPr>
            </w:pPr>
          </w:p>
        </w:tc>
        <w:tc>
          <w:tcPr>
            <w:tcW w:w="469"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sz w:val="21"/>
                <w:szCs w:val="21"/>
              </w:rPr>
            </w:pPr>
          </w:p>
        </w:tc>
        <w:tc>
          <w:tcPr>
            <w:tcW w:w="649" w:type="dxa"/>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4361" w:type="dxa"/>
            <w:gridSpan w:val="3"/>
            <w:vAlign w:val="center"/>
          </w:tcPr>
          <w:p>
            <w:pPr>
              <w:pStyle w:val="20"/>
              <w:spacing w:before="75" w:line="219" w:lineRule="auto"/>
              <w:ind w:left="95"/>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1"/>
                <w:sz w:val="21"/>
                <w:szCs w:val="21"/>
              </w:rPr>
              <w:t>一、本年新收政府信息公开申请数量</w:t>
            </w:r>
          </w:p>
        </w:tc>
        <w:tc>
          <w:tcPr>
            <w:tcW w:w="46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4361" w:type="dxa"/>
            <w:gridSpan w:val="3"/>
            <w:vAlign w:val="center"/>
          </w:tcPr>
          <w:p>
            <w:pPr>
              <w:pStyle w:val="20"/>
              <w:spacing w:before="87" w:line="219" w:lineRule="auto"/>
              <w:ind w:left="95"/>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二、上年结转政府信息公开申请数量</w:t>
            </w:r>
          </w:p>
        </w:tc>
        <w:tc>
          <w:tcPr>
            <w:tcW w:w="46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restart"/>
            <w:tcBorders>
              <w:bottom w:val="nil"/>
            </w:tcBorders>
            <w:vAlign w:val="center"/>
          </w:tcPr>
          <w:p>
            <w:pPr>
              <w:pStyle w:val="20"/>
              <w:spacing w:before="75" w:line="18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22"/>
                <w:sz w:val="21"/>
                <w:szCs w:val="21"/>
              </w:rPr>
              <w:t>三、</w:t>
            </w:r>
          </w:p>
          <w:p>
            <w:pPr>
              <w:pStyle w:val="20"/>
              <w:spacing w:line="197"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3"/>
                <w:sz w:val="21"/>
                <w:szCs w:val="21"/>
              </w:rPr>
              <w:t>本年</w:t>
            </w:r>
          </w:p>
          <w:p>
            <w:pPr>
              <w:pStyle w:val="20"/>
              <w:spacing w:line="210"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度办</w:t>
            </w:r>
          </w:p>
          <w:p>
            <w:pPr>
              <w:pStyle w:val="20"/>
              <w:spacing w:line="208" w:lineRule="auto"/>
              <w:ind w:left="10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理结</w:t>
            </w:r>
          </w:p>
          <w:p>
            <w:pPr>
              <w:pStyle w:val="20"/>
              <w:spacing w:line="220" w:lineRule="auto"/>
              <w:ind w:left="225"/>
              <w:jc w:val="lef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果</w:t>
            </w:r>
          </w:p>
        </w:tc>
        <w:tc>
          <w:tcPr>
            <w:tcW w:w="3626"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(一)予以公开</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3626"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(二)部分公开(区分处理的，只计这一情形，不计其他情形)</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(三)不予公开</w:t>
            </w: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1.属于国家秘密</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2.其他法律行政法规禁止公开</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3.危及“三安全一稳定”</w:t>
            </w:r>
          </w:p>
        </w:tc>
        <w:tc>
          <w:tcPr>
            <w:tcW w:w="46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4.保护第三方合法权益</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5.属于三类内部事务信息</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6.属于四类过程性信息</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7.属于行政执法案卷</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8.属于行政查询事项</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(四)无法提供</w:t>
            </w: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1.本机关不掌握相关政府信息</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2.没有现成信息需要另行制作</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3.补正后申请内容仍不明确</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(五)不予处理</w:t>
            </w: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1.信访举报投诉类申请</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2.重复申请</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3.要求提供公开出版物</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4.无正当理由大量反复申请</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5.要求行政机关确认或重新出具已获取信息</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restart"/>
            <w:tcBorders>
              <w:bottom w:val="nil"/>
            </w:tcBorders>
            <w:vAlign w:val="center"/>
          </w:tcPr>
          <w:p>
            <w:pPr>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(六)其他处理</w:t>
            </w: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1.申请人无正当理由逾期不补正、行政机关不再处理其政府信息公开申请</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rPr>
              <w:t>2.申请人逾期未按收费通知要求缴纳费用、行政机关不再处理其政府信息公开申请</w:t>
            </w:r>
            <w:r>
              <w:rPr>
                <w:rFonts w:hint="eastAsia" w:ascii="方正仿宋_GB2312" w:hAnsi="方正仿宋_GB2312" w:eastAsia="方正仿宋_GB2312" w:cs="方正仿宋_GB2312"/>
                <w:color w:val="auto"/>
                <w:lang w:val="en-US" w:eastAsia="zh-CN"/>
              </w:rPr>
              <w:t xml:space="preserve">   </w:t>
            </w:r>
          </w:p>
        </w:tc>
        <w:tc>
          <w:tcPr>
            <w:tcW w:w="469" w:type="dxa"/>
            <w:vAlign w:val="center"/>
          </w:tcPr>
          <w:p>
            <w:pPr>
              <w:jc w:val="center"/>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color w:val="auto"/>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color w:val="auto"/>
              </w:rPr>
            </w:pPr>
          </w:p>
        </w:tc>
        <w:tc>
          <w:tcPr>
            <w:tcW w:w="2877"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3.其他</w:t>
            </w:r>
          </w:p>
        </w:tc>
        <w:tc>
          <w:tcPr>
            <w:tcW w:w="469" w:type="dxa"/>
            <w:vAlign w:val="center"/>
          </w:tcPr>
          <w:p>
            <w:pPr>
              <w:jc w:val="center"/>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color w:val="auto"/>
                <w:sz w:val="21"/>
                <w:szCs w:val="21"/>
              </w:rPr>
            </w:pPr>
          </w:p>
        </w:tc>
        <w:tc>
          <w:tcPr>
            <w:tcW w:w="3626" w:type="dxa"/>
            <w:gridSpan w:val="2"/>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(七)总计</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4361" w:type="dxa"/>
            <w:gridSpan w:val="3"/>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四、结转下年度继续办理</w:t>
            </w:r>
          </w:p>
        </w:tc>
        <w:tc>
          <w:tcPr>
            <w:tcW w:w="46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4"/>
          <w:sz w:val="32"/>
          <w:szCs w:val="32"/>
        </w:rPr>
        <w:t>四、政府信息公开行政复议、行政诉讼情况</w:t>
      </w:r>
    </w:p>
    <w:tbl>
      <w:tblPr>
        <w:tblStyle w:val="21"/>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行政复议</w:t>
            </w:r>
          </w:p>
        </w:tc>
        <w:tc>
          <w:tcPr>
            <w:tcW w:w="5654" w:type="dxa"/>
            <w:gridSpan w:val="10"/>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2825"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未经复议直接起诉</w:t>
            </w:r>
          </w:p>
        </w:tc>
        <w:tc>
          <w:tcPr>
            <w:tcW w:w="2829"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5"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c>
          <w:tcPr>
            <w:tcW w:w="566"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val="en-US" w:eastAsia="zh-CN"/>
              </w:rPr>
              <w:t>0</w:t>
            </w:r>
          </w:p>
        </w:tc>
      </w:tr>
    </w:tbl>
    <w:p>
      <w:pPr>
        <w:numPr>
          <w:ilvl w:val="0"/>
          <w:numId w:val="2"/>
        </w:numPr>
        <w:spacing w:before="151" w:line="222" w:lineRule="auto"/>
        <w:ind w:left="749"/>
        <w:outlineLvl w:val="1"/>
        <w:rPr>
          <w:rFonts w:ascii="黑体" w:hAnsi="黑体" w:eastAsia="黑体" w:cs="黑体"/>
          <w:b w:val="0"/>
          <w:bCs w:val="0"/>
          <w:color w:val="auto"/>
          <w:spacing w:val="-8"/>
          <w:sz w:val="32"/>
          <w:szCs w:val="32"/>
        </w:rPr>
      </w:pPr>
      <w:r>
        <w:rPr>
          <w:rFonts w:ascii="黑体" w:hAnsi="黑体" w:eastAsia="黑体" w:cs="黑体"/>
          <w:b w:val="0"/>
          <w:bCs w:val="0"/>
          <w:color w:val="auto"/>
          <w:spacing w:val="-8"/>
          <w:sz w:val="32"/>
          <w:szCs w:val="32"/>
        </w:rPr>
        <w:t>存在的主要问题及改进情况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
          <w:b/>
          <w:bCs/>
          <w:snapToGrid w:val="0"/>
          <w:color w:val="auto"/>
          <w:kern w:val="0"/>
          <w:sz w:val="32"/>
          <w:szCs w:val="32"/>
          <w:lang w:val="en-US" w:eastAsia="zh-CN" w:bidi="ar-SA"/>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
          <w:snapToGrid w:val="0"/>
          <w:color w:val="auto"/>
          <w:kern w:val="0"/>
          <w:sz w:val="32"/>
          <w:szCs w:val="32"/>
          <w:lang w:val="en-US" w:eastAsia="zh-CN" w:bidi="ar-SA"/>
        </w:rPr>
      </w:pPr>
      <w:r>
        <w:rPr>
          <w:rFonts w:hint="eastAsia" w:ascii="仿宋_GB2312" w:hAnsi="仿宋_GB2312" w:eastAsia="仿宋_GB2312" w:cs="仿宋"/>
          <w:b/>
          <w:bCs/>
          <w:snapToGrid w:val="0"/>
          <w:color w:val="auto"/>
          <w:kern w:val="0"/>
          <w:sz w:val="32"/>
          <w:szCs w:val="32"/>
          <w:lang w:val="en-US" w:eastAsia="zh-CN" w:bidi="ar-SA"/>
        </w:rPr>
        <w:t>（一）存在的问题。一是</w:t>
      </w:r>
      <w:r>
        <w:rPr>
          <w:rFonts w:hint="eastAsia" w:ascii="仿宋_GB2312" w:hAnsi="仿宋_GB2312" w:eastAsia="仿宋_GB2312" w:cs="仿宋"/>
          <w:snapToGrid w:val="0"/>
          <w:color w:val="auto"/>
          <w:kern w:val="0"/>
          <w:sz w:val="32"/>
          <w:szCs w:val="32"/>
          <w:lang w:val="en-US" w:eastAsia="zh-CN" w:bidi="ar-SA"/>
        </w:rPr>
        <w:t>信息公开的内容不够全面和深入，部分信息更新不够及时；</w:t>
      </w:r>
      <w:r>
        <w:rPr>
          <w:rFonts w:hint="eastAsia" w:ascii="仿宋_GB2312" w:hAnsi="仿宋_GB2312" w:eastAsia="仿宋_GB2312" w:cs="仿宋"/>
          <w:b/>
          <w:bCs/>
          <w:snapToGrid w:val="0"/>
          <w:color w:val="auto"/>
          <w:kern w:val="0"/>
          <w:sz w:val="32"/>
          <w:szCs w:val="32"/>
          <w:lang w:val="en-US" w:eastAsia="zh-CN" w:bidi="ar-SA"/>
        </w:rPr>
        <w:t>二是</w:t>
      </w:r>
      <w:r>
        <w:rPr>
          <w:rFonts w:hint="eastAsia" w:ascii="仿宋_GB2312" w:hAnsi="仿宋_GB2312" w:eastAsia="仿宋_GB2312" w:cs="仿宋"/>
          <w:snapToGrid w:val="0"/>
          <w:color w:val="auto"/>
          <w:kern w:val="0"/>
          <w:sz w:val="32"/>
          <w:szCs w:val="32"/>
          <w:lang w:val="en-US" w:eastAsia="zh-CN" w:bidi="ar-SA"/>
        </w:rPr>
        <w:t>信息公开渠道和方式还不够多样化，公众获取信息的便捷性有待提高。</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
          <w:snapToGrid w:val="0"/>
          <w:color w:val="auto"/>
          <w:kern w:val="0"/>
          <w:sz w:val="32"/>
          <w:szCs w:val="32"/>
          <w:lang w:val="en-US" w:eastAsia="zh-CN" w:bidi="ar-SA"/>
        </w:rPr>
      </w:pPr>
      <w:r>
        <w:rPr>
          <w:rFonts w:hint="eastAsia" w:ascii="仿宋_GB2312" w:hAnsi="仿宋_GB2312" w:eastAsia="仿宋_GB2312" w:cs="仿宋"/>
          <w:b/>
          <w:bCs/>
          <w:snapToGrid w:val="0"/>
          <w:color w:val="auto"/>
          <w:kern w:val="0"/>
          <w:sz w:val="32"/>
          <w:szCs w:val="32"/>
          <w:lang w:val="en-US" w:eastAsia="zh-CN" w:bidi="ar-SA"/>
        </w:rPr>
        <w:t>（二）改进的措施。</w:t>
      </w:r>
      <w:r>
        <w:rPr>
          <w:rFonts w:hint="eastAsia" w:ascii="仿宋_GB2312" w:hAnsi="仿宋_GB2312" w:eastAsia="仿宋_GB2312" w:cs="仿宋"/>
          <w:snapToGrid w:val="0"/>
          <w:color w:val="auto"/>
          <w:kern w:val="0"/>
          <w:sz w:val="32"/>
          <w:szCs w:val="32"/>
          <w:lang w:val="en-US" w:eastAsia="zh-CN" w:bidi="ar-SA"/>
        </w:rPr>
        <w:t>针对存在的问题，我局将进一步拓宽信息公开的范围和深度，加强对重点领域和关键环节信息的公开；优化信息公开平台的功能和布局，增加信息发布的渠道和方式。</w:t>
      </w:r>
    </w:p>
    <w:p>
      <w:pPr>
        <w:spacing w:before="151" w:line="222" w:lineRule="auto"/>
        <w:ind w:left="749"/>
        <w:outlineLvl w:val="1"/>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
          <w:color w:val="auto"/>
          <w:sz w:val="32"/>
          <w:szCs w:val="32"/>
          <w:lang w:val="en-US" w:eastAsia="en-US"/>
        </w:rPr>
      </w:pPr>
      <w:r>
        <w:rPr>
          <w:rFonts w:hint="eastAsia" w:ascii="仿宋_GB2312" w:hAnsi="仿宋_GB2312" w:eastAsia="仿宋_GB2312" w:cs="仿宋"/>
          <w:color w:val="auto"/>
          <w:sz w:val="32"/>
          <w:szCs w:val="32"/>
          <w:lang w:eastAsia="zh-CN"/>
        </w:rPr>
        <w:t>本机关严格按照《国务院办公厅关于印发</w:t>
      </w:r>
      <w:r>
        <w:rPr>
          <w:rFonts w:hint="eastAsia" w:ascii="仿宋_GB2312" w:hAnsi="仿宋_GB2312" w:eastAsia="仿宋_GB2312" w:cs="仿宋"/>
          <w:color w:val="auto"/>
          <w:sz w:val="32"/>
          <w:szCs w:val="32"/>
          <w:lang w:val="en-US" w:eastAsia="zh-CN"/>
        </w:rPr>
        <w:t>&lt;政府信息处理费管理办法&gt;的通知</w:t>
      </w:r>
      <w:r>
        <w:rPr>
          <w:rFonts w:hint="eastAsia" w:ascii="仿宋_GB2312" w:hAnsi="仿宋_GB2312" w:eastAsia="仿宋_GB2312" w:cs="仿宋"/>
          <w:color w:val="auto"/>
          <w:sz w:val="32"/>
          <w:szCs w:val="32"/>
          <w:lang w:eastAsia="zh-CN"/>
        </w:rPr>
        <w:t>》（国办函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
          <w:color w:val="auto"/>
          <w:sz w:val="32"/>
          <w:szCs w:val="32"/>
          <w:lang w:val="en-US" w:eastAsia="zh-CN"/>
        </w:rPr>
        <w:t>2020</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
          <w:color w:val="auto"/>
          <w:sz w:val="32"/>
          <w:szCs w:val="32"/>
          <w:lang w:val="en-US" w:eastAsia="zh-CN"/>
        </w:rPr>
        <w:t>109号</w:t>
      </w:r>
      <w:r>
        <w:rPr>
          <w:rFonts w:hint="eastAsia" w:ascii="仿宋_GB2312" w:hAnsi="仿宋_GB2312" w:eastAsia="仿宋_GB2312" w:cs="仿宋"/>
          <w:color w:val="auto"/>
          <w:sz w:val="32"/>
          <w:szCs w:val="32"/>
          <w:lang w:eastAsia="zh-CN"/>
        </w:rPr>
        <w:t>）规定的按件、按量收费标准，本年度没有产生信息公开处理费，同时也未收取信息处理相关费用，无其他需要报告的事项。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
          <w:color w:val="auto"/>
          <w:sz w:val="32"/>
          <w:szCs w:val="32"/>
          <w:lang w:eastAsia="zh-CN"/>
        </w:rPr>
      </w:pPr>
    </w:p>
    <w:p>
      <w:pPr>
        <w:pStyle w:val="11"/>
        <w:rPr>
          <w:rFonts w:hint="eastAsia" w:ascii="仿宋_GB2312" w:hAnsi="仿宋_GB2312" w:eastAsia="仿宋_GB2312" w:cs="仿宋_GB2312"/>
          <w:color w:val="auto"/>
          <w:sz w:val="32"/>
          <w:szCs w:val="32"/>
          <w:lang w:val="en-US" w:eastAsia="en-US"/>
        </w:rPr>
      </w:pPr>
    </w:p>
    <w:p>
      <w:pPr>
        <w:pStyle w:val="11"/>
        <w:ind w:left="0" w:leftChars="0" w:firstLine="0" w:firstLineChars="0"/>
        <w:rPr>
          <w:rFonts w:hint="eastAsia" w:ascii="仿宋_GB2312" w:hAnsi="仿宋_GB2312" w:eastAsia="仿宋_GB2312" w:cs="仿宋_GB2312"/>
          <w:color w:val="auto"/>
          <w:sz w:val="32"/>
          <w:szCs w:val="32"/>
          <w:lang w:val="en-US" w:eastAsia="en-US"/>
        </w:rPr>
      </w:pPr>
    </w:p>
    <w:p>
      <w:pPr>
        <w:pStyle w:val="11"/>
        <w:wordWrap w:val="0"/>
        <w:ind w:left="0" w:leftChars="0" w:firstLine="0" w:firstLineChars="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和田地区机关事务管理局</w:t>
      </w:r>
      <w:r>
        <w:rPr>
          <w:rFonts w:hint="eastAsia" w:ascii="仿宋_GB2312" w:hAnsi="仿宋_GB2312" w:eastAsia="仿宋_GB2312" w:cs="仿宋_GB2312"/>
          <w:color w:val="auto"/>
          <w:sz w:val="32"/>
          <w:szCs w:val="32"/>
          <w:lang w:val="en-US" w:eastAsia="zh-CN"/>
        </w:rPr>
        <w:t xml:space="preserve">    </w:t>
      </w:r>
    </w:p>
    <w:p>
      <w:pPr>
        <w:pStyle w:val="11"/>
        <w:wordWrap w:val="0"/>
        <w:ind w:left="0" w:leftChars="0" w:firstLine="0" w:firstLineChars="0"/>
        <w:jc w:val="right"/>
      </w:pPr>
      <w:r>
        <w:rPr>
          <w:rFonts w:hint="eastAsia" w:ascii="仿宋_GB2312" w:hAnsi="仿宋_GB2312" w:eastAsia="仿宋_GB2312" w:cs="仿宋_GB2312"/>
          <w:color w:val="auto"/>
          <w:sz w:val="32"/>
          <w:szCs w:val="32"/>
          <w:lang w:val="en-US" w:eastAsia="zh-CN"/>
        </w:rPr>
        <w:t xml:space="preserve">2026年1月13日        </w:t>
      </w:r>
    </w:p>
    <w:sectPr>
      <w:footerReference r:id="rId3" w:type="default"/>
      <w:pgSz w:w="11905" w:h="16838"/>
      <w:pgMar w:top="2098" w:right="1474" w:bottom="1984" w:left="1587" w:header="0" w:footer="107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宋体-GB18030">
    <w:altName w:val="宋体"/>
    <w:panose1 w:val="02000500000000000000"/>
    <w:charset w:val="86"/>
    <w:family w:val="auto"/>
    <w:pitch w:val="default"/>
    <w:sig w:usb0="00000000" w:usb1="00000000" w:usb2="00000016" w:usb3="00000000" w:csb0="0004000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69853C"/>
    <w:multiLevelType w:val="singleLevel"/>
    <w:tmpl w:val="F969853C"/>
    <w:lvl w:ilvl="0" w:tentative="0">
      <w:start w:val="5"/>
      <w:numFmt w:val="chineseCounting"/>
      <w:suff w:val="nothing"/>
      <w:lvlText w:val="%1、"/>
      <w:lvlJc w:val="left"/>
      <w:rPr>
        <w:rFonts w:hint="eastAsia"/>
      </w:rPr>
    </w:lvl>
  </w:abstractNum>
  <w:abstractNum w:abstractNumId="1">
    <w:nsid w:val="3B287DE7"/>
    <w:multiLevelType w:val="singleLevel"/>
    <w:tmpl w:val="3B287DE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9182C"/>
    <w:rsid w:val="0154758E"/>
    <w:rsid w:val="023E4E89"/>
    <w:rsid w:val="030F4335"/>
    <w:rsid w:val="03F56845"/>
    <w:rsid w:val="0444449D"/>
    <w:rsid w:val="04A65D51"/>
    <w:rsid w:val="04BD1F97"/>
    <w:rsid w:val="04F81400"/>
    <w:rsid w:val="058A6CC0"/>
    <w:rsid w:val="06D92EE8"/>
    <w:rsid w:val="0FE96979"/>
    <w:rsid w:val="12407D94"/>
    <w:rsid w:val="12977C86"/>
    <w:rsid w:val="12C06AD2"/>
    <w:rsid w:val="134C5E5F"/>
    <w:rsid w:val="16232EF3"/>
    <w:rsid w:val="17083D56"/>
    <w:rsid w:val="17327B4B"/>
    <w:rsid w:val="1C1A2172"/>
    <w:rsid w:val="1E150271"/>
    <w:rsid w:val="20FB4567"/>
    <w:rsid w:val="213E1167"/>
    <w:rsid w:val="214D0D7D"/>
    <w:rsid w:val="2159182C"/>
    <w:rsid w:val="2237210E"/>
    <w:rsid w:val="22A125DA"/>
    <w:rsid w:val="23354583"/>
    <w:rsid w:val="23DF42BE"/>
    <w:rsid w:val="281B682E"/>
    <w:rsid w:val="2848086C"/>
    <w:rsid w:val="28C421E4"/>
    <w:rsid w:val="2AC44300"/>
    <w:rsid w:val="2B356253"/>
    <w:rsid w:val="2D104AA9"/>
    <w:rsid w:val="2DDF2491"/>
    <w:rsid w:val="2E4F04E8"/>
    <w:rsid w:val="2E85727F"/>
    <w:rsid w:val="335C036C"/>
    <w:rsid w:val="33EE53DC"/>
    <w:rsid w:val="34B36604"/>
    <w:rsid w:val="34CA0FD0"/>
    <w:rsid w:val="36A06B36"/>
    <w:rsid w:val="372A777B"/>
    <w:rsid w:val="38575EA0"/>
    <w:rsid w:val="3BAF6458"/>
    <w:rsid w:val="3E0A2784"/>
    <w:rsid w:val="3F6F4D69"/>
    <w:rsid w:val="404A12AD"/>
    <w:rsid w:val="41CA1819"/>
    <w:rsid w:val="42693CB9"/>
    <w:rsid w:val="42F727CB"/>
    <w:rsid w:val="43B02118"/>
    <w:rsid w:val="45236DFE"/>
    <w:rsid w:val="46623459"/>
    <w:rsid w:val="48090DB7"/>
    <w:rsid w:val="48CC0051"/>
    <w:rsid w:val="491662E2"/>
    <w:rsid w:val="4AAF492E"/>
    <w:rsid w:val="4AB1742B"/>
    <w:rsid w:val="4B2C0B77"/>
    <w:rsid w:val="4FCE1A58"/>
    <w:rsid w:val="506C79F2"/>
    <w:rsid w:val="51B56480"/>
    <w:rsid w:val="52DF2202"/>
    <w:rsid w:val="53AE0071"/>
    <w:rsid w:val="54080347"/>
    <w:rsid w:val="543350B2"/>
    <w:rsid w:val="561403EB"/>
    <w:rsid w:val="5D062FF5"/>
    <w:rsid w:val="6042714D"/>
    <w:rsid w:val="6136311E"/>
    <w:rsid w:val="61546909"/>
    <w:rsid w:val="61595E42"/>
    <w:rsid w:val="616457AD"/>
    <w:rsid w:val="61970D4F"/>
    <w:rsid w:val="641E49DB"/>
    <w:rsid w:val="64DF7F5B"/>
    <w:rsid w:val="64ED4C7E"/>
    <w:rsid w:val="676F2654"/>
    <w:rsid w:val="69461668"/>
    <w:rsid w:val="69DA34DA"/>
    <w:rsid w:val="6BB3327C"/>
    <w:rsid w:val="6DC8294F"/>
    <w:rsid w:val="6E9B3F2D"/>
    <w:rsid w:val="6EC74C58"/>
    <w:rsid w:val="6F1B630C"/>
    <w:rsid w:val="6FA347CE"/>
    <w:rsid w:val="6FBD3D15"/>
    <w:rsid w:val="707A5697"/>
    <w:rsid w:val="710E2608"/>
    <w:rsid w:val="71DA65C5"/>
    <w:rsid w:val="73740045"/>
    <w:rsid w:val="764D7898"/>
    <w:rsid w:val="777D4AD2"/>
    <w:rsid w:val="78371425"/>
    <w:rsid w:val="7CBA2046"/>
    <w:rsid w:val="7E227B7D"/>
    <w:rsid w:val="7F22771F"/>
    <w:rsid w:val="7FEA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6"/>
    <w:qFormat/>
    <w:uiPriority w:val="0"/>
    <w:pPr>
      <w:keepNext/>
      <w:keepLines/>
      <w:spacing w:beforeLines="0" w:beforeAutospacing="0" w:afterLines="0" w:afterAutospacing="0" w:line="700" w:lineRule="exact"/>
      <w:ind w:firstLine="0" w:firstLineChars="0"/>
      <w:jc w:val="center"/>
      <w:outlineLvl w:val="0"/>
    </w:pPr>
    <w:rPr>
      <w:rFonts w:eastAsia="方正小标宋简体"/>
      <w:kern w:val="44"/>
      <w:sz w:val="44"/>
      <w:szCs w:val="22"/>
    </w:rPr>
  </w:style>
  <w:style w:type="paragraph" w:styleId="4">
    <w:name w:val="heading 2"/>
    <w:basedOn w:val="1"/>
    <w:next w:val="1"/>
    <w:link w:val="18"/>
    <w:unhideWhenUsed/>
    <w:qFormat/>
    <w:uiPriority w:val="0"/>
    <w:pPr>
      <w:keepNext/>
      <w:keepLines/>
      <w:adjustRightInd/>
      <w:snapToGrid/>
      <w:spacing w:beforeLines="0" w:beforeAutospacing="0" w:afterLines="0" w:afterAutospacing="0" w:line="560" w:lineRule="exact"/>
      <w:ind w:firstLine="640" w:firstLineChars="200"/>
      <w:jc w:val="left"/>
      <w:outlineLvl w:val="1"/>
    </w:pPr>
    <w:rPr>
      <w:rFonts w:ascii="Arial" w:hAnsi="Arial" w:eastAsia="黑体" w:cstheme="minorBidi"/>
      <w:sz w:val="32"/>
    </w:rPr>
  </w:style>
  <w:style w:type="paragraph" w:styleId="5">
    <w:name w:val="heading 3"/>
    <w:basedOn w:val="1"/>
    <w:next w:val="1"/>
    <w:link w:val="19"/>
    <w:semiHidden/>
    <w:unhideWhenUsed/>
    <w:qFormat/>
    <w:uiPriority w:val="0"/>
    <w:pPr>
      <w:keepNext/>
      <w:keepLines/>
      <w:spacing w:beforeLines="0" w:beforeAutospacing="0" w:afterLines="0" w:afterAutospacing="0" w:line="560" w:lineRule="exact"/>
      <w:jc w:val="left"/>
      <w:outlineLvl w:val="2"/>
    </w:pPr>
    <w:rPr>
      <w:rFonts w:ascii="Calibri" w:hAnsi="Calibri" w:eastAsia="楷体"/>
    </w:rPr>
  </w:style>
  <w:style w:type="paragraph" w:styleId="6">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sz w:val="32"/>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7">
    <w:name w:val="Normal Indent"/>
    <w:basedOn w:val="1"/>
    <w:qFormat/>
    <w:uiPriority w:val="0"/>
    <w:pPr>
      <w:ind w:firstLine="420" w:firstLineChars="200"/>
    </w:pPr>
  </w:style>
  <w:style w:type="paragraph" w:styleId="8">
    <w:name w:val="Body Text"/>
    <w:basedOn w:val="1"/>
    <w:qFormat/>
    <w:uiPriority w:val="0"/>
    <w:pPr>
      <w:adjustRightInd/>
      <w:snapToGrid/>
      <w:spacing w:line="560" w:lineRule="exact"/>
    </w:pPr>
    <w:rPr>
      <w:rFonts w:ascii="宋体" w:hAnsi="宋体" w:cs="宋体"/>
      <w:sz w:val="32"/>
      <w:szCs w:val="58"/>
    </w:rPr>
  </w:style>
  <w:style w:type="paragraph" w:styleId="9">
    <w:name w:val="Body Text Indent"/>
    <w:basedOn w:val="1"/>
    <w:qFormat/>
    <w:uiPriority w:val="0"/>
    <w:pPr>
      <w:spacing w:after="120" w:afterLines="0" w:afterAutospacing="0"/>
      <w:ind w:left="420" w:leftChars="200"/>
    </w:pPr>
  </w:style>
  <w:style w:type="paragraph" w:styleId="10">
    <w:name w:val="footer"/>
    <w:basedOn w:val="1"/>
    <w:qFormat/>
    <w:uiPriority w:val="0"/>
    <w:pPr>
      <w:tabs>
        <w:tab w:val="center" w:pos="4153"/>
        <w:tab w:val="right" w:pos="8306"/>
      </w:tabs>
      <w:snapToGrid w:val="0"/>
      <w:jc w:val="left"/>
    </w:pPr>
    <w:rPr>
      <w:rFonts w:ascii="Arial" w:hAnsi="Arial" w:eastAsia="CESI宋体-GB18030"/>
      <w:sz w:val="28"/>
    </w:rPr>
  </w:style>
  <w:style w:type="paragraph" w:styleId="11">
    <w:name w:val="Body Text First Indent 2"/>
    <w:basedOn w:val="9"/>
    <w:qFormat/>
    <w:uiPriority w:val="0"/>
    <w:pPr>
      <w:ind w:firstLine="420" w:firstLineChars="200"/>
    </w:pPr>
  </w:style>
  <w:style w:type="paragraph" w:styleId="12">
    <w:name w:val="Normal (Web)"/>
    <w:basedOn w:val="1"/>
    <w:qFormat/>
    <w:uiPriority w:val="0"/>
    <w:pPr>
      <w:spacing w:beforeLines="0" w:beforeAutospacing="0" w:afterLines="0" w:afterAutospacing="0"/>
      <w:ind w:left="0" w:right="0"/>
      <w:jc w:val="both"/>
    </w:pPr>
    <w:rPr>
      <w:rFonts w:ascii="仿宋_GB2312" w:hAnsi="仿宋_GB2312" w:cs="Times New Roman"/>
      <w:kern w:val="0"/>
      <w:sz w:val="32"/>
      <w:szCs w:val="32"/>
      <w:lang w:bidi="ar-SA"/>
    </w:rPr>
  </w:style>
  <w:style w:type="paragraph" w:styleId="13">
    <w:name w:val="Title"/>
    <w:basedOn w:val="1"/>
    <w:next w:val="1"/>
    <w:qFormat/>
    <w:uiPriority w:val="0"/>
    <w:pPr>
      <w:adjustRightInd/>
      <w:snapToGrid/>
      <w:spacing w:beforeLines="0" w:beforeAutospacing="0" w:afterLines="0" w:afterAutospacing="0" w:line="700" w:lineRule="exact"/>
      <w:ind w:firstLine="0" w:firstLineChars="0"/>
      <w:jc w:val="center"/>
      <w:outlineLvl w:val="0"/>
    </w:pPr>
    <w:rPr>
      <w:rFonts w:eastAsia="方正小标宋简体"/>
      <w:sz w:val="44"/>
    </w:rPr>
  </w:style>
  <w:style w:type="character" w:customStyle="1" w:styleId="16">
    <w:name w:val="标题 1 Char"/>
    <w:link w:val="3"/>
    <w:qFormat/>
    <w:uiPriority w:val="0"/>
    <w:rPr>
      <w:rFonts w:eastAsia="方正小标宋简体" w:asciiTheme="minorAscii" w:hAnsiTheme="minorAscii" w:cstheme="minorBidi"/>
      <w:kern w:val="44"/>
      <w:sz w:val="44"/>
      <w:szCs w:val="22"/>
      <w:lang w:eastAsia="zh-CN"/>
    </w:rPr>
  </w:style>
  <w:style w:type="paragraph" w:customStyle="1" w:styleId="17">
    <w:name w:val="WPSOffice手动目录 1"/>
    <w:qFormat/>
    <w:uiPriority w:val="0"/>
    <w:pPr>
      <w:spacing w:line="560" w:lineRule="exact"/>
      <w:ind w:leftChars="0"/>
    </w:pPr>
    <w:rPr>
      <w:rFonts w:ascii="Times New Roman" w:hAnsi="Times New Roman" w:eastAsia="楷体" w:cstheme="minorBidi"/>
      <w:sz w:val="32"/>
      <w:szCs w:val="20"/>
    </w:rPr>
  </w:style>
  <w:style w:type="character" w:customStyle="1" w:styleId="18">
    <w:name w:val="标题 2 Char"/>
    <w:link w:val="4"/>
    <w:qFormat/>
    <w:uiPriority w:val="0"/>
    <w:rPr>
      <w:rFonts w:ascii="Arial" w:hAnsi="Arial" w:eastAsia="黑体" w:cstheme="minorBidi"/>
    </w:rPr>
  </w:style>
  <w:style w:type="character" w:customStyle="1" w:styleId="19">
    <w:name w:val="标题 3 Char"/>
    <w:link w:val="5"/>
    <w:qFormat/>
    <w:uiPriority w:val="0"/>
    <w:rPr>
      <w:rFonts w:ascii="Calibri" w:hAnsi="Calibri" w:eastAsia="楷体"/>
      <w:sz w:val="32"/>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54</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2025-01-14T02:37:00Z</dcterms:created>
  <dc:creator>Administrator</dc:creator>
  <cp:lastModifiedBy>Administrator</cp:lastModifiedBy>
  <cp:lastPrinted>2026-01-14T03:39:00Z</cp:lastPrinted>
  <dcterms:modified xsi:type="dcterms:W3CDTF">2026-01-30T11:24:40Z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116E3C92B6C5482DBE36ECEB69C2BB71_13</vt:lpwstr>
  </property>
</Properties>
</file>