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和田地区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医疗保障局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年度政府信息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公开工作年度报告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</w:pPr>
      <w:r>
        <w:t> 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年，地区医疗保障局坚持以习近平新时代中国特色社会主义思想为指导，严格按照《中华人民共和国政府信息公开条例》有关规定和要求，紧紧围绕地委、行署重大决策部署以及人民群众关注关切的问题，认真贯彻落实政府信息公开工作各项要求，积极做好信息公开工作，较好履行了机关单位公开工作职责。现就工作开展情况报告如下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shd w:val="clear" w:fill="FFFFFF"/>
        </w:rPr>
        <w:t>（一）持续加大信息主动公开力度。</w:t>
      </w:r>
      <w:r>
        <w:rPr>
          <w:rFonts w:hint="eastAsia" w:ascii="Times New Roman" w:hAnsi="Times New Roman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年，我局按照政府信息公开工作的要求，持续坚持“公开为常态，不公开为例外”原则，聚焦群众急难愁盼和基金安全核心关切，通过“扩围、提质、创新、强基”四大举措，构建覆盖全流程、多渠道、高实效的信息公开体系，实现公开内容更精准、解读形式更生动、获取渠道更便捷、监督参与更广泛，让医保政策可感可及、基金运行阳光透明，持续增强群众获得感与信任感。全面推进政务公开工作，全年发布信息共</w:t>
      </w:r>
      <w:r>
        <w:rPr>
          <w:rFonts w:hint="eastAsia" w:ascii="Times New Roman" w:hAnsi="Times New Roman" w:eastAsia="仿宋_GB2312" w:cs="仿宋_GB2312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条。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shd w:val="clear" w:fill="FFFFFF"/>
        </w:rPr>
        <w:t>（二）依法依规开展信息申请公开。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根据国办及自治区、地区关于依申请公开工作要求，依法合规、便民高效、闭环留痕、风险可控为核心，严格遵循《政府信息公开条例》，规范全流程管理，确保答复精准、时限刚性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信息准确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shd w:val="clear" w:fill="FFFFFF"/>
        </w:rPr>
        <w:t>（三）不断提质便民利企信息服务。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依照地区医疗保障局工作实际，及时在“和田地区医疗保障局”微信公众号公开医保工作动态信息、医保业务办理程序和各项医保政策法规，聚焦医保基金监管、参保缴费政策调整、异地就医结算等群众关切的重点领域，开展专项督查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及时更新实时数据，让群众更便捷、更准确地了解医保政策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shd w:val="clear" w:fill="FFFFFF"/>
        </w:rPr>
        <w:t>（四）加快完善政府信息规范管理。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领导小组办公室采取“定期检查+随机抽查”相结合的方式开展督查。每月对主动公开信息的发布时效、内容质量、格式规范进行检查；每季度对依申请公开的办理流程、答复时限、文书规范进行抽查，重点核查是否存在应公开未公开、超期答复、答复理由不充分等问题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shd w:val="clear" w:fill="FFFFFF"/>
        </w:rPr>
        <w:t>（五）狠抓信息公开监督保障工作。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公开信息公开监督举报电话、邮箱，在医保服务大厅设置意见箱；通过官方新媒体平台、基层服务站点，广泛收集群众对信息公开工作的意见建议。对群众举报和反馈的问题，做到件件有回音、事事有落实，并及时公开整改结果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3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7937" w:type="dxa"/>
        <w:tblCellSpacing w:w="0" w:type="dxa"/>
        <w:tblInd w:w="-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84"/>
        <w:gridCol w:w="1985"/>
        <w:gridCol w:w="1984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CellSpacing w:w="0" w:type="dxa"/>
        </w:trPr>
        <w:tc>
          <w:tcPr>
            <w:tcW w:w="793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CellSpacing w:w="0" w:type="dxa"/>
        </w:trPr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本年制发件数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CellSpacing w:w="0" w:type="dxa"/>
        </w:trPr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CellSpacing w:w="0" w:type="dxa"/>
        </w:trPr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00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CellSpacing w:w="0" w:type="dxa"/>
        </w:trPr>
        <w:tc>
          <w:tcPr>
            <w:tcW w:w="793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CellSpacing w:w="0" w:type="dxa"/>
        </w:trPr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CellSpacing w:w="0" w:type="dxa"/>
        </w:trPr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0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CellSpacing w:w="0" w:type="dxa"/>
        </w:trPr>
        <w:tc>
          <w:tcPr>
            <w:tcW w:w="793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CellSpacing w:w="0" w:type="dxa"/>
        </w:trPr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595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CellSpacing w:w="0" w:type="dxa"/>
        </w:trPr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00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CellSpacing w:w="0" w:type="dxa"/>
        </w:trPr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20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CellSpacing w:w="0" w:type="dxa"/>
        </w:trPr>
        <w:tc>
          <w:tcPr>
            <w:tcW w:w="793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CellSpacing w:w="0" w:type="dxa"/>
        </w:trPr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CellSpacing w:w="0" w:type="dxa"/>
        </w:trPr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00"/>
              <w:jc w:val="both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3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3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8471" w:type="dxa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10"/>
        <w:gridCol w:w="895"/>
        <w:gridCol w:w="2722"/>
        <w:gridCol w:w="454"/>
        <w:gridCol w:w="631"/>
        <w:gridCol w:w="631"/>
        <w:gridCol w:w="736"/>
        <w:gridCol w:w="726"/>
        <w:gridCol w:w="447"/>
        <w:gridCol w:w="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432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144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2" w:hRule="atLeast"/>
          <w:tblCellSpacing w:w="0" w:type="dxa"/>
          <w:jc w:val="center"/>
        </w:trPr>
        <w:tc>
          <w:tcPr>
            <w:tcW w:w="432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31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5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432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企业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机构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5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432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432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9" w:hRule="atLeast"/>
          <w:tblCellSpacing w:w="0" w:type="dxa"/>
          <w:jc w:val="center"/>
        </w:trPr>
        <w:tc>
          <w:tcPr>
            <w:tcW w:w="71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36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atLeast"/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2" w:hRule="atLeast"/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.属于国家秘密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.其他法律行政法规禁止公开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.危及“三安全一稳定”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.保护第三方合法权益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.属于三类内部事务信息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.属于四类过程性信息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.属于行政执法案卷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8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.属于行政查询事项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2" w:hRule="atLeast"/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.本机关不掌握相关政府信息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.没有现成信息需要另行制作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.补正后申请内容仍不明确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2" w:hRule="atLeast"/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.信访举报投诉类申请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.重复申请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.要求提供公开出版物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.无正当理由大量反复申请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4" w:hRule="atLeast"/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.要求行政机关确认或重新出具已获取信息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1" w:hRule="atLeast"/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.申请人无正当理由逾期不补正、行政机关不再处理其政府信息公开申请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.申请人逾期未按收费通知要求缴纳费用、行政机关不再处理其政府信息公开申请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.其他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4327" w:type="dxa"/>
            <w:gridSpan w:val="3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3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3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3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W w:w="8504" w:type="dxa"/>
        <w:tblCellSpacing w:w="0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560"/>
        <w:gridCol w:w="561"/>
        <w:gridCol w:w="561"/>
        <w:gridCol w:w="560"/>
        <w:gridCol w:w="561"/>
        <w:gridCol w:w="560"/>
        <w:gridCol w:w="562"/>
        <w:gridCol w:w="561"/>
        <w:gridCol w:w="561"/>
        <w:gridCol w:w="562"/>
        <w:gridCol w:w="561"/>
        <w:gridCol w:w="562"/>
        <w:gridCol w:w="561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shd w:val="clear" w:color="auto" w:fill="auto"/>
          <w:tblLayout w:type="fixed"/>
        </w:tblPrEx>
        <w:trPr>
          <w:tblCellSpacing w:w="0" w:type="dxa"/>
        </w:trPr>
        <w:tc>
          <w:tcPr>
            <w:tcW w:w="2803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5701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5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 纠正</w:t>
            </w:r>
          </w:p>
        </w:tc>
        <w:tc>
          <w:tcPr>
            <w:tcW w:w="5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 结果</w:t>
            </w:r>
          </w:p>
        </w:tc>
        <w:tc>
          <w:tcPr>
            <w:tcW w:w="5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 审结</w:t>
            </w:r>
          </w:p>
        </w:tc>
        <w:tc>
          <w:tcPr>
            <w:tcW w:w="5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28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28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 维持</w:t>
            </w:r>
          </w:p>
        </w:tc>
        <w:tc>
          <w:tcPr>
            <w:tcW w:w="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 纠正</w:t>
            </w:r>
          </w:p>
        </w:tc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 结果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 审结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 维持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 纠正</w:t>
            </w:r>
          </w:p>
        </w:tc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 结果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 审结</w:t>
            </w:r>
          </w:p>
        </w:tc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tblCellSpacing w:w="0" w:type="dxa"/>
        </w:trPr>
        <w:tc>
          <w:tcPr>
            <w:tcW w:w="561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00"/>
              <w:jc w:val="both"/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440" w:hanging="360"/>
        <w:textAlignment w:val="auto"/>
        <w:rPr>
          <w:b w:val="0"/>
          <w:bCs w:val="0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shd w:val="clear" w:fill="FFFFFF"/>
        </w:rPr>
        <w:t>（一）主要问题。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信息发布时效性有待提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升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因业务工作繁重、工作人员不足，部分非紧急类信息存在发布延迟情况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未能完全实现“即时公开”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shd w:val="clear" w:fill="FFFFFF"/>
        </w:rPr>
        <w:t>（二）改进情况。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强化时效管理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优化信息报送流程，明确各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室信息公开时限责任，建立“信息生成-审核-发布”闭环机制，确保主动公开信息在规定时限内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发布；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丰富公开形式：增加政策解读的多样性，采用图文结合、案例分析、在线问答等形式，提升信息可读性和实用性；针对重点医保政策，开展专题解读活动，让群众“看得懂、用得上”；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完善平台功能：升级政务新媒体互动模块，设立专人负责在线咨询和留言回复，建立</w:t>
      </w:r>
      <w:r>
        <w:rPr>
          <w:rFonts w:hint="eastAsia" w:ascii="Times New Roman" w:hAnsi="Times New Roman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小时内响应机制；拓宽公开渠道，探索与本地媒体合作，扩大医保信息覆盖面。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六、其他需要报告的事项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年，本机关按照《国务院办公厅关于印发&lt;政府信息公开信息处理费管理办法&gt;的通知》（国办函〔</w:t>
      </w:r>
      <w:r>
        <w:rPr>
          <w:rFonts w:hint="eastAsia" w:ascii="Times New Roman" w:hAnsi="Times New Roman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〕</w:t>
      </w:r>
      <w:r>
        <w:rPr>
          <w:rFonts w:hint="eastAsia" w:ascii="Times New Roman" w:hAnsi="Times New Roman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109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号）规定的按件、按量收费标准，本年度没有产生信息公开处理费。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 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firstLine="4160"/>
        <w:jc w:val="both"/>
        <w:textAlignment w:val="auto"/>
        <w:rPr>
          <w:b w:val="0"/>
          <w:bCs w:val="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  <w:shd w:val="clear" w:fill="FFFFFF"/>
        </w:rPr>
        <w:t>和田地区医疗保障局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firstLine="4800"/>
        <w:jc w:val="both"/>
        <w:textAlignment w:val="auto"/>
        <w:rPr>
          <w:b w:val="0"/>
          <w:bCs w:val="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1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color w:val="333333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E6E6B"/>
    <w:multiLevelType w:val="multilevel"/>
    <w:tmpl w:val="79AE6E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95F6C"/>
    <w:rsid w:val="0F8E18A5"/>
    <w:rsid w:val="13C13492"/>
    <w:rsid w:val="17BD5C5B"/>
    <w:rsid w:val="1F6D6B9B"/>
    <w:rsid w:val="3C8A5E5F"/>
    <w:rsid w:val="3D5742AE"/>
    <w:rsid w:val="44210A43"/>
    <w:rsid w:val="4BAC4F16"/>
    <w:rsid w:val="60C568C8"/>
    <w:rsid w:val="66DE63EA"/>
    <w:rsid w:val="70D8212E"/>
    <w:rsid w:val="747961E9"/>
    <w:rsid w:val="7B09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2026-01-12T05:19:00Z</dcterms:created>
  <dc:creator>Administrator</dc:creator>
  <cp:lastModifiedBy>Administrator</cp:lastModifiedBy>
  <cp:lastPrinted>2026-01-13T04:12:00Z</cp:lastPrinted>
  <dcterms:modified xsi:type="dcterms:W3CDTF">2026-01-30T11:22:02Z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FF1E9A594A9045AB8400E4166062EF2F_13</vt:lpwstr>
  </property>
</Properties>
</file>