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b w:val="0"/>
          <w:bCs w:val="0"/>
          <w:color w:val="auto"/>
          <w:sz w:val="44"/>
          <w:szCs w:val="44"/>
          <w:lang w:eastAsia="zh-CN"/>
        </w:rPr>
      </w:pPr>
      <w:r>
        <w:rPr>
          <w:rFonts w:hint="eastAsia" w:ascii="方正仿宋简体" w:hAnsi="方正仿宋简体" w:eastAsia="方正仿宋简体" w:cs="方正仿宋简体"/>
          <w:b w:val="0"/>
          <w:bCs w:val="0"/>
          <w:color w:val="auto"/>
          <w:sz w:val="32"/>
          <w:szCs w:val="32"/>
          <w:lang w:val="en-US" w:eastAsia="zh-CN"/>
        </w:rPr>
        <w:t xml:space="preserve">        </w:t>
      </w:r>
      <w:r>
        <w:rPr>
          <w:rFonts w:hint="eastAsia" w:ascii="方正小标宋简体" w:hAnsi="方正小标宋简体" w:eastAsia="方正小标宋简体" w:cs="方正小标宋简体"/>
          <w:b w:val="0"/>
          <w:bCs w:val="0"/>
          <w:color w:val="auto"/>
          <w:sz w:val="44"/>
          <w:szCs w:val="44"/>
        </w:rPr>
        <w:t>和田地区农业农村局202</w:t>
      </w:r>
      <w:r>
        <w:rPr>
          <w:rFonts w:hint="eastAsia" w:ascii="方正小标宋简体" w:hAnsi="方正小标宋简体" w:eastAsia="方正小标宋简体" w:cs="方正小标宋简体"/>
          <w:b w:val="0"/>
          <w:bCs w:val="0"/>
          <w:color w:val="auto"/>
          <w:sz w:val="44"/>
          <w:szCs w:val="44"/>
          <w:lang w:val="en-US" w:eastAsia="zh-CN"/>
        </w:rPr>
        <w:t>5</w:t>
      </w:r>
      <w:r>
        <w:rPr>
          <w:rFonts w:hint="eastAsia" w:ascii="方正小标宋简体" w:hAnsi="方正小标宋简体" w:eastAsia="方正小标宋简体" w:cs="方正小标宋简体"/>
          <w:b w:val="0"/>
          <w:bCs w:val="0"/>
          <w:color w:val="auto"/>
          <w:sz w:val="44"/>
          <w:szCs w:val="44"/>
        </w:rPr>
        <w:t>年</w:t>
      </w:r>
      <w:r>
        <w:rPr>
          <w:rFonts w:hint="eastAsia" w:ascii="方正小标宋简体" w:hAnsi="方正小标宋简体" w:eastAsia="方正小标宋简体" w:cs="方正小标宋简体"/>
          <w:b w:val="0"/>
          <w:bCs w:val="0"/>
          <w:color w:val="auto"/>
          <w:sz w:val="44"/>
          <w:szCs w:val="44"/>
          <w:lang w:eastAsia="zh-CN"/>
        </w:rPr>
        <w:t>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政府信息公开工作报告</w:t>
      </w:r>
    </w:p>
    <w:p>
      <w:pPr>
        <w:keepNext w:val="0"/>
        <w:keepLines w:val="0"/>
        <w:pageBreakBefore w:val="0"/>
        <w:kinsoku/>
        <w:overflowPunct/>
        <w:topLinePunct w:val="0"/>
        <w:autoSpaceDE/>
        <w:autoSpaceDN/>
        <w:bidi w:val="0"/>
        <w:adjustRightInd/>
        <w:snapToGrid/>
        <w:spacing w:line="560" w:lineRule="exact"/>
        <w:ind w:firstLine="880" w:firstLineChars="200"/>
        <w:jc w:val="center"/>
        <w:textAlignment w:val="auto"/>
        <w:outlineLvl w:val="9"/>
        <w:rPr>
          <w:rFonts w:hint="eastAsia" w:ascii="方正小标宋_GBK" w:hAnsi="仿宋_GB2312" w:eastAsia="方正小标宋_GBK" w:cs="仿宋_GB2312"/>
          <w:color w:val="auto"/>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 w:hAnsi="仿宋" w:eastAsia="仿宋" w:cs="仿宋"/>
          <w:b w:val="0"/>
          <w:bCs w:val="0"/>
          <w:color w:val="auto"/>
          <w:sz w:val="32"/>
          <w:szCs w:val="32"/>
          <w:lang w:eastAsia="zh-CN"/>
        </w:rPr>
        <w:t>地区农业农村局严格落实《中华人民共和国政府信息公开条例》及上级政务公开工作要求，将政府信息公开作为推进依法行政、提升治理效能、服务“三农”发展的重要抓手，全过程规范公开流程、全方位回应社会关切、全链条夯实工作基础，有效保障群众知情权、参与权和监督权。</w:t>
      </w:r>
      <w:r>
        <w:rPr>
          <w:rFonts w:hint="eastAsia" w:ascii="仿宋_GB2312" w:hAnsi="仿宋_GB2312" w:eastAsia="仿宋_GB2312" w:cs="仿宋_GB2312"/>
          <w:color w:val="auto"/>
          <w:sz w:val="32"/>
          <w:szCs w:val="32"/>
          <w:lang w:eastAsia="zh-CN"/>
        </w:rPr>
        <w:t>该</w:t>
      </w:r>
      <w:r>
        <w:rPr>
          <w:rFonts w:hint="eastAsia" w:ascii="仿宋_GB2312" w:hAnsi="仿宋_GB2312" w:eastAsia="仿宋_GB2312" w:cs="仿宋_GB2312"/>
          <w:color w:val="auto"/>
          <w:sz w:val="32"/>
          <w:szCs w:val="32"/>
        </w:rPr>
        <w:t>报告涵盖2025年1月1日至12月31日期间政府信息公开工作情况。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宋体" w:hAnsi="宋体" w:eastAsia="宋体" w:cs="宋体"/>
          <w:b/>
          <w:bCs/>
          <w:color w:val="auto"/>
          <w:sz w:val="32"/>
          <w:szCs w:val="32"/>
        </w:rPr>
      </w:pPr>
      <w:r>
        <w:rPr>
          <w:rFonts w:hint="eastAsia" w:ascii="宋体" w:hAnsi="宋体" w:eastAsia="宋体" w:cs="宋体"/>
          <w:b/>
          <w:bCs/>
          <w:color w:val="auto"/>
          <w:sz w:val="32"/>
          <w:szCs w:val="32"/>
        </w:rPr>
        <w:t>一、总体情况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auto"/>
          <w:sz w:val="32"/>
          <w:szCs w:val="32"/>
          <w:lang w:val="en-US" w:eastAsia="zh-CN" w:bidi="ar-SA"/>
        </w:rPr>
      </w:pPr>
      <w:r>
        <w:rPr>
          <w:rFonts w:hint="eastAsia" w:ascii="楷体_GB2312" w:hAnsi="楷体_GB2312" w:eastAsia="楷体_GB2312" w:cs="楷体"/>
          <w:b/>
          <w:bCs/>
          <w:color w:val="auto"/>
          <w:sz w:val="32"/>
          <w:szCs w:val="32"/>
          <w:lang w:val="en-US" w:eastAsia="zh-CN"/>
        </w:rPr>
        <w:t>（一）主动公开方面。</w:t>
      </w:r>
      <w:r>
        <w:rPr>
          <w:rFonts w:hint="eastAsia" w:ascii="仿宋_GB2312" w:hAnsi="仿宋_GB2312" w:eastAsia="仿宋_GB2312" w:cs="仿宋_GB2312"/>
          <w:color w:val="auto"/>
          <w:sz w:val="32"/>
          <w:szCs w:val="32"/>
        </w:rPr>
        <w:t>对照年度政务公开工作要点，制定任务分解台账，明确责任</w:t>
      </w:r>
      <w:r>
        <w:rPr>
          <w:rFonts w:hint="eastAsia" w:ascii="仿宋_GB2312" w:hAnsi="仿宋_GB2312" w:eastAsia="仿宋_GB2312" w:cs="仿宋_GB2312"/>
          <w:color w:val="auto"/>
          <w:sz w:val="32"/>
          <w:szCs w:val="32"/>
          <w:lang w:eastAsia="zh-CN"/>
        </w:rPr>
        <w:t>科</w:t>
      </w:r>
      <w:r>
        <w:rPr>
          <w:rFonts w:hint="eastAsia" w:ascii="仿宋_GB2312" w:hAnsi="仿宋_GB2312" w:eastAsia="仿宋_GB2312" w:cs="仿宋_GB2312"/>
          <w:color w:val="auto"/>
          <w:sz w:val="32"/>
          <w:szCs w:val="32"/>
        </w:rPr>
        <w:t>室与时限，聚焦农业农村领域核心工作，重点公开政策文件、项目推进、民生服务等关键信息，确保公开内容全面、及时、精准。</w:t>
      </w:r>
      <w:r>
        <w:rPr>
          <w:rFonts w:hint="eastAsia" w:ascii="仿宋" w:hAnsi="仿宋" w:eastAsia="仿宋" w:cs="仿宋"/>
          <w:b/>
          <w:bCs w:val="0"/>
          <w:color w:val="auto"/>
          <w:kern w:val="2"/>
          <w:sz w:val="32"/>
          <w:szCs w:val="32"/>
          <w:lang w:val="en-US" w:eastAsia="zh-CN" w:bidi="ar-SA"/>
        </w:rPr>
        <w:t>一是</w:t>
      </w:r>
      <w:r>
        <w:rPr>
          <w:rFonts w:hint="eastAsia" w:ascii="仿宋" w:hAnsi="仿宋" w:eastAsia="仿宋" w:cs="仿宋"/>
          <w:b w:val="0"/>
          <w:bCs/>
          <w:color w:val="auto"/>
          <w:kern w:val="2"/>
          <w:sz w:val="32"/>
          <w:szCs w:val="32"/>
          <w:lang w:val="en-US" w:eastAsia="zh-CN" w:bidi="ar-SA"/>
        </w:rPr>
        <w:t>进一步梳理完善涉农行政许可、行政处罚、行政检查等服务事项，在新疆政务服务网站对和田地区农业农村局权责事项清单进行了修正、完善、公示；在和田地区行政公署网主动公开本机关机构职责、负责人、联系电话、办公地址等，自觉接受社会各界群众的监督；主动公开地区本级59项行政处罚案件、涉农补贴领域基层政务公开标准目录、和田地区农业农村局政府信息公开指南、行政许可和其他对外管理服务办理结果等。</w:t>
      </w:r>
      <w:r>
        <w:rPr>
          <w:rFonts w:hint="eastAsia" w:ascii="仿宋" w:hAnsi="仿宋" w:eastAsia="仿宋" w:cs="仿宋"/>
          <w:b/>
          <w:bCs w:val="0"/>
          <w:color w:val="auto"/>
          <w:kern w:val="2"/>
          <w:sz w:val="32"/>
          <w:szCs w:val="32"/>
          <w:lang w:val="en-US" w:eastAsia="zh-CN" w:bidi="ar-SA"/>
        </w:rPr>
        <w:t>二是</w:t>
      </w:r>
      <w:r>
        <w:rPr>
          <w:rFonts w:hint="eastAsia" w:ascii="仿宋" w:hAnsi="仿宋" w:eastAsia="仿宋" w:cs="仿宋"/>
          <w:b w:val="0"/>
          <w:bCs/>
          <w:i w:val="0"/>
          <w:iCs w:val="0"/>
          <w:caps w:val="0"/>
          <w:color w:val="auto"/>
          <w:spacing w:val="0"/>
          <w:sz w:val="32"/>
          <w:szCs w:val="32"/>
          <w:shd w:val="clear" w:fill="FFFFFF"/>
        </w:rPr>
        <w:t>建立并规范“双随机</w:t>
      </w:r>
      <w:r>
        <w:rPr>
          <w:rFonts w:hint="eastAsia" w:ascii="仿宋" w:hAnsi="仿宋" w:eastAsia="仿宋" w:cs="仿宋"/>
          <w:b w:val="0"/>
          <w:bCs/>
          <w:i w:val="0"/>
          <w:iCs w:val="0"/>
          <w:caps w:val="0"/>
          <w:color w:val="auto"/>
          <w:spacing w:val="0"/>
          <w:sz w:val="32"/>
          <w:szCs w:val="32"/>
          <w:shd w:val="clear" w:fill="FFFFFF"/>
          <w:lang w:eastAsia="zh-CN"/>
        </w:rPr>
        <w:t>、</w:t>
      </w:r>
      <w:r>
        <w:rPr>
          <w:rFonts w:hint="eastAsia" w:ascii="仿宋_GB2312" w:hAnsi="仿宋_GB2312" w:eastAsia="仿宋_GB2312" w:cs="仿宋_GB2312"/>
          <w:b w:val="0"/>
          <w:bCs/>
          <w:i w:val="0"/>
          <w:iCs w:val="0"/>
          <w:caps w:val="0"/>
          <w:color w:val="auto"/>
          <w:spacing w:val="0"/>
          <w:sz w:val="32"/>
          <w:szCs w:val="32"/>
          <w:shd w:val="clear" w:fill="FFFFFF"/>
        </w:rPr>
        <w:t>一公开</w:t>
      </w:r>
      <w:r>
        <w:rPr>
          <w:rFonts w:hint="eastAsia" w:ascii="仿宋" w:hAnsi="仿宋" w:eastAsia="仿宋" w:cs="仿宋"/>
          <w:b w:val="0"/>
          <w:bCs/>
          <w:i w:val="0"/>
          <w:iCs w:val="0"/>
          <w:caps w:val="0"/>
          <w:color w:val="auto"/>
          <w:spacing w:val="0"/>
          <w:sz w:val="32"/>
          <w:szCs w:val="32"/>
          <w:shd w:val="clear" w:fill="FFFFFF"/>
        </w:rPr>
        <w:t>”制度。</w:t>
      </w:r>
      <w:r>
        <w:rPr>
          <w:rFonts w:hint="eastAsia" w:ascii="仿宋_GB2312" w:hAnsi="仿宋_GB2312" w:eastAsia="仿宋_GB2312" w:cs="仿宋_GB2312"/>
          <w:b w:val="0"/>
          <w:bCs w:val="0"/>
          <w:color w:val="auto"/>
          <w:sz w:val="32"/>
          <w:szCs w:val="32"/>
          <w:lang w:val="en-US" w:eastAsia="zh-CN" w:bidi="ar-SA"/>
        </w:rPr>
        <w:t>实行“一单两库一表一细则”管理，目前“双随机、一公开”监管平台涉农检查清单、持证执法人员281人录入平台公示公开；开展涉企行政检查企业12家，完成年度计划。</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default"/>
          <w:color w:val="auto"/>
          <w:lang w:val="en-US" w:eastAsia="zh-CN"/>
        </w:rPr>
      </w:pPr>
      <w:r>
        <w:rPr>
          <w:rFonts w:hint="eastAsia" w:ascii="楷体_GB2312" w:hAnsi="楷体_GB2312" w:eastAsia="楷体_GB2312" w:cs="楷体"/>
          <w:b/>
          <w:bCs/>
          <w:color w:val="auto"/>
          <w:sz w:val="32"/>
          <w:szCs w:val="32"/>
          <w:lang w:val="en-US" w:eastAsia="zh-CN"/>
        </w:rPr>
        <w:t>（二）依申请公开方面。</w:t>
      </w:r>
      <w:r>
        <w:rPr>
          <w:rFonts w:hint="eastAsia" w:ascii="仿宋_GB2312" w:hAnsi="仿宋_GB2312" w:eastAsia="仿宋_GB2312" w:cs="仿宋_GB2312"/>
          <w:color w:val="auto"/>
          <w:sz w:val="32"/>
          <w:szCs w:val="32"/>
        </w:rPr>
        <w:t>健全“申请登记—审核研判—办理答复—归档留存”全流程工作机制，统一答复文书格式，明确办理时限与责任分工，确保申请事项“件件有回音、事事有着落”</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kern w:val="0"/>
          <w:sz w:val="32"/>
          <w:szCs w:val="32"/>
          <w:shd w:val="clear" w:color="auto" w:fill="FFFFFF"/>
          <w:lang w:eastAsia="zh-CN" w:bidi="ar"/>
        </w:rPr>
        <w:t>地区农业农村局畅通受理渠道，争取精准规范答复意见，进一步提升依申请公开办理质量。</w:t>
      </w:r>
      <w:r>
        <w:rPr>
          <w:rFonts w:hint="eastAsia" w:ascii="仿宋" w:hAnsi="仿宋" w:eastAsia="仿宋" w:cs="仿宋"/>
          <w:b w:val="0"/>
          <w:bCs/>
          <w:i w:val="0"/>
          <w:iCs w:val="0"/>
          <w:caps w:val="0"/>
          <w:color w:val="auto"/>
          <w:spacing w:val="0"/>
          <w:sz w:val="32"/>
          <w:szCs w:val="32"/>
          <w:shd w:val="clear" w:fill="FFFFFF"/>
          <w:lang w:val="en-US" w:eastAsia="zh-CN"/>
        </w:rPr>
        <w:t>2025年度收到1起公</w:t>
      </w:r>
      <w:r>
        <w:rPr>
          <w:rFonts w:hint="eastAsia" w:ascii="仿宋" w:hAnsi="仿宋" w:eastAsia="仿宋" w:cs="仿宋"/>
          <w:b w:val="0"/>
          <w:bCs/>
          <w:i w:val="0"/>
          <w:iCs w:val="0"/>
          <w:caps w:val="0"/>
          <w:color w:val="auto"/>
          <w:spacing w:val="0"/>
          <w:sz w:val="32"/>
          <w:szCs w:val="32"/>
          <w:shd w:val="clear" w:fill="FFFFFF"/>
        </w:rPr>
        <w:t>民提交的政府信息公开申请</w:t>
      </w:r>
      <w:r>
        <w:rPr>
          <w:rFonts w:hint="eastAsia" w:ascii="仿宋" w:hAnsi="仿宋" w:eastAsia="仿宋" w:cs="仿宋"/>
          <w:b w:val="0"/>
          <w:bCs/>
          <w:i w:val="0"/>
          <w:iCs w:val="0"/>
          <w:caps w:val="0"/>
          <w:color w:val="auto"/>
          <w:spacing w:val="0"/>
          <w:sz w:val="32"/>
          <w:szCs w:val="32"/>
          <w:shd w:val="clear" w:fill="FFFFFF"/>
          <w:lang w:eastAsia="zh-CN"/>
        </w:rPr>
        <w:t>，针对其提出的申请本单位在规定的时间做出了书面答复。</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
          <w:b w:val="0"/>
          <w:bCs w:val="0"/>
          <w:color w:val="auto"/>
          <w:sz w:val="32"/>
          <w:szCs w:val="32"/>
          <w:lang w:val="en-US" w:eastAsia="zh-CN"/>
        </w:rPr>
      </w:pPr>
      <w:r>
        <w:rPr>
          <w:rFonts w:hint="eastAsia" w:ascii="楷体_GB2312" w:hAnsi="楷体_GB2312" w:eastAsia="楷体_GB2312" w:cs="楷体"/>
          <w:b/>
          <w:bCs/>
          <w:color w:val="auto"/>
          <w:sz w:val="32"/>
          <w:szCs w:val="32"/>
          <w:lang w:val="en-US" w:eastAsia="zh-CN"/>
        </w:rPr>
        <w:t>（三）政府信息管理方面。</w:t>
      </w:r>
      <w:r>
        <w:rPr>
          <w:rFonts w:hint="eastAsia" w:ascii="仿宋_GB2312" w:hAnsi="仿宋_GB2312" w:eastAsia="仿宋_GB2312" w:cs="仿宋_GB2312"/>
          <w:color w:val="auto"/>
          <w:sz w:val="32"/>
          <w:szCs w:val="32"/>
        </w:rPr>
        <w:t>优化主动公开目录体系，机构设置概况、政策法规、行政许可、行政处罚等子</w:t>
      </w:r>
      <w:r>
        <w:rPr>
          <w:rFonts w:hint="eastAsia" w:ascii="仿宋_GB2312" w:hAnsi="仿宋_GB2312" w:eastAsia="仿宋_GB2312" w:cs="仿宋_GB2312"/>
          <w:color w:val="auto"/>
          <w:sz w:val="32"/>
          <w:szCs w:val="32"/>
          <w:lang w:eastAsia="zh-CN"/>
        </w:rPr>
        <w:t>项</w:t>
      </w:r>
      <w:r>
        <w:rPr>
          <w:rFonts w:hint="eastAsia" w:ascii="仿宋_GB2312" w:hAnsi="仿宋_GB2312" w:eastAsia="仿宋_GB2312" w:cs="仿宋_GB2312"/>
          <w:color w:val="auto"/>
          <w:sz w:val="32"/>
          <w:szCs w:val="32"/>
        </w:rPr>
        <w:t>，建立政策文件公开属性审核登记台账，实现信息发布“多级审核、全程留痕”。</w:t>
      </w:r>
      <w:r>
        <w:rPr>
          <w:rFonts w:hint="eastAsia" w:ascii="仿宋" w:hAnsi="仿宋" w:eastAsia="仿宋" w:cs="仿宋"/>
          <w:b w:val="0"/>
          <w:bCs/>
          <w:i w:val="0"/>
          <w:iCs w:val="0"/>
          <w:caps w:val="0"/>
          <w:color w:val="auto"/>
          <w:spacing w:val="0"/>
          <w:sz w:val="32"/>
          <w:szCs w:val="32"/>
          <w:shd w:val="clear" w:fill="FFFFFF"/>
          <w:lang w:val="en-US" w:eastAsia="zh-CN"/>
        </w:rPr>
        <w:t>严格落实拟公开的政府信息审核、发布和更新机制，并由专人负责信息审核和发布，进一步做好政府信息规范管理。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color w:val="auto"/>
          <w:lang w:val="en-US" w:eastAsia="zh-CN"/>
        </w:rPr>
      </w:pPr>
      <w:r>
        <w:rPr>
          <w:rFonts w:hint="eastAsia" w:ascii="楷体_GB2312" w:hAnsi="楷体_GB2312" w:eastAsia="楷体_GB2312" w:cs="楷体"/>
          <w:b/>
          <w:bCs/>
          <w:color w:val="auto"/>
          <w:sz w:val="32"/>
          <w:szCs w:val="32"/>
          <w:lang w:val="en-US" w:eastAsia="zh-CN"/>
        </w:rPr>
        <w:t>（四）平台建设方面。</w:t>
      </w:r>
      <w:r>
        <w:rPr>
          <w:rFonts w:hint="eastAsia" w:ascii="仿宋_GB2312" w:hAnsi="仿宋_GB2312" w:eastAsia="仿宋_GB2312" w:cs="仿宋_GB2312"/>
          <w:color w:val="auto"/>
          <w:sz w:val="32"/>
          <w:szCs w:val="32"/>
        </w:rPr>
        <w:t>以本级政府门户网站为核心公开平台，加强内容集约化管理，同步依托政务新媒体、政务服务大厅等渠道拓宽公开路径，提升信息可及性。</w:t>
      </w:r>
      <w:r>
        <w:rPr>
          <w:rFonts w:hint="eastAsia" w:ascii="仿宋" w:hAnsi="仿宋" w:eastAsia="仿宋" w:cs="仿宋"/>
          <w:i w:val="0"/>
          <w:iCs w:val="0"/>
          <w:caps w:val="0"/>
          <w:color w:val="auto"/>
          <w:spacing w:val="0"/>
          <w:sz w:val="32"/>
          <w:szCs w:val="32"/>
          <w:shd w:val="clear" w:fill="FFFFFF"/>
          <w:lang w:val="en-US" w:eastAsia="zh-CN"/>
        </w:rPr>
        <w:t>地区农业农村局未建设</w:t>
      </w:r>
      <w:r>
        <w:rPr>
          <w:rFonts w:hint="eastAsia" w:ascii="仿宋" w:hAnsi="仿宋" w:eastAsia="仿宋" w:cs="仿宋"/>
          <w:i w:val="0"/>
          <w:iCs w:val="0"/>
          <w:caps w:val="0"/>
          <w:color w:val="auto"/>
          <w:spacing w:val="0"/>
          <w:sz w:val="32"/>
          <w:szCs w:val="32"/>
          <w:shd w:val="clear" w:fill="FFFFFF"/>
        </w:rPr>
        <w:t>门户网站</w:t>
      </w:r>
      <w:r>
        <w:rPr>
          <w:rFonts w:hint="eastAsia" w:ascii="仿宋" w:hAnsi="仿宋" w:eastAsia="仿宋" w:cs="仿宋"/>
          <w:i w:val="0"/>
          <w:iCs w:val="0"/>
          <w:caps w:val="0"/>
          <w:color w:val="auto"/>
          <w:spacing w:val="0"/>
          <w:sz w:val="32"/>
          <w:szCs w:val="32"/>
          <w:shd w:val="clear" w:fill="FFFFFF"/>
          <w:lang w:eastAsia="zh-CN"/>
        </w:rPr>
        <w:t>，主要</w:t>
      </w:r>
      <w:r>
        <w:rPr>
          <w:rFonts w:hint="eastAsia" w:ascii="仿宋" w:hAnsi="仿宋" w:eastAsia="仿宋" w:cs="仿宋"/>
          <w:i w:val="0"/>
          <w:iCs w:val="0"/>
          <w:caps w:val="0"/>
          <w:color w:val="auto"/>
          <w:spacing w:val="0"/>
          <w:sz w:val="32"/>
          <w:szCs w:val="32"/>
          <w:shd w:val="clear" w:fill="FFFFFF"/>
          <w:lang w:val="en-US" w:eastAsia="zh-CN"/>
        </w:rPr>
        <w:t>通过</w:t>
      </w:r>
      <w:r>
        <w:rPr>
          <w:rFonts w:hint="eastAsia" w:ascii="仿宋" w:hAnsi="仿宋" w:eastAsia="仿宋" w:cs="仿宋"/>
          <w:i w:val="0"/>
          <w:iCs w:val="0"/>
          <w:caps w:val="0"/>
          <w:color w:val="auto"/>
          <w:spacing w:val="0"/>
          <w:sz w:val="32"/>
          <w:szCs w:val="32"/>
          <w:shd w:val="clear" w:fill="FFFFFF"/>
        </w:rPr>
        <w:t>新疆政务服务网、</w:t>
      </w:r>
      <w:r>
        <w:rPr>
          <w:rFonts w:hint="eastAsia" w:ascii="仿宋" w:hAnsi="仿宋" w:eastAsia="仿宋" w:cs="仿宋"/>
          <w:i w:val="0"/>
          <w:iCs w:val="0"/>
          <w:caps w:val="0"/>
          <w:color w:val="auto"/>
          <w:spacing w:val="0"/>
          <w:sz w:val="32"/>
          <w:szCs w:val="32"/>
          <w:shd w:val="clear" w:fill="FFFFFF"/>
          <w:lang w:eastAsia="zh-CN"/>
        </w:rPr>
        <w:t>和田地区行政公署</w:t>
      </w:r>
      <w:r>
        <w:rPr>
          <w:rFonts w:hint="eastAsia" w:ascii="仿宋" w:hAnsi="仿宋" w:eastAsia="仿宋" w:cs="仿宋"/>
          <w:i w:val="0"/>
          <w:iCs w:val="0"/>
          <w:caps w:val="0"/>
          <w:color w:val="auto"/>
          <w:spacing w:val="0"/>
          <w:sz w:val="32"/>
          <w:szCs w:val="32"/>
          <w:shd w:val="clear" w:fill="FFFFFF"/>
        </w:rPr>
        <w:t>网站“政务动态”“通知公告”“网上服务”等栏目公开</w:t>
      </w:r>
      <w:r>
        <w:rPr>
          <w:rFonts w:hint="eastAsia" w:ascii="仿宋" w:hAnsi="仿宋" w:eastAsia="仿宋" w:cs="仿宋"/>
          <w:i w:val="0"/>
          <w:iCs w:val="0"/>
          <w:caps w:val="0"/>
          <w:color w:val="auto"/>
          <w:spacing w:val="0"/>
          <w:sz w:val="32"/>
          <w:szCs w:val="32"/>
          <w:shd w:val="clear" w:fill="FFFFFF"/>
          <w:lang w:eastAsia="zh-CN"/>
        </w:rPr>
        <w:t>相关</w:t>
      </w:r>
      <w:r>
        <w:rPr>
          <w:rFonts w:hint="eastAsia" w:ascii="仿宋" w:hAnsi="仿宋" w:eastAsia="仿宋" w:cs="仿宋"/>
          <w:i w:val="0"/>
          <w:iCs w:val="0"/>
          <w:caps w:val="0"/>
          <w:color w:val="auto"/>
          <w:spacing w:val="0"/>
          <w:sz w:val="32"/>
          <w:szCs w:val="32"/>
          <w:shd w:val="clear" w:fill="FFFFFF"/>
        </w:rPr>
        <w:t>政府信息。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default"/>
          <w:color w:val="auto"/>
          <w:lang w:val="en-US" w:eastAsia="zh-CN"/>
        </w:rPr>
      </w:pPr>
      <w:r>
        <w:rPr>
          <w:rFonts w:hint="eastAsia" w:ascii="楷体_GB2312" w:hAnsi="楷体_GB2312" w:eastAsia="楷体_GB2312" w:cs="楷体"/>
          <w:b/>
          <w:bCs/>
          <w:color w:val="auto"/>
          <w:sz w:val="32"/>
          <w:szCs w:val="32"/>
          <w:lang w:val="en-US" w:eastAsia="zh-CN"/>
        </w:rPr>
        <w:t>（五）监督保障方面。</w:t>
      </w:r>
      <w:r>
        <w:rPr>
          <w:rFonts w:hint="eastAsia" w:ascii="仿宋_GB2312" w:hAnsi="仿宋_GB2312" w:eastAsia="仿宋_GB2312" w:cs="仿宋_GB2312"/>
          <w:color w:val="auto"/>
          <w:sz w:val="32"/>
          <w:szCs w:val="32"/>
        </w:rPr>
        <w:t>成立由</w:t>
      </w:r>
      <w:r>
        <w:rPr>
          <w:rFonts w:hint="eastAsia" w:ascii="仿宋_GB2312" w:hAnsi="仿宋_GB2312" w:eastAsia="仿宋_GB2312" w:cs="仿宋_GB2312"/>
          <w:color w:val="auto"/>
          <w:sz w:val="32"/>
          <w:szCs w:val="32"/>
          <w:lang w:eastAsia="zh-CN"/>
        </w:rPr>
        <w:t>局行政主要领导</w:t>
      </w:r>
      <w:r>
        <w:rPr>
          <w:rFonts w:hint="eastAsia" w:ascii="仿宋_GB2312" w:hAnsi="仿宋_GB2312" w:eastAsia="仿宋_GB2312" w:cs="仿宋_GB2312"/>
          <w:color w:val="auto"/>
          <w:sz w:val="32"/>
          <w:szCs w:val="32"/>
        </w:rPr>
        <w:t>任组长的信息公开工作领导小组，配备专职工作人员，将信息公开工作纳入</w:t>
      </w:r>
      <w:r>
        <w:rPr>
          <w:rFonts w:hint="eastAsia" w:ascii="仿宋_GB2312" w:hAnsi="仿宋_GB2312" w:eastAsia="仿宋_GB2312" w:cs="仿宋_GB2312"/>
          <w:color w:val="auto"/>
          <w:sz w:val="32"/>
          <w:szCs w:val="32"/>
          <w:lang w:eastAsia="zh-CN"/>
        </w:rPr>
        <w:t>科</w:t>
      </w:r>
      <w:r>
        <w:rPr>
          <w:rFonts w:hint="eastAsia" w:ascii="仿宋_GB2312" w:hAnsi="仿宋_GB2312" w:eastAsia="仿宋_GB2312" w:cs="仿宋_GB2312"/>
          <w:color w:val="auto"/>
          <w:sz w:val="32"/>
          <w:szCs w:val="32"/>
        </w:rPr>
        <w:t>室年度考核，通过日常督查、季度通报等方式压实工作责任。</w:t>
      </w:r>
      <w:r>
        <w:rPr>
          <w:rFonts w:hint="eastAsia" w:ascii="仿宋" w:hAnsi="仿宋" w:eastAsia="仿宋" w:cs="仿宋"/>
          <w:b w:val="0"/>
          <w:i w:val="0"/>
          <w:iCs w:val="0"/>
          <w:caps w:val="0"/>
          <w:color w:val="auto"/>
          <w:spacing w:val="0"/>
          <w:kern w:val="0"/>
          <w:sz w:val="32"/>
          <w:szCs w:val="32"/>
          <w:shd w:val="clear" w:fill="FFFFFF"/>
          <w:lang w:val="en-US" w:eastAsia="zh-CN" w:bidi="ar-SA"/>
        </w:rPr>
        <w:t>制定政务公开重点任务清单，开展经常性检查和重点专项检查，督促相关科室落实政务信息公开，确保工作落到实处。组织相关工作人员，认真学习《中华人民共和国政府信息公开条例》，不断提高工作人员对政府信息公开工作的认识和做好信息公开工作的能力水平。</w:t>
      </w:r>
    </w:p>
    <w:p>
      <w:pPr>
        <w:keepNext w:val="0"/>
        <w:keepLines w:val="0"/>
        <w:pageBreakBefore w:val="0"/>
        <w:kinsoku/>
        <w:overflowPunct/>
        <w:topLinePunct w:val="0"/>
        <w:autoSpaceDE/>
        <w:autoSpaceDN/>
        <w:bidi w:val="0"/>
        <w:adjustRightInd/>
        <w:snapToGrid/>
        <w:spacing w:line="560" w:lineRule="exact"/>
        <w:ind w:firstLine="643" w:firstLineChars="200"/>
        <w:jc w:val="left"/>
        <w:textAlignment w:val="auto"/>
        <w:outlineLvl w:val="9"/>
        <w:rPr>
          <w:rFonts w:hint="eastAsia" w:ascii="宋体" w:hAnsi="宋体" w:eastAsia="宋体" w:cs="宋体"/>
          <w:b/>
          <w:bCs/>
          <w:color w:val="auto"/>
          <w:sz w:val="32"/>
          <w:szCs w:val="32"/>
        </w:rPr>
      </w:pPr>
      <w:r>
        <w:rPr>
          <w:rFonts w:hint="eastAsia" w:ascii="宋体" w:hAnsi="宋体" w:eastAsia="宋体" w:cs="宋体"/>
          <w:b/>
          <w:bCs/>
          <w:color w:val="auto"/>
          <w:sz w:val="32"/>
          <w:szCs w:val="32"/>
        </w:rPr>
        <w:t>二、主动公开政府信息情况</w:t>
      </w:r>
    </w:p>
    <w:tbl>
      <w:tblPr>
        <w:tblStyle w:val="12"/>
        <w:tblW w:w="88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99"/>
        <w:gridCol w:w="1842"/>
        <w:gridCol w:w="1642"/>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 w:hRule="atLeast"/>
          <w:jc w:val="center"/>
        </w:trPr>
        <w:tc>
          <w:tcPr>
            <w:tcW w:w="8860" w:type="dxa"/>
            <w:gridSpan w:val="4"/>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宋体"/>
                <w:color w:val="auto"/>
                <w:sz w:val="21"/>
                <w:szCs w:val="21"/>
              </w:rPr>
            </w:pPr>
            <w:r>
              <w:rPr>
                <w:rFonts w:hint="eastAsia" w:ascii="仿宋_GB2312" w:hAnsi="仿宋_GB2312" w:eastAsia="仿宋_GB2312" w:cs="宋体"/>
                <w:color w:val="auto"/>
                <w:kern w:val="0"/>
                <w:sz w:val="21"/>
                <w:szCs w:val="21"/>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7" w:hRule="atLeast"/>
          <w:jc w:val="center"/>
        </w:trPr>
        <w:tc>
          <w:tcPr>
            <w:tcW w:w="319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宋体"/>
                <w:b/>
                <w:bCs/>
                <w:color w:val="auto"/>
                <w:sz w:val="21"/>
                <w:szCs w:val="21"/>
              </w:rPr>
            </w:pPr>
            <w:r>
              <w:rPr>
                <w:rFonts w:hint="eastAsia" w:ascii="仿宋_GB2312" w:hAnsi="仿宋_GB2312" w:eastAsia="仿宋_GB2312" w:cs="宋体"/>
                <w:b/>
                <w:bCs/>
                <w:color w:val="auto"/>
                <w:kern w:val="0"/>
                <w:sz w:val="21"/>
                <w:szCs w:val="21"/>
                <w:lang w:bidi="ar"/>
              </w:rPr>
              <w:t>信息内容</w:t>
            </w:r>
          </w:p>
        </w:tc>
        <w:tc>
          <w:tcPr>
            <w:tcW w:w="184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宋体"/>
                <w:b/>
                <w:bCs/>
                <w:color w:val="auto"/>
                <w:sz w:val="21"/>
                <w:szCs w:val="21"/>
                <w:lang w:eastAsia="zh-CN"/>
              </w:rPr>
            </w:pPr>
            <w:r>
              <w:rPr>
                <w:rFonts w:hint="eastAsia" w:ascii="仿宋_GB2312" w:hAnsi="仿宋_GB2312" w:eastAsia="仿宋_GB2312" w:cs="宋体"/>
                <w:b/>
                <w:bCs/>
                <w:color w:val="auto"/>
                <w:kern w:val="0"/>
                <w:sz w:val="21"/>
                <w:szCs w:val="21"/>
                <w:lang w:bidi="ar"/>
              </w:rPr>
              <w:t>本年制</w:t>
            </w:r>
            <w:r>
              <w:rPr>
                <w:rFonts w:hint="eastAsia" w:ascii="仿宋_GB2312" w:hAnsi="仿宋_GB2312" w:eastAsia="仿宋_GB2312" w:cs="宋体"/>
                <w:b/>
                <w:bCs/>
                <w:color w:val="auto"/>
                <w:kern w:val="0"/>
                <w:sz w:val="21"/>
                <w:szCs w:val="21"/>
                <w:lang w:eastAsia="zh-CN" w:bidi="ar"/>
              </w:rPr>
              <w:t>发件数</w:t>
            </w:r>
          </w:p>
        </w:tc>
        <w:tc>
          <w:tcPr>
            <w:tcW w:w="164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宋体"/>
                <w:b/>
                <w:bCs/>
                <w:color w:val="auto"/>
                <w:sz w:val="21"/>
                <w:szCs w:val="21"/>
                <w:lang w:eastAsia="zh-CN"/>
              </w:rPr>
            </w:pPr>
            <w:r>
              <w:rPr>
                <w:rFonts w:hint="eastAsia" w:ascii="仿宋_GB2312" w:hAnsi="仿宋_GB2312" w:eastAsia="仿宋_GB2312" w:cs="宋体"/>
                <w:b/>
                <w:bCs/>
                <w:color w:val="auto"/>
                <w:kern w:val="0"/>
                <w:sz w:val="21"/>
                <w:szCs w:val="21"/>
                <w:lang w:bidi="ar"/>
              </w:rPr>
              <w:t>本年</w:t>
            </w:r>
            <w:r>
              <w:rPr>
                <w:rFonts w:hint="eastAsia" w:ascii="仿宋_GB2312" w:hAnsi="仿宋_GB2312" w:eastAsia="仿宋_GB2312" w:cs="宋体"/>
                <w:b/>
                <w:bCs/>
                <w:color w:val="auto"/>
                <w:kern w:val="0"/>
                <w:sz w:val="21"/>
                <w:szCs w:val="21"/>
                <w:lang w:eastAsia="zh-CN" w:bidi="ar"/>
              </w:rPr>
              <w:t>废止件数</w:t>
            </w:r>
          </w:p>
        </w:tc>
        <w:tc>
          <w:tcPr>
            <w:tcW w:w="217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宋体"/>
                <w:b/>
                <w:bCs/>
                <w:color w:val="auto"/>
                <w:sz w:val="21"/>
                <w:szCs w:val="21"/>
                <w:lang w:eastAsia="zh-CN"/>
              </w:rPr>
            </w:pPr>
            <w:r>
              <w:rPr>
                <w:rFonts w:hint="eastAsia" w:ascii="仿宋_GB2312" w:hAnsi="仿宋_GB2312" w:eastAsia="仿宋_GB2312" w:cs="宋体"/>
                <w:b/>
                <w:bCs/>
                <w:color w:val="auto"/>
                <w:sz w:val="21"/>
                <w:szCs w:val="21"/>
                <w:lang w:eastAsia="zh-CN"/>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jc w:val="center"/>
        </w:trPr>
        <w:tc>
          <w:tcPr>
            <w:tcW w:w="319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宋体"/>
                <w:color w:val="auto"/>
                <w:sz w:val="21"/>
                <w:szCs w:val="21"/>
              </w:rPr>
            </w:pPr>
            <w:r>
              <w:rPr>
                <w:rFonts w:hint="eastAsia" w:ascii="仿宋_GB2312" w:hAnsi="仿宋_GB2312" w:eastAsia="仿宋_GB2312" w:cs="宋体"/>
                <w:color w:val="auto"/>
                <w:kern w:val="0"/>
                <w:sz w:val="21"/>
                <w:szCs w:val="21"/>
                <w:lang w:bidi="ar"/>
              </w:rPr>
              <w:t>规章</w:t>
            </w:r>
          </w:p>
        </w:tc>
        <w:tc>
          <w:tcPr>
            <w:tcW w:w="184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宋体"/>
                <w:color w:val="auto"/>
                <w:sz w:val="21"/>
                <w:szCs w:val="21"/>
                <w:lang w:val="en-US" w:eastAsia="zh-CN"/>
              </w:rPr>
            </w:pPr>
            <w:r>
              <w:rPr>
                <w:rFonts w:hint="eastAsia" w:ascii="仿宋_GB2312" w:hAnsi="仿宋_GB2312" w:eastAsia="仿宋_GB2312" w:cs="宋体"/>
                <w:color w:val="auto"/>
                <w:sz w:val="21"/>
                <w:szCs w:val="21"/>
                <w:lang w:val="en-US" w:eastAsia="zh-CN"/>
              </w:rPr>
              <w:t>0</w:t>
            </w:r>
          </w:p>
        </w:tc>
        <w:tc>
          <w:tcPr>
            <w:tcW w:w="164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宋体"/>
                <w:color w:val="auto"/>
                <w:sz w:val="21"/>
                <w:szCs w:val="21"/>
                <w:lang w:val="en-US" w:eastAsia="zh-CN"/>
              </w:rPr>
            </w:pPr>
            <w:r>
              <w:rPr>
                <w:rFonts w:hint="eastAsia" w:ascii="仿宋_GB2312" w:hAnsi="仿宋_GB2312" w:eastAsia="仿宋_GB2312" w:cs="宋体"/>
                <w:color w:val="auto"/>
                <w:sz w:val="21"/>
                <w:szCs w:val="21"/>
                <w:lang w:val="en-US" w:eastAsia="zh-CN"/>
              </w:rPr>
              <w:t>0</w:t>
            </w:r>
          </w:p>
        </w:tc>
        <w:tc>
          <w:tcPr>
            <w:tcW w:w="217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宋体"/>
                <w:color w:val="auto"/>
                <w:sz w:val="21"/>
                <w:szCs w:val="21"/>
                <w:lang w:val="en-US" w:eastAsia="zh-CN"/>
              </w:rPr>
            </w:pPr>
            <w:r>
              <w:rPr>
                <w:rFonts w:hint="eastAsia" w:ascii="仿宋_GB2312" w:hAnsi="仿宋_GB2312" w:eastAsia="仿宋_GB2312" w:cs="宋体"/>
                <w:color w:val="auto"/>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jc w:val="center"/>
        </w:trPr>
        <w:tc>
          <w:tcPr>
            <w:tcW w:w="319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宋体"/>
                <w:color w:val="auto"/>
                <w:sz w:val="21"/>
                <w:szCs w:val="21"/>
              </w:rPr>
            </w:pPr>
            <w:r>
              <w:rPr>
                <w:rFonts w:hint="eastAsia" w:ascii="仿宋_GB2312" w:hAnsi="仿宋_GB2312" w:eastAsia="仿宋_GB2312" w:cs="宋体"/>
                <w:color w:val="auto"/>
                <w:kern w:val="0"/>
                <w:sz w:val="21"/>
                <w:szCs w:val="21"/>
                <w:lang w:bidi="ar"/>
              </w:rPr>
              <w:t>规范性文件</w:t>
            </w:r>
          </w:p>
        </w:tc>
        <w:tc>
          <w:tcPr>
            <w:tcW w:w="184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宋体"/>
                <w:color w:val="auto"/>
                <w:sz w:val="21"/>
                <w:szCs w:val="21"/>
                <w:lang w:val="en-US" w:eastAsia="zh-CN"/>
              </w:rPr>
            </w:pPr>
            <w:r>
              <w:rPr>
                <w:rFonts w:hint="eastAsia" w:ascii="仿宋_GB2312" w:hAnsi="仿宋_GB2312" w:eastAsia="仿宋_GB2312" w:cs="宋体"/>
                <w:color w:val="auto"/>
                <w:sz w:val="21"/>
                <w:szCs w:val="21"/>
                <w:lang w:val="en-US" w:eastAsia="zh-CN"/>
              </w:rPr>
              <w:t>0</w:t>
            </w:r>
          </w:p>
        </w:tc>
        <w:tc>
          <w:tcPr>
            <w:tcW w:w="164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cs" w:ascii="仿宋_GB2312" w:hAnsi="仿宋_GB2312" w:eastAsia="仿宋_GB2312" w:cs="Microsoft Uighur"/>
                <w:color w:val="auto"/>
                <w:sz w:val="21"/>
                <w:szCs w:val="21"/>
                <w:lang w:val="en-US" w:eastAsia="zh-CN" w:bidi="ug-CN"/>
              </w:rPr>
            </w:pPr>
            <w:r>
              <w:rPr>
                <w:rFonts w:hint="eastAsia" w:ascii="仿宋_GB2312" w:hAnsi="仿宋_GB2312" w:eastAsia="仿宋_GB2312" w:cs="Microsoft Uighur"/>
                <w:color w:val="auto"/>
                <w:sz w:val="21"/>
                <w:szCs w:val="21"/>
                <w:rtl w:val="0"/>
                <w:lang w:val="en-US" w:eastAsia="zh-CN" w:bidi="ug-CN"/>
              </w:rPr>
              <w:t>0</w:t>
            </w:r>
          </w:p>
        </w:tc>
        <w:tc>
          <w:tcPr>
            <w:tcW w:w="217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default" w:ascii="仿宋_GB2312" w:hAnsi="仿宋_GB2312" w:eastAsia="仿宋_GB2312" w:cs="宋体"/>
                <w:color w:val="auto"/>
                <w:sz w:val="21"/>
                <w:szCs w:val="21"/>
                <w:lang w:val="en-US" w:eastAsia="zh-CN"/>
              </w:rPr>
            </w:pPr>
            <w:r>
              <w:rPr>
                <w:rFonts w:hint="eastAsia" w:ascii="仿宋_GB2312" w:hAnsi="仿宋_GB2312" w:eastAsia="仿宋_GB2312" w:cs="宋体"/>
                <w:color w:val="auto"/>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jc w:val="center"/>
        </w:trPr>
        <w:tc>
          <w:tcPr>
            <w:tcW w:w="8860" w:type="dxa"/>
            <w:gridSpan w:val="4"/>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宋体"/>
                <w:color w:val="auto"/>
                <w:sz w:val="21"/>
                <w:szCs w:val="21"/>
              </w:rPr>
            </w:pPr>
            <w:r>
              <w:rPr>
                <w:rFonts w:hint="eastAsia" w:ascii="仿宋_GB2312" w:hAnsi="仿宋_GB2312" w:eastAsia="仿宋_GB2312" w:cs="宋体"/>
                <w:color w:val="auto"/>
                <w:kern w:val="0"/>
                <w:sz w:val="21"/>
                <w:szCs w:val="21"/>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jc w:val="center"/>
        </w:trPr>
        <w:tc>
          <w:tcPr>
            <w:tcW w:w="319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宋体"/>
                <w:b/>
                <w:bCs/>
                <w:color w:val="auto"/>
                <w:sz w:val="21"/>
                <w:szCs w:val="21"/>
              </w:rPr>
            </w:pPr>
            <w:r>
              <w:rPr>
                <w:rFonts w:hint="eastAsia" w:ascii="仿宋_GB2312" w:hAnsi="仿宋_GB2312" w:eastAsia="仿宋_GB2312" w:cs="宋体"/>
                <w:b/>
                <w:bCs/>
                <w:color w:val="auto"/>
                <w:kern w:val="0"/>
                <w:sz w:val="21"/>
                <w:szCs w:val="21"/>
                <w:lang w:bidi="ar"/>
              </w:rPr>
              <w:t>信息内容</w:t>
            </w:r>
          </w:p>
        </w:tc>
        <w:tc>
          <w:tcPr>
            <w:tcW w:w="5661" w:type="dxa"/>
            <w:gridSpan w:val="3"/>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宋体"/>
                <w:b/>
                <w:bCs/>
                <w:color w:val="auto"/>
                <w:sz w:val="21"/>
                <w:szCs w:val="21"/>
                <w:lang w:eastAsia="zh-CN"/>
              </w:rPr>
            </w:pPr>
            <w:r>
              <w:rPr>
                <w:rFonts w:hint="eastAsia" w:ascii="仿宋_GB2312" w:hAnsi="仿宋_GB2312" w:eastAsia="仿宋_GB2312" w:cs="宋体"/>
                <w:b/>
                <w:bCs/>
                <w:color w:val="auto"/>
                <w:sz w:val="21"/>
                <w:szCs w:val="21"/>
                <w:lang w:eastAsia="zh-CN"/>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jc w:val="center"/>
        </w:trPr>
        <w:tc>
          <w:tcPr>
            <w:tcW w:w="319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宋体"/>
                <w:color w:val="auto"/>
                <w:sz w:val="21"/>
                <w:szCs w:val="21"/>
              </w:rPr>
            </w:pPr>
            <w:r>
              <w:rPr>
                <w:rFonts w:hint="eastAsia" w:ascii="仿宋_GB2312" w:hAnsi="仿宋_GB2312" w:eastAsia="仿宋_GB2312" w:cs="宋体"/>
                <w:color w:val="auto"/>
                <w:kern w:val="0"/>
                <w:sz w:val="21"/>
                <w:szCs w:val="21"/>
                <w:lang w:bidi="ar"/>
              </w:rPr>
              <w:t>行政许可</w:t>
            </w:r>
          </w:p>
        </w:tc>
        <w:tc>
          <w:tcPr>
            <w:tcW w:w="5661" w:type="dxa"/>
            <w:gridSpan w:val="3"/>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default" w:ascii="仿宋_GB2312" w:hAnsi="仿宋_GB2312" w:eastAsia="仿宋_GB2312" w:cs="Microsoft Uighur"/>
                <w:color w:val="auto"/>
                <w:sz w:val="21"/>
                <w:szCs w:val="21"/>
                <w:lang w:val="en-US" w:eastAsia="zh-CN" w:bidi="ug-CN"/>
              </w:rPr>
            </w:pPr>
            <w:r>
              <w:rPr>
                <w:rFonts w:hint="eastAsia" w:ascii="仿宋_GB2312" w:hAnsi="仿宋_GB2312" w:eastAsia="仿宋_GB2312" w:cs="Microsoft Uighur"/>
                <w:color w:val="auto"/>
                <w:sz w:val="21"/>
                <w:szCs w:val="21"/>
                <w:rtl w:val="0"/>
                <w:lang w:val="en-US" w:eastAsia="zh-CN" w:bidi="ug-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jc w:val="center"/>
        </w:trPr>
        <w:tc>
          <w:tcPr>
            <w:tcW w:w="8860" w:type="dxa"/>
            <w:gridSpan w:val="4"/>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宋体"/>
                <w:color w:val="auto"/>
                <w:sz w:val="21"/>
                <w:szCs w:val="21"/>
              </w:rPr>
            </w:pPr>
            <w:r>
              <w:rPr>
                <w:rFonts w:hint="eastAsia" w:ascii="仿宋_GB2312" w:hAnsi="仿宋_GB2312" w:eastAsia="仿宋_GB2312" w:cs="宋体"/>
                <w:color w:val="auto"/>
                <w:kern w:val="0"/>
                <w:sz w:val="21"/>
                <w:szCs w:val="21"/>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jc w:val="center"/>
        </w:trPr>
        <w:tc>
          <w:tcPr>
            <w:tcW w:w="319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宋体"/>
                <w:b/>
                <w:bCs/>
                <w:color w:val="auto"/>
                <w:sz w:val="21"/>
                <w:szCs w:val="21"/>
              </w:rPr>
            </w:pPr>
            <w:r>
              <w:rPr>
                <w:rFonts w:hint="eastAsia" w:ascii="仿宋_GB2312" w:hAnsi="仿宋_GB2312" w:eastAsia="仿宋_GB2312" w:cs="宋体"/>
                <w:b/>
                <w:bCs/>
                <w:color w:val="auto"/>
                <w:kern w:val="0"/>
                <w:sz w:val="21"/>
                <w:szCs w:val="21"/>
                <w:lang w:bidi="ar"/>
              </w:rPr>
              <w:t>信息内容</w:t>
            </w:r>
          </w:p>
        </w:tc>
        <w:tc>
          <w:tcPr>
            <w:tcW w:w="5661" w:type="dxa"/>
            <w:gridSpan w:val="3"/>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宋体"/>
                <w:b/>
                <w:bCs/>
                <w:color w:val="auto"/>
                <w:sz w:val="21"/>
                <w:szCs w:val="21"/>
              </w:rPr>
            </w:pPr>
            <w:r>
              <w:rPr>
                <w:rFonts w:hint="eastAsia" w:ascii="仿宋_GB2312" w:hAnsi="仿宋_GB2312" w:eastAsia="仿宋_GB2312" w:cs="宋体"/>
                <w:b/>
                <w:bCs/>
                <w:color w:val="auto"/>
                <w:sz w:val="21"/>
                <w:szCs w:val="21"/>
                <w:lang w:eastAsia="zh-CN"/>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jc w:val="center"/>
        </w:trPr>
        <w:tc>
          <w:tcPr>
            <w:tcW w:w="319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宋体"/>
                <w:color w:val="auto"/>
                <w:sz w:val="21"/>
                <w:szCs w:val="21"/>
              </w:rPr>
            </w:pPr>
            <w:r>
              <w:rPr>
                <w:rFonts w:hint="eastAsia" w:ascii="仿宋_GB2312" w:hAnsi="仿宋_GB2312" w:eastAsia="仿宋_GB2312" w:cs="宋体"/>
                <w:color w:val="auto"/>
                <w:kern w:val="0"/>
                <w:sz w:val="21"/>
                <w:szCs w:val="21"/>
                <w:lang w:bidi="ar"/>
              </w:rPr>
              <w:t>行政处罚</w:t>
            </w:r>
          </w:p>
        </w:tc>
        <w:tc>
          <w:tcPr>
            <w:tcW w:w="5661" w:type="dxa"/>
            <w:gridSpan w:val="3"/>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default" w:ascii="仿宋_GB2312" w:hAnsi="仿宋_GB2312" w:eastAsia="仿宋_GB2312" w:cs="宋体"/>
                <w:color w:val="auto"/>
                <w:sz w:val="21"/>
                <w:szCs w:val="21"/>
                <w:lang w:val="en-US" w:eastAsia="zh-CN"/>
              </w:rPr>
            </w:pPr>
            <w:r>
              <w:rPr>
                <w:rFonts w:hint="eastAsia" w:ascii="仿宋_GB2312" w:hAnsi="仿宋_GB2312" w:eastAsia="仿宋_GB2312" w:cs="宋体"/>
                <w:color w:val="auto"/>
                <w:sz w:val="21"/>
                <w:szCs w:val="21"/>
                <w:lang w:val="en-US" w:eastAsia="zh-CN"/>
              </w:rPr>
              <w:t>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jc w:val="center"/>
        </w:trPr>
        <w:tc>
          <w:tcPr>
            <w:tcW w:w="319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宋体"/>
                <w:color w:val="auto"/>
                <w:sz w:val="21"/>
                <w:szCs w:val="21"/>
              </w:rPr>
            </w:pPr>
            <w:r>
              <w:rPr>
                <w:rFonts w:hint="eastAsia" w:ascii="仿宋_GB2312" w:hAnsi="仿宋_GB2312" w:eastAsia="仿宋_GB2312" w:cs="宋体"/>
                <w:color w:val="auto"/>
                <w:kern w:val="0"/>
                <w:sz w:val="21"/>
                <w:szCs w:val="21"/>
                <w:lang w:bidi="ar"/>
              </w:rPr>
              <w:t>行政强制</w:t>
            </w:r>
          </w:p>
        </w:tc>
        <w:tc>
          <w:tcPr>
            <w:tcW w:w="5661" w:type="dxa"/>
            <w:gridSpan w:val="3"/>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宋体"/>
                <w:color w:val="auto"/>
                <w:sz w:val="21"/>
                <w:szCs w:val="21"/>
                <w:lang w:val="en-US" w:eastAsia="zh-CN"/>
              </w:rPr>
            </w:pPr>
            <w:r>
              <w:rPr>
                <w:rFonts w:hint="eastAsia" w:ascii="仿宋_GB2312" w:hAnsi="仿宋_GB2312" w:eastAsia="仿宋_GB2312" w:cs="宋体"/>
                <w:color w:val="auto"/>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jc w:val="center"/>
        </w:trPr>
        <w:tc>
          <w:tcPr>
            <w:tcW w:w="8860" w:type="dxa"/>
            <w:gridSpan w:val="4"/>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宋体"/>
                <w:color w:val="auto"/>
                <w:sz w:val="21"/>
                <w:szCs w:val="21"/>
              </w:rPr>
            </w:pPr>
            <w:r>
              <w:rPr>
                <w:rFonts w:hint="eastAsia" w:ascii="仿宋_GB2312" w:hAnsi="仿宋_GB2312" w:eastAsia="仿宋_GB2312" w:cs="宋体"/>
                <w:color w:val="auto"/>
                <w:kern w:val="0"/>
                <w:sz w:val="21"/>
                <w:szCs w:val="21"/>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jc w:val="center"/>
        </w:trPr>
        <w:tc>
          <w:tcPr>
            <w:tcW w:w="319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宋体"/>
                <w:b/>
                <w:bCs/>
                <w:color w:val="auto"/>
                <w:sz w:val="21"/>
                <w:szCs w:val="21"/>
              </w:rPr>
            </w:pPr>
            <w:r>
              <w:rPr>
                <w:rFonts w:hint="eastAsia" w:ascii="仿宋_GB2312" w:hAnsi="仿宋_GB2312" w:eastAsia="仿宋_GB2312" w:cs="宋体"/>
                <w:b/>
                <w:bCs/>
                <w:color w:val="auto"/>
                <w:kern w:val="0"/>
                <w:sz w:val="21"/>
                <w:szCs w:val="21"/>
                <w:lang w:bidi="ar"/>
              </w:rPr>
              <w:t>信息内容</w:t>
            </w:r>
          </w:p>
        </w:tc>
        <w:tc>
          <w:tcPr>
            <w:tcW w:w="5661" w:type="dxa"/>
            <w:gridSpan w:val="3"/>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宋体"/>
                <w:b/>
                <w:bCs/>
                <w:color w:val="auto"/>
                <w:sz w:val="21"/>
                <w:szCs w:val="21"/>
              </w:rPr>
            </w:pPr>
            <w:r>
              <w:rPr>
                <w:rFonts w:hint="eastAsia" w:ascii="仿宋_GB2312" w:hAnsi="仿宋_GB2312" w:eastAsia="仿宋_GB2312" w:cs="宋体"/>
                <w:b/>
                <w:bCs/>
                <w:color w:val="auto"/>
                <w:sz w:val="21"/>
                <w:szCs w:val="21"/>
                <w:lang w:eastAsia="zh-CN"/>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319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宋体"/>
                <w:color w:val="auto"/>
                <w:sz w:val="21"/>
                <w:szCs w:val="21"/>
              </w:rPr>
            </w:pPr>
            <w:r>
              <w:rPr>
                <w:rFonts w:hint="eastAsia" w:ascii="仿宋_GB2312" w:hAnsi="仿宋_GB2312" w:eastAsia="仿宋_GB2312" w:cs="宋体"/>
                <w:color w:val="auto"/>
                <w:kern w:val="0"/>
                <w:sz w:val="21"/>
                <w:szCs w:val="21"/>
                <w:lang w:bidi="ar"/>
              </w:rPr>
              <w:t>行政事业性收费</w:t>
            </w:r>
          </w:p>
        </w:tc>
        <w:tc>
          <w:tcPr>
            <w:tcW w:w="5661" w:type="dxa"/>
            <w:gridSpan w:val="3"/>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宋体"/>
                <w:color w:val="auto"/>
                <w:sz w:val="21"/>
                <w:szCs w:val="21"/>
                <w:lang w:val="en-US" w:eastAsia="zh-CN"/>
              </w:rPr>
            </w:pPr>
            <w:r>
              <w:rPr>
                <w:rFonts w:hint="eastAsia" w:ascii="仿宋_GB2312" w:hAnsi="仿宋_GB2312" w:eastAsia="仿宋_GB2312" w:cs="宋体"/>
                <w:color w:val="auto"/>
                <w:sz w:val="21"/>
                <w:szCs w:val="21"/>
                <w:lang w:val="en-US" w:eastAsia="zh-CN"/>
              </w:rPr>
              <w:t>0</w:t>
            </w:r>
          </w:p>
        </w:tc>
      </w:tr>
    </w:tbl>
    <w:p>
      <w:pPr>
        <w:pStyle w:val="9"/>
        <w:keepNext w:val="0"/>
        <w:keepLines w:val="0"/>
        <w:pageBreakBefore w:val="0"/>
        <w:widowControl/>
        <w:kinsoku/>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宋体" w:hAnsi="宋体" w:eastAsia="宋体" w:cs="宋体"/>
          <w:b/>
          <w:bCs/>
          <w:color w:val="auto"/>
          <w:sz w:val="32"/>
          <w:szCs w:val="30"/>
        </w:rPr>
      </w:pPr>
      <w:r>
        <w:rPr>
          <w:rFonts w:hint="eastAsia" w:ascii="宋体" w:hAnsi="宋体" w:eastAsia="宋体" w:cs="宋体"/>
          <w:b/>
          <w:bCs/>
          <w:color w:val="auto"/>
          <w:sz w:val="32"/>
          <w:szCs w:val="30"/>
        </w:rPr>
        <w:t>三、收到和处理政府信息公开申请情况</w:t>
      </w:r>
    </w:p>
    <w:tbl>
      <w:tblPr>
        <w:tblStyle w:val="12"/>
        <w:tblW w:w="89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14"/>
        <w:gridCol w:w="792"/>
        <w:gridCol w:w="3643"/>
        <w:gridCol w:w="456"/>
        <w:gridCol w:w="707"/>
        <w:gridCol w:w="707"/>
        <w:gridCol w:w="706"/>
        <w:gridCol w:w="707"/>
        <w:gridCol w:w="465"/>
        <w:gridCol w:w="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81" w:hRule="atLeast"/>
          <w:jc w:val="center"/>
        </w:trPr>
        <w:tc>
          <w:tcPr>
            <w:tcW w:w="4849" w:type="dxa"/>
            <w:gridSpan w:val="3"/>
            <w:vMerge w:val="restart"/>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宋体"/>
                <w:color w:val="auto"/>
                <w:kern w:val="0"/>
                <w:sz w:val="21"/>
                <w:szCs w:val="21"/>
                <w:lang w:bidi="ar"/>
              </w:rPr>
              <w:t>（本列数据的勾稽关系为：第一项加第二项之和，等于第三项加第四项之和）</w:t>
            </w:r>
          </w:p>
        </w:tc>
        <w:tc>
          <w:tcPr>
            <w:tcW w:w="4099" w:type="dxa"/>
            <w:gridSpan w:val="7"/>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宋体"/>
                <w:color w:val="auto"/>
                <w:kern w:val="0"/>
                <w:sz w:val="21"/>
                <w:szCs w:val="21"/>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849" w:type="dxa"/>
            <w:gridSpan w:val="3"/>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olor w:val="auto"/>
                <w:sz w:val="21"/>
                <w:szCs w:val="21"/>
              </w:rPr>
            </w:pPr>
          </w:p>
        </w:tc>
        <w:tc>
          <w:tcPr>
            <w:tcW w:w="456" w:type="dxa"/>
            <w:vMerge w:val="restart"/>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宋体"/>
                <w:color w:val="auto"/>
                <w:kern w:val="0"/>
                <w:sz w:val="21"/>
                <w:szCs w:val="21"/>
                <w:lang w:bidi="ar"/>
              </w:rPr>
              <w:t>自然人</w:t>
            </w:r>
          </w:p>
        </w:tc>
        <w:tc>
          <w:tcPr>
            <w:tcW w:w="3292" w:type="dxa"/>
            <w:gridSpan w:val="5"/>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宋体"/>
                <w:color w:val="auto"/>
                <w:kern w:val="0"/>
                <w:sz w:val="21"/>
                <w:szCs w:val="21"/>
                <w:lang w:bidi="ar"/>
              </w:rPr>
              <w:t>法人或其他组织</w:t>
            </w:r>
          </w:p>
        </w:tc>
        <w:tc>
          <w:tcPr>
            <w:tcW w:w="351" w:type="dxa"/>
            <w:vMerge w:val="restart"/>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宋体"/>
                <w:color w:val="auto"/>
                <w:kern w:val="0"/>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74" w:hRule="atLeast"/>
          <w:jc w:val="center"/>
        </w:trPr>
        <w:tc>
          <w:tcPr>
            <w:tcW w:w="4849" w:type="dxa"/>
            <w:gridSpan w:val="3"/>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olor w:val="auto"/>
                <w:sz w:val="21"/>
                <w:szCs w:val="21"/>
              </w:rPr>
            </w:pPr>
          </w:p>
        </w:tc>
        <w:tc>
          <w:tcPr>
            <w:tcW w:w="456"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olor w:val="auto"/>
                <w:sz w:val="21"/>
                <w:szCs w:val="21"/>
              </w:rPr>
            </w:pP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宋体"/>
                <w:color w:val="auto"/>
                <w:kern w:val="0"/>
                <w:sz w:val="21"/>
                <w:szCs w:val="21"/>
                <w:lang w:bidi="ar"/>
              </w:rPr>
              <w:t>商业企业</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宋体"/>
                <w:color w:val="auto"/>
                <w:kern w:val="0"/>
                <w:sz w:val="21"/>
                <w:szCs w:val="21"/>
                <w:lang w:bidi="ar"/>
              </w:rPr>
              <w:t>科研机构</w:t>
            </w:r>
          </w:p>
        </w:tc>
        <w:tc>
          <w:tcPr>
            <w:tcW w:w="70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宋体"/>
                <w:color w:val="auto"/>
                <w:kern w:val="0"/>
                <w:sz w:val="21"/>
                <w:szCs w:val="21"/>
                <w:lang w:bidi="ar"/>
              </w:rPr>
              <w:t>社会公益组织</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宋体"/>
                <w:color w:val="auto"/>
                <w:kern w:val="0"/>
                <w:sz w:val="21"/>
                <w:szCs w:val="21"/>
                <w:lang w:bidi="ar"/>
              </w:rPr>
              <w:t>法律服务机构</w:t>
            </w:r>
          </w:p>
        </w:tc>
        <w:tc>
          <w:tcPr>
            <w:tcW w:w="46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宋体"/>
                <w:color w:val="auto"/>
                <w:kern w:val="0"/>
                <w:sz w:val="21"/>
                <w:szCs w:val="21"/>
                <w:lang w:bidi="ar"/>
              </w:rPr>
              <w:t>其他</w:t>
            </w:r>
          </w:p>
        </w:tc>
        <w:tc>
          <w:tcPr>
            <w:tcW w:w="351"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62" w:hRule="atLeast"/>
          <w:jc w:val="center"/>
        </w:trPr>
        <w:tc>
          <w:tcPr>
            <w:tcW w:w="4849" w:type="dxa"/>
            <w:gridSpan w:val="3"/>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olor w:val="auto"/>
                <w:sz w:val="21"/>
                <w:szCs w:val="21"/>
              </w:rPr>
            </w:pPr>
            <w:r>
              <w:rPr>
                <w:rFonts w:hint="eastAsia" w:ascii="仿宋_GB2312" w:hAnsi="仿宋_GB2312" w:eastAsia="仿宋_GB2312" w:cs="宋体"/>
                <w:color w:val="auto"/>
                <w:kern w:val="0"/>
                <w:sz w:val="21"/>
                <w:szCs w:val="21"/>
                <w:lang w:bidi="ar"/>
              </w:rPr>
              <w:t>一、本年新收政府信息公开申请数量</w:t>
            </w:r>
          </w:p>
        </w:tc>
        <w:tc>
          <w:tcPr>
            <w:tcW w:w="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outlineLvl w:val="9"/>
              <w:rPr>
                <w:rFonts w:hint="default" w:ascii="仿宋_GB2312" w:hAnsi="仿宋_GB2312" w:eastAsia="仿宋_GB2312"/>
                <w:color w:val="auto"/>
                <w:sz w:val="21"/>
                <w:szCs w:val="21"/>
                <w:lang w:val="en-US" w:eastAsia="zh-CN"/>
              </w:rPr>
            </w:pPr>
            <w:r>
              <w:rPr>
                <w:rFonts w:hint="eastAsia" w:ascii="仿宋_GB2312" w:hAnsi="仿宋_GB2312" w:eastAsia="仿宋_GB2312"/>
                <w:color w:val="auto"/>
                <w:sz w:val="21"/>
                <w:szCs w:val="21"/>
                <w:lang w:val="en-US" w:eastAsia="zh-CN"/>
              </w:rPr>
              <w:t>1</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lang w:val="en-US" w:eastAsia="zh-CN"/>
              </w:rPr>
            </w:pPr>
            <w:r>
              <w:rPr>
                <w:rFonts w:hint="eastAsia" w:ascii="仿宋_GB2312" w:hAnsi="仿宋_GB2312" w:eastAsia="仿宋_GB2312"/>
                <w:color w:val="auto"/>
                <w:sz w:val="21"/>
                <w:szCs w:val="21"/>
                <w:lang w:val="en-US" w:eastAsia="zh-CN"/>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lang w:val="en-US" w:eastAsia="zh-CN"/>
              </w:rPr>
            </w:pP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lang w:val="en-US" w:eastAsia="zh-CN"/>
              </w:rPr>
            </w:pPr>
            <w:r>
              <w:rPr>
                <w:rFonts w:hint="eastAsia" w:ascii="仿宋_GB2312" w:hAnsi="仿宋_GB2312" w:eastAsia="仿宋_GB2312" w:cs="Calibri"/>
                <w:color w:val="auto"/>
                <w:kern w:val="0"/>
                <w:sz w:val="21"/>
                <w:szCs w:val="21"/>
                <w:lang w:val="en-US" w:eastAsia="zh-CN" w:bidi="ar"/>
              </w:rPr>
              <w:t>0</w:t>
            </w:r>
          </w:p>
        </w:tc>
        <w:tc>
          <w:tcPr>
            <w:tcW w:w="46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351"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849" w:type="dxa"/>
            <w:gridSpan w:val="3"/>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olor w:val="auto"/>
                <w:sz w:val="21"/>
                <w:szCs w:val="21"/>
              </w:rPr>
            </w:pPr>
            <w:r>
              <w:rPr>
                <w:rFonts w:hint="eastAsia" w:ascii="仿宋_GB2312" w:hAnsi="仿宋_GB2312" w:eastAsia="仿宋_GB2312" w:cs="宋体"/>
                <w:color w:val="auto"/>
                <w:kern w:val="0"/>
                <w:sz w:val="21"/>
                <w:szCs w:val="21"/>
                <w:lang w:bidi="ar"/>
              </w:rPr>
              <w:t>二、上年结转政府信息公开申请数量</w:t>
            </w:r>
          </w:p>
        </w:tc>
        <w:tc>
          <w:tcPr>
            <w:tcW w:w="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lang w:val="en-US" w:eastAsia="zh-CN"/>
              </w:rPr>
            </w:pP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lang w:val="en-US" w:eastAsia="zh-CN"/>
              </w:rPr>
            </w:pP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lang w:val="en-US" w:eastAsia="zh-CN"/>
              </w:rPr>
            </w:pP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46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lang w:val="en-US" w:eastAsia="zh-CN"/>
              </w:rPr>
            </w:pPr>
            <w:r>
              <w:rPr>
                <w:rFonts w:hint="eastAsia" w:ascii="仿宋_GB2312" w:hAnsi="仿宋_GB2312" w:eastAsia="仿宋_GB2312" w:cs="Calibri"/>
                <w:color w:val="auto"/>
                <w:kern w:val="0"/>
                <w:sz w:val="21"/>
                <w:szCs w:val="21"/>
                <w:lang w:val="en-US" w:eastAsia="zh-CN" w:bidi="ar"/>
              </w:rPr>
              <w:t>0</w:t>
            </w:r>
          </w:p>
        </w:tc>
        <w:tc>
          <w:tcPr>
            <w:tcW w:w="351"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7" w:hRule="atLeast"/>
          <w:jc w:val="center"/>
        </w:trPr>
        <w:tc>
          <w:tcPr>
            <w:tcW w:w="414" w:type="dxa"/>
            <w:vMerge w:val="restart"/>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宋体"/>
                <w:color w:val="auto"/>
                <w:kern w:val="0"/>
                <w:sz w:val="21"/>
                <w:szCs w:val="21"/>
                <w:lang w:bidi="ar"/>
              </w:rPr>
              <w:t>三、本年度办理结果</w:t>
            </w:r>
          </w:p>
        </w:tc>
        <w:tc>
          <w:tcPr>
            <w:tcW w:w="4435"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olor w:val="auto"/>
                <w:sz w:val="21"/>
                <w:szCs w:val="21"/>
              </w:rPr>
            </w:pPr>
            <w:r>
              <w:rPr>
                <w:rFonts w:hint="eastAsia" w:ascii="仿宋_GB2312" w:hAnsi="仿宋_GB2312" w:eastAsia="仿宋_GB2312" w:cs="楷体"/>
                <w:color w:val="auto"/>
                <w:kern w:val="0"/>
                <w:sz w:val="21"/>
                <w:szCs w:val="21"/>
                <w:lang w:bidi="ar"/>
              </w:rPr>
              <w:t>（一）予以公开</w:t>
            </w:r>
          </w:p>
        </w:tc>
        <w:tc>
          <w:tcPr>
            <w:tcW w:w="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lang w:val="en-US" w:eastAsia="zh-CN"/>
              </w:rPr>
            </w:pP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lang w:val="en-US" w:eastAsia="zh-CN"/>
              </w:rPr>
            </w:pP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lang w:val="en-US" w:eastAsia="zh-CN"/>
              </w:rPr>
            </w:pPr>
            <w:r>
              <w:rPr>
                <w:rFonts w:hint="eastAsia" w:ascii="仿宋_GB2312" w:hAnsi="仿宋_GB2312" w:eastAsia="仿宋_GB2312" w:cs="Calibri"/>
                <w:color w:val="auto"/>
                <w:kern w:val="0"/>
                <w:sz w:val="21"/>
                <w:szCs w:val="21"/>
                <w:lang w:val="en-US" w:eastAsia="zh-CN" w:bidi="ar"/>
              </w:rPr>
              <w:t>0</w:t>
            </w:r>
          </w:p>
        </w:tc>
        <w:tc>
          <w:tcPr>
            <w:tcW w:w="70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46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lang w:val="en-US" w:eastAsia="zh-CN"/>
              </w:rPr>
            </w:pPr>
            <w:r>
              <w:rPr>
                <w:rFonts w:hint="eastAsia" w:ascii="仿宋_GB2312" w:hAnsi="仿宋_GB2312" w:eastAsia="仿宋_GB2312" w:cs="Calibri"/>
                <w:color w:val="auto"/>
                <w:kern w:val="0"/>
                <w:sz w:val="21"/>
                <w:szCs w:val="21"/>
                <w:lang w:val="en-US" w:eastAsia="zh-CN" w:bidi="ar"/>
              </w:rPr>
              <w:t>0</w:t>
            </w:r>
          </w:p>
        </w:tc>
        <w:tc>
          <w:tcPr>
            <w:tcW w:w="351"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lang w:val="en-US" w:eastAsia="zh-CN"/>
              </w:rPr>
            </w:pPr>
            <w:r>
              <w:rPr>
                <w:rFonts w:hint="eastAsia" w:ascii="仿宋_GB2312" w:hAnsi="仿宋_GB2312" w:eastAsia="仿宋_GB2312" w:cs="Calibri"/>
                <w:color w:val="auto"/>
                <w:kern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5" w:hRule="atLeast"/>
          <w:jc w:val="center"/>
        </w:trPr>
        <w:tc>
          <w:tcPr>
            <w:tcW w:w="414"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olor w:val="auto"/>
                <w:sz w:val="21"/>
                <w:szCs w:val="21"/>
              </w:rPr>
            </w:pPr>
          </w:p>
        </w:tc>
        <w:tc>
          <w:tcPr>
            <w:tcW w:w="4435"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olor w:val="auto"/>
                <w:sz w:val="21"/>
                <w:szCs w:val="21"/>
              </w:rPr>
            </w:pPr>
            <w:r>
              <w:rPr>
                <w:rFonts w:hint="eastAsia" w:ascii="仿宋_GB2312" w:hAnsi="仿宋_GB2312" w:eastAsia="仿宋_GB2312" w:cs="楷体"/>
                <w:color w:val="auto"/>
                <w:kern w:val="0"/>
                <w:sz w:val="21"/>
                <w:szCs w:val="21"/>
                <w:lang w:bidi="ar"/>
              </w:rPr>
              <w:t>（二）部分公开（区分处理的，只计这一情形，不计其他情形）</w:t>
            </w:r>
          </w:p>
        </w:tc>
        <w:tc>
          <w:tcPr>
            <w:tcW w:w="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lang w:val="en-US" w:eastAsia="zh-CN"/>
              </w:rPr>
            </w:pP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lang w:val="en-US" w:eastAsia="zh-CN"/>
              </w:rPr>
            </w:pP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46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lang w:val="en-US" w:eastAsia="zh-CN"/>
              </w:rPr>
            </w:pPr>
            <w:r>
              <w:rPr>
                <w:rFonts w:hint="eastAsia" w:ascii="仿宋_GB2312" w:hAnsi="仿宋_GB2312" w:eastAsia="仿宋_GB2312" w:cs="Calibri"/>
                <w:color w:val="auto"/>
                <w:kern w:val="0"/>
                <w:sz w:val="21"/>
                <w:szCs w:val="21"/>
                <w:lang w:val="en-US" w:eastAsia="zh-CN" w:bidi="ar"/>
              </w:rPr>
              <w:t>0</w:t>
            </w:r>
          </w:p>
        </w:tc>
        <w:tc>
          <w:tcPr>
            <w:tcW w:w="351"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lang w:val="en-US" w:eastAsia="zh-CN"/>
              </w:rPr>
            </w:pPr>
            <w:r>
              <w:rPr>
                <w:rFonts w:hint="eastAsia" w:ascii="仿宋_GB2312" w:hAnsi="仿宋_GB2312" w:eastAsia="仿宋_GB2312" w:cs="Calibri"/>
                <w:color w:val="auto"/>
                <w:kern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14"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olor w:val="auto"/>
                <w:sz w:val="21"/>
                <w:szCs w:val="21"/>
              </w:rPr>
            </w:pPr>
          </w:p>
        </w:tc>
        <w:tc>
          <w:tcPr>
            <w:tcW w:w="792" w:type="dxa"/>
            <w:vMerge w:val="restart"/>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olor w:val="auto"/>
                <w:sz w:val="21"/>
                <w:szCs w:val="21"/>
              </w:rPr>
            </w:pPr>
            <w:r>
              <w:rPr>
                <w:rFonts w:hint="eastAsia" w:ascii="仿宋_GB2312" w:hAnsi="仿宋_GB2312" w:eastAsia="仿宋_GB2312" w:cs="楷体"/>
                <w:color w:val="auto"/>
                <w:kern w:val="0"/>
                <w:sz w:val="21"/>
                <w:szCs w:val="21"/>
                <w:lang w:bidi="ar"/>
              </w:rPr>
              <w:t>（三）不予公开</w:t>
            </w:r>
          </w:p>
        </w:tc>
        <w:tc>
          <w:tcPr>
            <w:tcW w:w="3643"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olor w:val="auto"/>
                <w:sz w:val="21"/>
                <w:szCs w:val="21"/>
              </w:rPr>
            </w:pPr>
            <w:r>
              <w:rPr>
                <w:rFonts w:hint="eastAsia" w:ascii="仿宋_GB2312" w:hAnsi="仿宋_GB2312" w:eastAsia="仿宋_GB2312" w:cs="楷体"/>
                <w:color w:val="auto"/>
                <w:kern w:val="0"/>
                <w:sz w:val="21"/>
                <w:szCs w:val="21"/>
                <w:lang w:bidi="ar"/>
              </w:rPr>
              <w:t>1.属于国家秘密</w:t>
            </w:r>
          </w:p>
        </w:tc>
        <w:tc>
          <w:tcPr>
            <w:tcW w:w="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lang w:val="en-US" w:eastAsia="zh-CN"/>
              </w:rPr>
            </w:pP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lang w:val="en-US" w:eastAsia="zh-CN"/>
              </w:rPr>
            </w:pP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46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351"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79" w:hRule="atLeast"/>
          <w:jc w:val="center"/>
        </w:trPr>
        <w:tc>
          <w:tcPr>
            <w:tcW w:w="414"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olor w:val="auto"/>
                <w:sz w:val="21"/>
                <w:szCs w:val="21"/>
              </w:rPr>
            </w:pPr>
          </w:p>
        </w:tc>
        <w:tc>
          <w:tcPr>
            <w:tcW w:w="792"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olor w:val="auto"/>
                <w:sz w:val="21"/>
                <w:szCs w:val="21"/>
              </w:rPr>
            </w:pPr>
          </w:p>
        </w:tc>
        <w:tc>
          <w:tcPr>
            <w:tcW w:w="3643"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olor w:val="auto"/>
                <w:sz w:val="21"/>
                <w:szCs w:val="21"/>
              </w:rPr>
            </w:pPr>
            <w:r>
              <w:rPr>
                <w:rFonts w:hint="eastAsia" w:ascii="仿宋_GB2312" w:hAnsi="仿宋_GB2312" w:eastAsia="仿宋_GB2312" w:cs="楷体"/>
                <w:color w:val="auto"/>
                <w:kern w:val="0"/>
                <w:sz w:val="21"/>
                <w:szCs w:val="21"/>
                <w:lang w:bidi="ar"/>
              </w:rPr>
              <w:t>2.其他法律行政法规禁止公开</w:t>
            </w:r>
          </w:p>
        </w:tc>
        <w:tc>
          <w:tcPr>
            <w:tcW w:w="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lang w:val="en-US" w:eastAsia="zh-CN"/>
              </w:rPr>
            </w:pP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lang w:val="en-US" w:eastAsia="zh-CN"/>
              </w:rPr>
            </w:pP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46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lang w:val="en-US" w:eastAsia="zh-CN"/>
              </w:rPr>
            </w:pPr>
            <w:r>
              <w:rPr>
                <w:rFonts w:hint="eastAsia" w:ascii="仿宋_GB2312" w:hAnsi="仿宋_GB2312" w:eastAsia="仿宋_GB2312" w:cs="Calibri"/>
                <w:color w:val="auto"/>
                <w:kern w:val="0"/>
                <w:sz w:val="21"/>
                <w:szCs w:val="21"/>
                <w:lang w:val="en-US" w:eastAsia="zh-CN" w:bidi="ar"/>
              </w:rPr>
              <w:t>0</w:t>
            </w:r>
          </w:p>
        </w:tc>
        <w:tc>
          <w:tcPr>
            <w:tcW w:w="351"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lang w:val="en-US" w:eastAsia="zh-CN"/>
              </w:rPr>
            </w:pPr>
            <w:r>
              <w:rPr>
                <w:rFonts w:hint="eastAsia" w:ascii="仿宋_GB2312" w:hAnsi="仿宋_GB2312" w:eastAsia="仿宋_GB2312" w:cs="Calibri"/>
                <w:color w:val="auto"/>
                <w:kern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14"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olor w:val="auto"/>
                <w:sz w:val="21"/>
                <w:szCs w:val="21"/>
              </w:rPr>
            </w:pPr>
          </w:p>
        </w:tc>
        <w:tc>
          <w:tcPr>
            <w:tcW w:w="792"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olor w:val="auto"/>
                <w:sz w:val="21"/>
                <w:szCs w:val="21"/>
              </w:rPr>
            </w:pPr>
          </w:p>
        </w:tc>
        <w:tc>
          <w:tcPr>
            <w:tcW w:w="3643"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olor w:val="auto"/>
                <w:sz w:val="21"/>
                <w:szCs w:val="21"/>
              </w:rPr>
            </w:pPr>
            <w:r>
              <w:rPr>
                <w:rFonts w:hint="eastAsia" w:ascii="仿宋_GB2312" w:hAnsi="仿宋_GB2312" w:eastAsia="仿宋_GB2312" w:cs="楷体"/>
                <w:color w:val="auto"/>
                <w:kern w:val="0"/>
                <w:sz w:val="21"/>
                <w:szCs w:val="21"/>
                <w:lang w:bidi="ar"/>
              </w:rPr>
              <w:t>3.危及“三安全一稳定”</w:t>
            </w:r>
          </w:p>
        </w:tc>
        <w:tc>
          <w:tcPr>
            <w:tcW w:w="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46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351"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14"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olor w:val="auto"/>
                <w:sz w:val="21"/>
                <w:szCs w:val="21"/>
              </w:rPr>
            </w:pPr>
          </w:p>
        </w:tc>
        <w:tc>
          <w:tcPr>
            <w:tcW w:w="792"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olor w:val="auto"/>
                <w:sz w:val="21"/>
                <w:szCs w:val="21"/>
              </w:rPr>
            </w:pPr>
          </w:p>
        </w:tc>
        <w:tc>
          <w:tcPr>
            <w:tcW w:w="3643"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olor w:val="auto"/>
                <w:sz w:val="21"/>
                <w:szCs w:val="21"/>
              </w:rPr>
            </w:pPr>
            <w:r>
              <w:rPr>
                <w:rFonts w:hint="eastAsia" w:ascii="仿宋_GB2312" w:hAnsi="仿宋_GB2312" w:eastAsia="仿宋_GB2312" w:cs="楷体"/>
                <w:color w:val="auto"/>
                <w:kern w:val="0"/>
                <w:sz w:val="21"/>
                <w:szCs w:val="21"/>
                <w:lang w:bidi="ar"/>
              </w:rPr>
              <w:t>4.保护第三方合法权益</w:t>
            </w:r>
          </w:p>
        </w:tc>
        <w:tc>
          <w:tcPr>
            <w:tcW w:w="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46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351"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14"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olor w:val="auto"/>
                <w:sz w:val="21"/>
                <w:szCs w:val="21"/>
              </w:rPr>
            </w:pPr>
          </w:p>
        </w:tc>
        <w:tc>
          <w:tcPr>
            <w:tcW w:w="792"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olor w:val="auto"/>
                <w:sz w:val="21"/>
                <w:szCs w:val="21"/>
              </w:rPr>
            </w:pPr>
          </w:p>
        </w:tc>
        <w:tc>
          <w:tcPr>
            <w:tcW w:w="3643"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olor w:val="auto"/>
                <w:sz w:val="21"/>
                <w:szCs w:val="21"/>
              </w:rPr>
            </w:pPr>
            <w:r>
              <w:rPr>
                <w:rFonts w:hint="eastAsia" w:ascii="仿宋_GB2312" w:hAnsi="仿宋_GB2312" w:eastAsia="仿宋_GB2312" w:cs="楷体"/>
                <w:color w:val="auto"/>
                <w:kern w:val="0"/>
                <w:sz w:val="21"/>
                <w:szCs w:val="21"/>
                <w:lang w:bidi="ar"/>
              </w:rPr>
              <w:t>5.属于三类内部事务信息</w:t>
            </w:r>
          </w:p>
        </w:tc>
        <w:tc>
          <w:tcPr>
            <w:tcW w:w="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46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351"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14"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olor w:val="auto"/>
                <w:sz w:val="21"/>
                <w:szCs w:val="21"/>
              </w:rPr>
            </w:pPr>
          </w:p>
        </w:tc>
        <w:tc>
          <w:tcPr>
            <w:tcW w:w="792"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olor w:val="auto"/>
                <w:sz w:val="21"/>
                <w:szCs w:val="21"/>
              </w:rPr>
            </w:pPr>
          </w:p>
        </w:tc>
        <w:tc>
          <w:tcPr>
            <w:tcW w:w="3643"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olor w:val="auto"/>
                <w:sz w:val="21"/>
                <w:szCs w:val="21"/>
              </w:rPr>
            </w:pPr>
            <w:r>
              <w:rPr>
                <w:rFonts w:hint="eastAsia" w:ascii="仿宋_GB2312" w:hAnsi="仿宋_GB2312" w:eastAsia="仿宋_GB2312" w:cs="楷体"/>
                <w:color w:val="auto"/>
                <w:kern w:val="0"/>
                <w:sz w:val="21"/>
                <w:szCs w:val="21"/>
                <w:lang w:bidi="ar"/>
              </w:rPr>
              <w:t>6.属于四类过程性信息</w:t>
            </w:r>
          </w:p>
        </w:tc>
        <w:tc>
          <w:tcPr>
            <w:tcW w:w="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46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351"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14"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olor w:val="auto"/>
                <w:sz w:val="21"/>
                <w:szCs w:val="21"/>
              </w:rPr>
            </w:pPr>
          </w:p>
        </w:tc>
        <w:tc>
          <w:tcPr>
            <w:tcW w:w="792"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olor w:val="auto"/>
                <w:sz w:val="21"/>
                <w:szCs w:val="21"/>
              </w:rPr>
            </w:pPr>
          </w:p>
        </w:tc>
        <w:tc>
          <w:tcPr>
            <w:tcW w:w="3643"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olor w:val="auto"/>
                <w:sz w:val="21"/>
                <w:szCs w:val="21"/>
              </w:rPr>
            </w:pPr>
            <w:r>
              <w:rPr>
                <w:rFonts w:hint="eastAsia" w:ascii="仿宋_GB2312" w:hAnsi="仿宋_GB2312" w:eastAsia="仿宋_GB2312" w:cs="楷体"/>
                <w:color w:val="auto"/>
                <w:kern w:val="0"/>
                <w:sz w:val="21"/>
                <w:szCs w:val="21"/>
                <w:lang w:bidi="ar"/>
              </w:rPr>
              <w:t>7.属于行政执法案卷</w:t>
            </w:r>
          </w:p>
        </w:tc>
        <w:tc>
          <w:tcPr>
            <w:tcW w:w="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46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351"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0" w:hRule="atLeast"/>
          <w:jc w:val="center"/>
        </w:trPr>
        <w:tc>
          <w:tcPr>
            <w:tcW w:w="414"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olor w:val="auto"/>
                <w:sz w:val="21"/>
                <w:szCs w:val="21"/>
              </w:rPr>
            </w:pPr>
          </w:p>
        </w:tc>
        <w:tc>
          <w:tcPr>
            <w:tcW w:w="792"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olor w:val="auto"/>
                <w:sz w:val="21"/>
                <w:szCs w:val="21"/>
              </w:rPr>
            </w:pPr>
          </w:p>
        </w:tc>
        <w:tc>
          <w:tcPr>
            <w:tcW w:w="3643"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olor w:val="auto"/>
                <w:sz w:val="21"/>
                <w:szCs w:val="21"/>
              </w:rPr>
            </w:pPr>
            <w:r>
              <w:rPr>
                <w:rFonts w:hint="eastAsia" w:ascii="仿宋_GB2312" w:hAnsi="仿宋_GB2312" w:eastAsia="仿宋_GB2312" w:cs="楷体"/>
                <w:color w:val="auto"/>
                <w:kern w:val="0"/>
                <w:sz w:val="21"/>
                <w:szCs w:val="21"/>
                <w:lang w:bidi="ar"/>
              </w:rPr>
              <w:t>8.属于行政查询事项</w:t>
            </w:r>
          </w:p>
        </w:tc>
        <w:tc>
          <w:tcPr>
            <w:tcW w:w="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46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351"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97" w:hRule="atLeast"/>
          <w:jc w:val="center"/>
        </w:trPr>
        <w:tc>
          <w:tcPr>
            <w:tcW w:w="414"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olor w:val="auto"/>
                <w:sz w:val="21"/>
                <w:szCs w:val="21"/>
              </w:rPr>
            </w:pPr>
          </w:p>
        </w:tc>
        <w:tc>
          <w:tcPr>
            <w:tcW w:w="792" w:type="dxa"/>
            <w:vMerge w:val="restart"/>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olor w:val="auto"/>
                <w:sz w:val="21"/>
                <w:szCs w:val="21"/>
              </w:rPr>
            </w:pPr>
            <w:r>
              <w:rPr>
                <w:rFonts w:hint="eastAsia" w:ascii="仿宋_GB2312" w:hAnsi="仿宋_GB2312" w:eastAsia="仿宋_GB2312" w:cs="楷体"/>
                <w:color w:val="auto"/>
                <w:kern w:val="0"/>
                <w:sz w:val="21"/>
                <w:szCs w:val="21"/>
                <w:lang w:bidi="ar"/>
              </w:rPr>
              <w:t>（四）无法提供</w:t>
            </w:r>
          </w:p>
        </w:tc>
        <w:tc>
          <w:tcPr>
            <w:tcW w:w="3643"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olor w:val="auto"/>
                <w:sz w:val="21"/>
                <w:szCs w:val="21"/>
              </w:rPr>
            </w:pPr>
            <w:r>
              <w:rPr>
                <w:rFonts w:hint="eastAsia" w:ascii="仿宋_GB2312" w:hAnsi="仿宋_GB2312" w:eastAsia="仿宋_GB2312" w:cs="楷体"/>
                <w:color w:val="auto"/>
                <w:kern w:val="0"/>
                <w:sz w:val="21"/>
                <w:szCs w:val="21"/>
                <w:lang w:bidi="ar"/>
              </w:rPr>
              <w:t>1.本机关不掌握相关政府信息</w:t>
            </w:r>
          </w:p>
        </w:tc>
        <w:tc>
          <w:tcPr>
            <w:tcW w:w="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lang w:val="en-US" w:eastAsia="zh-CN"/>
              </w:rPr>
            </w:pPr>
            <w:r>
              <w:rPr>
                <w:rFonts w:hint="eastAsia" w:ascii="仿宋_GB2312" w:hAnsi="仿宋_GB2312" w:eastAsia="仿宋_GB2312"/>
                <w:color w:val="auto"/>
                <w:sz w:val="21"/>
                <w:szCs w:val="21"/>
                <w:lang w:val="en-US" w:eastAsia="zh-CN"/>
              </w:rPr>
              <w:t>1</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outlineLvl w:val="9"/>
              <w:rPr>
                <w:rFonts w:hint="default" w:ascii="仿宋_GB2312" w:hAnsi="仿宋_GB2312" w:eastAsia="仿宋_GB2312"/>
                <w:color w:val="auto"/>
                <w:sz w:val="21"/>
                <w:szCs w:val="21"/>
                <w:lang w:val="en-US" w:eastAsia="zh-CN"/>
              </w:rPr>
            </w:pPr>
            <w:r>
              <w:rPr>
                <w:rFonts w:hint="eastAsia" w:ascii="仿宋_GB2312" w:hAnsi="仿宋_GB2312" w:eastAsia="仿宋_GB2312"/>
                <w:color w:val="auto"/>
                <w:sz w:val="21"/>
                <w:szCs w:val="21"/>
                <w:lang w:val="en-US" w:eastAsia="zh-CN"/>
              </w:rPr>
              <w:t xml:space="preserve">  0    </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46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351"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14"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olor w:val="auto"/>
                <w:sz w:val="21"/>
                <w:szCs w:val="21"/>
              </w:rPr>
            </w:pPr>
          </w:p>
        </w:tc>
        <w:tc>
          <w:tcPr>
            <w:tcW w:w="792"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olor w:val="auto"/>
                <w:sz w:val="21"/>
                <w:szCs w:val="21"/>
              </w:rPr>
            </w:pPr>
          </w:p>
        </w:tc>
        <w:tc>
          <w:tcPr>
            <w:tcW w:w="3643"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olor w:val="auto"/>
                <w:sz w:val="21"/>
                <w:szCs w:val="21"/>
              </w:rPr>
            </w:pPr>
            <w:r>
              <w:rPr>
                <w:rFonts w:hint="eastAsia" w:ascii="仿宋_GB2312" w:hAnsi="仿宋_GB2312" w:eastAsia="仿宋_GB2312" w:cs="楷体"/>
                <w:color w:val="auto"/>
                <w:kern w:val="0"/>
                <w:sz w:val="21"/>
                <w:szCs w:val="21"/>
                <w:lang w:bidi="ar"/>
              </w:rPr>
              <w:t>2.没有现成信息需要另行制作</w:t>
            </w:r>
          </w:p>
        </w:tc>
        <w:tc>
          <w:tcPr>
            <w:tcW w:w="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46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351"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14"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olor w:val="auto"/>
                <w:sz w:val="21"/>
                <w:szCs w:val="21"/>
              </w:rPr>
            </w:pPr>
          </w:p>
        </w:tc>
        <w:tc>
          <w:tcPr>
            <w:tcW w:w="792"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olor w:val="auto"/>
                <w:sz w:val="21"/>
                <w:szCs w:val="21"/>
              </w:rPr>
            </w:pPr>
          </w:p>
        </w:tc>
        <w:tc>
          <w:tcPr>
            <w:tcW w:w="3643"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olor w:val="auto"/>
                <w:sz w:val="21"/>
                <w:szCs w:val="21"/>
              </w:rPr>
            </w:pPr>
            <w:r>
              <w:rPr>
                <w:rFonts w:hint="eastAsia" w:ascii="仿宋_GB2312" w:hAnsi="仿宋_GB2312" w:eastAsia="仿宋_GB2312" w:cs="楷体"/>
                <w:color w:val="auto"/>
                <w:kern w:val="0"/>
                <w:sz w:val="21"/>
                <w:szCs w:val="21"/>
                <w:lang w:bidi="ar"/>
              </w:rPr>
              <w:t>3.补正后申请内容仍不明确</w:t>
            </w:r>
          </w:p>
        </w:tc>
        <w:tc>
          <w:tcPr>
            <w:tcW w:w="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46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351"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14"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olor w:val="auto"/>
                <w:sz w:val="21"/>
                <w:szCs w:val="21"/>
              </w:rPr>
            </w:pPr>
          </w:p>
        </w:tc>
        <w:tc>
          <w:tcPr>
            <w:tcW w:w="792" w:type="dxa"/>
            <w:vMerge w:val="restart"/>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olor w:val="auto"/>
                <w:sz w:val="21"/>
                <w:szCs w:val="21"/>
              </w:rPr>
            </w:pPr>
            <w:r>
              <w:rPr>
                <w:rFonts w:hint="eastAsia" w:ascii="仿宋_GB2312" w:hAnsi="仿宋_GB2312" w:eastAsia="仿宋_GB2312" w:cs="楷体"/>
                <w:color w:val="auto"/>
                <w:kern w:val="0"/>
                <w:sz w:val="21"/>
                <w:szCs w:val="21"/>
                <w:lang w:bidi="ar"/>
              </w:rPr>
              <w:t>（五）不予处理</w:t>
            </w:r>
          </w:p>
        </w:tc>
        <w:tc>
          <w:tcPr>
            <w:tcW w:w="3643"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olor w:val="auto"/>
                <w:sz w:val="21"/>
                <w:szCs w:val="21"/>
              </w:rPr>
            </w:pPr>
            <w:r>
              <w:rPr>
                <w:rFonts w:hint="eastAsia" w:ascii="仿宋_GB2312" w:hAnsi="仿宋_GB2312" w:eastAsia="仿宋_GB2312" w:cs="楷体"/>
                <w:color w:val="auto"/>
                <w:kern w:val="0"/>
                <w:sz w:val="21"/>
                <w:szCs w:val="21"/>
                <w:lang w:bidi="ar"/>
              </w:rPr>
              <w:t>1.信访举报投诉类申请</w:t>
            </w:r>
          </w:p>
        </w:tc>
        <w:tc>
          <w:tcPr>
            <w:tcW w:w="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46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351"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14"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olor w:val="auto"/>
                <w:sz w:val="21"/>
                <w:szCs w:val="21"/>
              </w:rPr>
            </w:pPr>
          </w:p>
        </w:tc>
        <w:tc>
          <w:tcPr>
            <w:tcW w:w="792"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olor w:val="auto"/>
                <w:sz w:val="21"/>
                <w:szCs w:val="21"/>
              </w:rPr>
            </w:pPr>
          </w:p>
        </w:tc>
        <w:tc>
          <w:tcPr>
            <w:tcW w:w="3643"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olor w:val="auto"/>
                <w:sz w:val="21"/>
                <w:szCs w:val="21"/>
              </w:rPr>
            </w:pPr>
            <w:r>
              <w:rPr>
                <w:rFonts w:hint="eastAsia" w:ascii="仿宋_GB2312" w:hAnsi="仿宋_GB2312" w:eastAsia="仿宋_GB2312" w:cs="楷体"/>
                <w:color w:val="auto"/>
                <w:kern w:val="0"/>
                <w:sz w:val="21"/>
                <w:szCs w:val="21"/>
                <w:lang w:bidi="ar"/>
              </w:rPr>
              <w:t>2.重复申请</w:t>
            </w:r>
          </w:p>
        </w:tc>
        <w:tc>
          <w:tcPr>
            <w:tcW w:w="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46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351"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14"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olor w:val="auto"/>
                <w:sz w:val="21"/>
                <w:szCs w:val="21"/>
              </w:rPr>
            </w:pPr>
          </w:p>
        </w:tc>
        <w:tc>
          <w:tcPr>
            <w:tcW w:w="792"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olor w:val="auto"/>
                <w:sz w:val="21"/>
                <w:szCs w:val="21"/>
              </w:rPr>
            </w:pPr>
          </w:p>
        </w:tc>
        <w:tc>
          <w:tcPr>
            <w:tcW w:w="3643"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olor w:val="auto"/>
                <w:sz w:val="21"/>
                <w:szCs w:val="21"/>
              </w:rPr>
            </w:pPr>
            <w:r>
              <w:rPr>
                <w:rFonts w:hint="eastAsia" w:ascii="仿宋_GB2312" w:hAnsi="仿宋_GB2312" w:eastAsia="仿宋_GB2312" w:cs="楷体"/>
                <w:color w:val="auto"/>
                <w:kern w:val="0"/>
                <w:sz w:val="21"/>
                <w:szCs w:val="21"/>
                <w:lang w:bidi="ar"/>
              </w:rPr>
              <w:t>3.要求提供公开出版物</w:t>
            </w:r>
          </w:p>
        </w:tc>
        <w:tc>
          <w:tcPr>
            <w:tcW w:w="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46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351"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14"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olor w:val="auto"/>
                <w:sz w:val="21"/>
                <w:szCs w:val="21"/>
              </w:rPr>
            </w:pPr>
          </w:p>
        </w:tc>
        <w:tc>
          <w:tcPr>
            <w:tcW w:w="792"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olor w:val="auto"/>
                <w:sz w:val="21"/>
                <w:szCs w:val="21"/>
              </w:rPr>
            </w:pPr>
          </w:p>
        </w:tc>
        <w:tc>
          <w:tcPr>
            <w:tcW w:w="3643"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olor w:val="auto"/>
                <w:sz w:val="21"/>
                <w:szCs w:val="21"/>
              </w:rPr>
            </w:pPr>
            <w:r>
              <w:rPr>
                <w:rFonts w:hint="eastAsia" w:ascii="仿宋_GB2312" w:hAnsi="仿宋_GB2312" w:eastAsia="仿宋_GB2312" w:cs="楷体"/>
                <w:color w:val="auto"/>
                <w:kern w:val="0"/>
                <w:sz w:val="21"/>
                <w:szCs w:val="21"/>
                <w:lang w:bidi="ar"/>
              </w:rPr>
              <w:t>4.无正当理由大量反复申请</w:t>
            </w:r>
          </w:p>
        </w:tc>
        <w:tc>
          <w:tcPr>
            <w:tcW w:w="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46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351"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14"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olor w:val="auto"/>
                <w:sz w:val="21"/>
                <w:szCs w:val="21"/>
              </w:rPr>
            </w:pPr>
          </w:p>
        </w:tc>
        <w:tc>
          <w:tcPr>
            <w:tcW w:w="792" w:type="dxa"/>
            <w:vMerge w:val="continue"/>
            <w:tcBorders>
              <w:bottom w:val="single" w:color="auto" w:sz="4" w:space="0"/>
            </w:tcBorders>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olor w:val="auto"/>
                <w:sz w:val="21"/>
                <w:szCs w:val="21"/>
              </w:rPr>
            </w:pPr>
          </w:p>
        </w:tc>
        <w:tc>
          <w:tcPr>
            <w:tcW w:w="3643" w:type="dxa"/>
            <w:tcBorders>
              <w:bottom w:val="single" w:color="auto"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olor w:val="auto"/>
                <w:sz w:val="21"/>
                <w:szCs w:val="21"/>
              </w:rPr>
            </w:pPr>
            <w:r>
              <w:rPr>
                <w:rFonts w:hint="eastAsia" w:ascii="仿宋_GB2312" w:hAnsi="仿宋_GB2312" w:eastAsia="仿宋_GB2312" w:cs="楷体"/>
                <w:color w:val="auto"/>
                <w:kern w:val="0"/>
                <w:sz w:val="21"/>
                <w:szCs w:val="21"/>
                <w:lang w:bidi="ar"/>
              </w:rPr>
              <w:t>5.要求行政机关确认或重新出具已获取信息</w:t>
            </w:r>
          </w:p>
        </w:tc>
        <w:tc>
          <w:tcPr>
            <w:tcW w:w="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46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351"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96" w:hRule="atLeast"/>
          <w:jc w:val="center"/>
        </w:trPr>
        <w:tc>
          <w:tcPr>
            <w:tcW w:w="414" w:type="dxa"/>
            <w:vMerge w:val="continue"/>
            <w:tcBorders>
              <w:right w:val="single" w:color="auto" w:sz="4" w:space="0"/>
            </w:tcBorders>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olor w:val="auto"/>
                <w:sz w:val="21"/>
                <w:szCs w:val="21"/>
              </w:rPr>
            </w:pPr>
          </w:p>
        </w:tc>
        <w:tc>
          <w:tcPr>
            <w:tcW w:w="792" w:type="dxa"/>
            <w:vMerge w:val="restart"/>
            <w:tcBorders>
              <w:top w:val="single" w:color="auto" w:sz="4" w:space="0"/>
              <w:left w:val="single" w:color="auto" w:sz="4" w:space="0"/>
              <w:right w:val="single" w:color="auto"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olor w:val="auto"/>
                <w:sz w:val="21"/>
                <w:szCs w:val="21"/>
              </w:rPr>
            </w:pPr>
            <w:r>
              <w:rPr>
                <w:rFonts w:hint="eastAsia" w:ascii="仿宋_GB2312" w:hAnsi="仿宋_GB2312" w:eastAsia="仿宋_GB2312" w:cs="楷体"/>
                <w:color w:val="auto"/>
                <w:kern w:val="0"/>
                <w:sz w:val="21"/>
                <w:szCs w:val="21"/>
                <w:lang w:bidi="ar"/>
              </w:rPr>
              <w:t>（六）其他处理</w:t>
            </w:r>
          </w:p>
        </w:tc>
        <w:tc>
          <w:tcPr>
            <w:tcW w:w="3643" w:type="dxa"/>
            <w:tcBorders>
              <w:top w:val="single" w:color="auto" w:sz="4" w:space="0"/>
              <w:left w:val="single" w:color="auto" w:sz="4" w:space="0"/>
              <w:right w:val="single" w:color="auto"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楷体"/>
                <w:color w:val="auto"/>
                <w:kern w:val="0"/>
                <w:sz w:val="21"/>
                <w:szCs w:val="21"/>
                <w:lang w:val="en-US" w:eastAsia="zh-CN" w:bidi="ar"/>
              </w:rPr>
            </w:pPr>
            <w:r>
              <w:rPr>
                <w:rFonts w:hint="eastAsia" w:ascii="仿宋_GB2312" w:hAnsi="仿宋_GB2312" w:eastAsia="仿宋_GB2312" w:cs="楷体"/>
                <w:color w:val="auto"/>
                <w:kern w:val="0"/>
                <w:sz w:val="21"/>
                <w:szCs w:val="21"/>
                <w:lang w:val="en-US" w:eastAsia="zh-CN" w:bidi="ar"/>
              </w:rPr>
              <w:t>1.申请人无正当理由逾期不补正、行政机关不再处理其政府信息公开申请</w:t>
            </w:r>
          </w:p>
        </w:tc>
        <w:tc>
          <w:tcPr>
            <w:tcW w:w="456" w:type="dxa"/>
            <w:tcBorders>
              <w:left w:val="single" w:color="auto"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46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351"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14" w:type="dxa"/>
            <w:vMerge w:val="continue"/>
            <w:tcBorders>
              <w:right w:val="single" w:color="auto" w:sz="4" w:space="0"/>
            </w:tcBorders>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olor w:val="auto"/>
                <w:sz w:val="21"/>
                <w:szCs w:val="21"/>
              </w:rPr>
            </w:pPr>
          </w:p>
        </w:tc>
        <w:tc>
          <w:tcPr>
            <w:tcW w:w="792" w:type="dxa"/>
            <w:vMerge w:val="continue"/>
            <w:tcBorders>
              <w:left w:val="single" w:color="auto" w:sz="4" w:space="0"/>
              <w:right w:val="single" w:color="auto"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楷体"/>
                <w:color w:val="auto"/>
                <w:kern w:val="0"/>
                <w:sz w:val="21"/>
                <w:szCs w:val="21"/>
                <w:lang w:bidi="ar"/>
              </w:rPr>
            </w:pPr>
          </w:p>
        </w:tc>
        <w:tc>
          <w:tcPr>
            <w:tcW w:w="3643" w:type="dxa"/>
            <w:tcBorders>
              <w:left w:val="single" w:color="auto" w:sz="4" w:space="0"/>
              <w:right w:val="single" w:color="auto"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楷体"/>
                <w:color w:val="auto"/>
                <w:kern w:val="0"/>
                <w:sz w:val="21"/>
                <w:szCs w:val="21"/>
                <w:lang w:val="en-US" w:eastAsia="zh-CN" w:bidi="ar"/>
              </w:rPr>
            </w:pPr>
            <w:r>
              <w:rPr>
                <w:rFonts w:hint="eastAsia" w:ascii="仿宋_GB2312" w:hAnsi="仿宋_GB2312" w:eastAsia="仿宋_GB2312" w:cs="楷体"/>
                <w:color w:val="auto"/>
                <w:kern w:val="0"/>
                <w:sz w:val="21"/>
                <w:szCs w:val="21"/>
                <w:lang w:val="en-US" w:eastAsia="zh-CN" w:bidi="ar"/>
              </w:rPr>
              <w:t>2.申请人逾期未按收费通知要求缴纳费用、行政机关不再处理其政府信息公开申请</w:t>
            </w:r>
          </w:p>
        </w:tc>
        <w:tc>
          <w:tcPr>
            <w:tcW w:w="456" w:type="dxa"/>
            <w:tcBorders>
              <w:left w:val="single" w:color="auto"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Calibri"/>
                <w:color w:val="auto"/>
                <w:kern w:val="0"/>
                <w:sz w:val="21"/>
                <w:szCs w:val="21"/>
                <w:lang w:bidi="ar"/>
              </w:rPr>
            </w:pP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Calibri"/>
                <w:color w:val="auto"/>
                <w:kern w:val="0"/>
                <w:sz w:val="21"/>
                <w:szCs w:val="21"/>
                <w:lang w:bidi="ar"/>
              </w:rPr>
            </w:pP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Calibri"/>
                <w:color w:val="auto"/>
                <w:kern w:val="0"/>
                <w:sz w:val="21"/>
                <w:szCs w:val="21"/>
                <w:lang w:bidi="ar"/>
              </w:rPr>
            </w:pPr>
            <w:r>
              <w:rPr>
                <w:rFonts w:hint="eastAsia" w:ascii="仿宋_GB2312" w:hAnsi="仿宋_GB2312" w:eastAsia="仿宋_GB2312" w:cs="Calibri"/>
                <w:color w:val="auto"/>
                <w:kern w:val="0"/>
                <w:sz w:val="21"/>
                <w:szCs w:val="21"/>
                <w:lang w:val="en-US" w:eastAsia="zh-CN" w:bidi="ar"/>
              </w:rPr>
              <w:t>0</w:t>
            </w:r>
          </w:p>
        </w:tc>
        <w:tc>
          <w:tcPr>
            <w:tcW w:w="70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Calibri"/>
                <w:color w:val="auto"/>
                <w:kern w:val="0"/>
                <w:sz w:val="21"/>
                <w:szCs w:val="21"/>
                <w:lang w:bidi="ar"/>
              </w:rPr>
            </w:pP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Calibri"/>
                <w:color w:val="auto"/>
                <w:kern w:val="0"/>
                <w:sz w:val="21"/>
                <w:szCs w:val="21"/>
                <w:lang w:bidi="ar"/>
              </w:rPr>
            </w:pPr>
            <w:r>
              <w:rPr>
                <w:rFonts w:hint="eastAsia" w:ascii="仿宋_GB2312" w:hAnsi="仿宋_GB2312" w:eastAsia="仿宋_GB2312" w:cs="Calibri"/>
                <w:color w:val="auto"/>
                <w:kern w:val="0"/>
                <w:sz w:val="21"/>
                <w:szCs w:val="21"/>
                <w:lang w:val="en-US" w:eastAsia="zh-CN" w:bidi="ar"/>
              </w:rPr>
              <w:t>0</w:t>
            </w:r>
          </w:p>
        </w:tc>
        <w:tc>
          <w:tcPr>
            <w:tcW w:w="46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Calibri"/>
                <w:color w:val="auto"/>
                <w:kern w:val="0"/>
                <w:sz w:val="21"/>
                <w:szCs w:val="21"/>
                <w:lang w:bidi="ar"/>
              </w:rPr>
            </w:pPr>
            <w:r>
              <w:rPr>
                <w:rFonts w:hint="eastAsia" w:ascii="仿宋_GB2312" w:hAnsi="仿宋_GB2312" w:eastAsia="仿宋_GB2312" w:cs="Calibri"/>
                <w:color w:val="auto"/>
                <w:kern w:val="0"/>
                <w:sz w:val="21"/>
                <w:szCs w:val="21"/>
                <w:lang w:val="en-US" w:eastAsia="zh-CN" w:bidi="ar"/>
              </w:rPr>
              <w:t>0</w:t>
            </w:r>
          </w:p>
        </w:tc>
        <w:tc>
          <w:tcPr>
            <w:tcW w:w="351"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Calibri"/>
                <w:color w:val="auto"/>
                <w:kern w:val="0"/>
                <w:sz w:val="21"/>
                <w:szCs w:val="21"/>
                <w:lang w:bidi="ar"/>
              </w:rPr>
            </w:pPr>
            <w:r>
              <w:rPr>
                <w:rFonts w:hint="eastAsia" w:ascii="仿宋_GB2312" w:hAnsi="仿宋_GB2312" w:eastAsia="仿宋_GB2312" w:cs="Calibri"/>
                <w:color w:val="auto"/>
                <w:kern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14" w:type="dxa"/>
            <w:vMerge w:val="continue"/>
            <w:tcBorders>
              <w:right w:val="single" w:color="auto" w:sz="4" w:space="0"/>
            </w:tcBorders>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olor w:val="auto"/>
                <w:sz w:val="21"/>
                <w:szCs w:val="21"/>
              </w:rPr>
            </w:pPr>
          </w:p>
        </w:tc>
        <w:tc>
          <w:tcPr>
            <w:tcW w:w="792" w:type="dxa"/>
            <w:vMerge w:val="continue"/>
            <w:tcBorders>
              <w:left w:val="single" w:color="auto" w:sz="4" w:space="0"/>
              <w:bottom w:val="single" w:color="auto" w:sz="4" w:space="0"/>
              <w:right w:val="single" w:color="auto"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楷体"/>
                <w:color w:val="auto"/>
                <w:kern w:val="0"/>
                <w:sz w:val="21"/>
                <w:szCs w:val="21"/>
                <w:lang w:bidi="ar"/>
              </w:rPr>
            </w:pPr>
          </w:p>
        </w:tc>
        <w:tc>
          <w:tcPr>
            <w:tcW w:w="3643" w:type="dxa"/>
            <w:tcBorders>
              <w:left w:val="single" w:color="auto" w:sz="4" w:space="0"/>
              <w:bottom w:val="single" w:color="auto" w:sz="4" w:space="0"/>
              <w:right w:val="single" w:color="auto"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楷体"/>
                <w:color w:val="auto"/>
                <w:kern w:val="0"/>
                <w:sz w:val="21"/>
                <w:szCs w:val="21"/>
                <w:lang w:val="en-US" w:eastAsia="zh-CN" w:bidi="ar"/>
              </w:rPr>
            </w:pPr>
            <w:r>
              <w:rPr>
                <w:rFonts w:hint="eastAsia" w:ascii="仿宋_GB2312" w:hAnsi="仿宋_GB2312" w:eastAsia="仿宋_GB2312" w:cs="楷体"/>
                <w:color w:val="auto"/>
                <w:kern w:val="0"/>
                <w:sz w:val="21"/>
                <w:szCs w:val="21"/>
                <w:lang w:val="en-US" w:eastAsia="zh-CN" w:bidi="ar"/>
              </w:rPr>
              <w:t>3.其他</w:t>
            </w:r>
          </w:p>
        </w:tc>
        <w:tc>
          <w:tcPr>
            <w:tcW w:w="456" w:type="dxa"/>
            <w:tcBorders>
              <w:left w:val="single" w:color="auto"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Calibri"/>
                <w:color w:val="auto"/>
                <w:kern w:val="0"/>
                <w:sz w:val="21"/>
                <w:szCs w:val="21"/>
                <w:lang w:bidi="ar"/>
              </w:rPr>
            </w:pP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Calibri"/>
                <w:color w:val="auto"/>
                <w:kern w:val="0"/>
                <w:sz w:val="21"/>
                <w:szCs w:val="21"/>
                <w:lang w:bidi="ar"/>
              </w:rPr>
            </w:pP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Calibri"/>
                <w:color w:val="auto"/>
                <w:kern w:val="0"/>
                <w:sz w:val="21"/>
                <w:szCs w:val="21"/>
                <w:lang w:bidi="ar"/>
              </w:rPr>
            </w:pPr>
            <w:r>
              <w:rPr>
                <w:rFonts w:hint="eastAsia" w:ascii="仿宋_GB2312" w:hAnsi="仿宋_GB2312" w:eastAsia="仿宋_GB2312" w:cs="Calibri"/>
                <w:color w:val="auto"/>
                <w:kern w:val="0"/>
                <w:sz w:val="21"/>
                <w:szCs w:val="21"/>
                <w:lang w:val="en-US" w:eastAsia="zh-CN" w:bidi="ar"/>
              </w:rPr>
              <w:t>0</w:t>
            </w:r>
          </w:p>
        </w:tc>
        <w:tc>
          <w:tcPr>
            <w:tcW w:w="70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Calibri"/>
                <w:color w:val="auto"/>
                <w:kern w:val="0"/>
                <w:sz w:val="21"/>
                <w:szCs w:val="21"/>
                <w:lang w:bidi="ar"/>
              </w:rPr>
            </w:pP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Calibri"/>
                <w:color w:val="auto"/>
                <w:kern w:val="0"/>
                <w:sz w:val="21"/>
                <w:szCs w:val="21"/>
                <w:lang w:bidi="ar"/>
              </w:rPr>
            </w:pPr>
            <w:r>
              <w:rPr>
                <w:rFonts w:hint="eastAsia" w:ascii="仿宋_GB2312" w:hAnsi="仿宋_GB2312" w:eastAsia="仿宋_GB2312" w:cs="Calibri"/>
                <w:color w:val="auto"/>
                <w:kern w:val="0"/>
                <w:sz w:val="21"/>
                <w:szCs w:val="21"/>
                <w:lang w:val="en-US" w:eastAsia="zh-CN" w:bidi="ar"/>
              </w:rPr>
              <w:t>0</w:t>
            </w:r>
          </w:p>
        </w:tc>
        <w:tc>
          <w:tcPr>
            <w:tcW w:w="46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Calibri"/>
                <w:color w:val="auto"/>
                <w:kern w:val="0"/>
                <w:sz w:val="21"/>
                <w:szCs w:val="21"/>
                <w:lang w:bidi="ar"/>
              </w:rPr>
            </w:pPr>
            <w:r>
              <w:rPr>
                <w:rFonts w:hint="eastAsia" w:ascii="仿宋_GB2312" w:hAnsi="仿宋_GB2312" w:eastAsia="仿宋_GB2312" w:cs="Calibri"/>
                <w:color w:val="auto"/>
                <w:kern w:val="0"/>
                <w:sz w:val="21"/>
                <w:szCs w:val="21"/>
                <w:lang w:val="en-US" w:eastAsia="zh-CN" w:bidi="ar"/>
              </w:rPr>
              <w:t>0</w:t>
            </w:r>
          </w:p>
        </w:tc>
        <w:tc>
          <w:tcPr>
            <w:tcW w:w="351"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Calibri"/>
                <w:color w:val="auto"/>
                <w:kern w:val="0"/>
                <w:sz w:val="21"/>
                <w:szCs w:val="21"/>
                <w:lang w:bidi="ar"/>
              </w:rPr>
            </w:pPr>
            <w:r>
              <w:rPr>
                <w:rFonts w:hint="eastAsia" w:ascii="仿宋_GB2312" w:hAnsi="仿宋_GB2312" w:eastAsia="仿宋_GB2312" w:cs="Calibri"/>
                <w:color w:val="auto"/>
                <w:kern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6" w:hRule="atLeast"/>
          <w:jc w:val="center"/>
        </w:trPr>
        <w:tc>
          <w:tcPr>
            <w:tcW w:w="414"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olor w:val="auto"/>
                <w:sz w:val="21"/>
                <w:szCs w:val="21"/>
              </w:rPr>
            </w:pPr>
          </w:p>
        </w:tc>
        <w:tc>
          <w:tcPr>
            <w:tcW w:w="4435" w:type="dxa"/>
            <w:gridSpan w:val="2"/>
            <w:tcBorders>
              <w:top w:val="single" w:color="auto"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olor w:val="auto"/>
                <w:sz w:val="21"/>
                <w:szCs w:val="21"/>
              </w:rPr>
            </w:pPr>
            <w:r>
              <w:rPr>
                <w:rFonts w:hint="eastAsia" w:ascii="仿宋_GB2312" w:hAnsi="仿宋_GB2312" w:eastAsia="仿宋_GB2312" w:cs="楷体"/>
                <w:color w:val="auto"/>
                <w:kern w:val="0"/>
                <w:sz w:val="21"/>
                <w:szCs w:val="21"/>
                <w:lang w:bidi="ar"/>
              </w:rPr>
              <w:t>（七）总计</w:t>
            </w:r>
          </w:p>
        </w:tc>
        <w:tc>
          <w:tcPr>
            <w:tcW w:w="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1</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46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351"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849" w:type="dxa"/>
            <w:gridSpan w:val="3"/>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olor w:val="auto"/>
                <w:sz w:val="21"/>
                <w:szCs w:val="21"/>
              </w:rPr>
            </w:pPr>
            <w:r>
              <w:rPr>
                <w:rFonts w:hint="eastAsia" w:ascii="仿宋_GB2312" w:hAnsi="仿宋_GB2312" w:eastAsia="仿宋_GB2312" w:cs="宋体"/>
                <w:color w:val="auto"/>
                <w:kern w:val="0"/>
                <w:sz w:val="21"/>
                <w:szCs w:val="21"/>
                <w:lang w:bidi="ar"/>
              </w:rPr>
              <w:t>四、结转下年度继续办理</w:t>
            </w:r>
          </w:p>
        </w:tc>
        <w:tc>
          <w:tcPr>
            <w:tcW w:w="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46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c>
          <w:tcPr>
            <w:tcW w:w="351"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p>
        </w:tc>
      </w:tr>
    </w:tbl>
    <w:p>
      <w:pPr>
        <w:keepNext w:val="0"/>
        <w:keepLines w:val="0"/>
        <w:pageBreakBefore w:val="0"/>
        <w:kinsoku/>
        <w:overflowPunct/>
        <w:topLinePunct w:val="0"/>
        <w:autoSpaceDE/>
        <w:autoSpaceDN/>
        <w:bidi w:val="0"/>
        <w:adjustRightInd/>
        <w:snapToGrid/>
        <w:spacing w:line="560" w:lineRule="exact"/>
        <w:ind w:firstLine="643" w:firstLineChars="200"/>
        <w:textAlignment w:val="auto"/>
        <w:rPr>
          <w:rFonts w:hint="eastAsia" w:ascii="宋体" w:hAnsi="宋体" w:eastAsia="宋体" w:cs="宋体"/>
          <w:b/>
          <w:bCs/>
          <w:color w:val="auto"/>
          <w:sz w:val="32"/>
          <w:szCs w:val="32"/>
        </w:rPr>
      </w:pPr>
      <w:r>
        <w:rPr>
          <w:rFonts w:hint="eastAsia" w:ascii="宋体" w:hAnsi="宋体" w:eastAsia="宋体" w:cs="宋体"/>
          <w:b/>
          <w:bCs/>
          <w:color w:val="auto"/>
          <w:sz w:val="32"/>
          <w:szCs w:val="32"/>
        </w:rPr>
        <w:t>四、政府信息公开行政复议、行政诉讼情况</w:t>
      </w:r>
    </w:p>
    <w:tbl>
      <w:tblPr>
        <w:tblStyle w:val="12"/>
        <w:tblW w:w="9078"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2"/>
        <w:gridCol w:w="642"/>
        <w:gridCol w:w="642"/>
        <w:gridCol w:w="642"/>
        <w:gridCol w:w="452"/>
        <w:gridCol w:w="680"/>
        <w:gridCol w:w="680"/>
        <w:gridCol w:w="680"/>
        <w:gridCol w:w="622"/>
        <w:gridCol w:w="408"/>
        <w:gridCol w:w="648"/>
        <w:gridCol w:w="648"/>
        <w:gridCol w:w="660"/>
        <w:gridCol w:w="636"/>
        <w:gridCol w:w="39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30" w:hRule="atLeast"/>
        </w:trPr>
        <w:tc>
          <w:tcPr>
            <w:tcW w:w="3020"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pPr>
            <w:r>
              <w:rPr>
                <w:rFonts w:hint="eastAsia" w:ascii="宋体" w:hAnsi="宋体" w:eastAsia="宋体" w:cs="宋体"/>
                <w:kern w:val="0"/>
                <w:sz w:val="20"/>
                <w:szCs w:val="20"/>
              </w:rPr>
              <w:t>行政复议</w:t>
            </w:r>
          </w:p>
        </w:tc>
        <w:tc>
          <w:tcPr>
            <w:tcW w:w="6058" w:type="dxa"/>
            <w:gridSpan w:val="10"/>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pPr>
            <w:r>
              <w:rPr>
                <w:rFonts w:hint="eastAsia" w:ascii="宋体" w:hAnsi="宋体" w:eastAsia="宋体" w:cs="宋体"/>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30" w:hRule="atLeast"/>
        </w:trPr>
        <w:tc>
          <w:tcPr>
            <w:tcW w:w="642"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pPr>
            <w:r>
              <w:rPr>
                <w:rFonts w:hint="eastAsia" w:ascii="宋体" w:hAnsi="宋体" w:eastAsia="宋体" w:cs="宋体"/>
                <w:kern w:val="0"/>
                <w:sz w:val="20"/>
                <w:szCs w:val="20"/>
              </w:rPr>
              <w:t>结果维持</w:t>
            </w:r>
          </w:p>
        </w:tc>
        <w:tc>
          <w:tcPr>
            <w:tcW w:w="642"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pPr>
            <w:r>
              <w:rPr>
                <w:rFonts w:hint="eastAsia" w:ascii="宋体" w:hAnsi="宋体" w:eastAsia="宋体" w:cs="宋体"/>
                <w:kern w:val="0"/>
                <w:sz w:val="20"/>
                <w:szCs w:val="20"/>
              </w:rPr>
              <w:t>结果</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纠正</w:t>
            </w:r>
          </w:p>
        </w:tc>
        <w:tc>
          <w:tcPr>
            <w:tcW w:w="642"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pPr>
            <w:r>
              <w:rPr>
                <w:rFonts w:hint="eastAsia" w:ascii="宋体" w:hAnsi="宋体" w:eastAsia="宋体" w:cs="宋体"/>
                <w:kern w:val="0"/>
                <w:sz w:val="20"/>
                <w:szCs w:val="20"/>
              </w:rPr>
              <w:t>其他</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结果</w:t>
            </w:r>
          </w:p>
        </w:tc>
        <w:tc>
          <w:tcPr>
            <w:tcW w:w="642"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pPr>
            <w:r>
              <w:rPr>
                <w:rFonts w:hint="eastAsia" w:ascii="宋体" w:hAnsi="宋体" w:eastAsia="宋体" w:cs="宋体"/>
                <w:kern w:val="0"/>
                <w:sz w:val="20"/>
                <w:szCs w:val="20"/>
              </w:rPr>
              <w:t>尚未</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审结</w:t>
            </w:r>
          </w:p>
        </w:tc>
        <w:tc>
          <w:tcPr>
            <w:tcW w:w="452"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pPr>
            <w:r>
              <w:rPr>
                <w:rFonts w:hint="eastAsia" w:ascii="宋体" w:hAnsi="宋体" w:eastAsia="宋体" w:cs="宋体"/>
                <w:kern w:val="0"/>
                <w:sz w:val="20"/>
                <w:szCs w:val="20"/>
              </w:rPr>
              <w:t>总计</w:t>
            </w:r>
          </w:p>
        </w:tc>
        <w:tc>
          <w:tcPr>
            <w:tcW w:w="3070"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pPr>
            <w:r>
              <w:rPr>
                <w:rFonts w:hint="eastAsia" w:ascii="宋体" w:hAnsi="宋体" w:eastAsia="宋体" w:cs="宋体"/>
                <w:kern w:val="0"/>
                <w:sz w:val="20"/>
                <w:szCs w:val="20"/>
              </w:rPr>
              <w:t>未经复议直接起诉</w:t>
            </w:r>
          </w:p>
        </w:tc>
        <w:tc>
          <w:tcPr>
            <w:tcW w:w="2988"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pPr>
            <w:r>
              <w:rPr>
                <w:rFonts w:hint="eastAsia" w:ascii="宋体" w:hAnsi="宋体" w:eastAsia="宋体" w:cs="宋体"/>
                <w:kern w:val="0"/>
                <w:sz w:val="20"/>
                <w:szCs w:val="20"/>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640" w:hRule="atLeast"/>
        </w:trPr>
        <w:tc>
          <w:tcPr>
            <w:tcW w:w="642" w:type="dxa"/>
            <w:vMerge w:val="continue"/>
            <w:tcBorders>
              <w:top w:val="nil"/>
              <w:left w:val="single" w:color="auto" w:sz="8" w:space="0"/>
              <w:bottom w:val="single" w:color="auto" w:sz="4"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ascii="宋体"/>
                <w:sz w:val="24"/>
                <w:szCs w:val="24"/>
              </w:rPr>
            </w:pPr>
          </w:p>
        </w:tc>
        <w:tc>
          <w:tcPr>
            <w:tcW w:w="642" w:type="dxa"/>
            <w:vMerge w:val="continue"/>
            <w:tcBorders>
              <w:top w:val="nil"/>
              <w:left w:val="single" w:color="auto" w:sz="8" w:space="0"/>
              <w:bottom w:val="single" w:color="auto" w:sz="4"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ascii="宋体"/>
                <w:sz w:val="24"/>
                <w:szCs w:val="24"/>
              </w:rPr>
            </w:pPr>
          </w:p>
        </w:tc>
        <w:tc>
          <w:tcPr>
            <w:tcW w:w="642" w:type="dxa"/>
            <w:vMerge w:val="continue"/>
            <w:tcBorders>
              <w:top w:val="single" w:color="auto" w:sz="8" w:space="0"/>
              <w:left w:val="single" w:color="auto" w:sz="8" w:space="0"/>
              <w:bottom w:val="single" w:color="auto" w:sz="4"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ascii="宋体"/>
                <w:sz w:val="24"/>
                <w:szCs w:val="24"/>
              </w:rPr>
            </w:pPr>
          </w:p>
        </w:tc>
        <w:tc>
          <w:tcPr>
            <w:tcW w:w="642" w:type="dxa"/>
            <w:vMerge w:val="continue"/>
            <w:tcBorders>
              <w:top w:val="single" w:color="auto" w:sz="8" w:space="0"/>
              <w:left w:val="single" w:color="auto" w:sz="8" w:space="0"/>
              <w:bottom w:val="single" w:color="auto" w:sz="4"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ascii="宋体"/>
                <w:sz w:val="24"/>
                <w:szCs w:val="24"/>
              </w:rPr>
            </w:pPr>
          </w:p>
        </w:tc>
        <w:tc>
          <w:tcPr>
            <w:tcW w:w="452" w:type="dxa"/>
            <w:vMerge w:val="continue"/>
            <w:tcBorders>
              <w:top w:val="single" w:color="auto" w:sz="8" w:space="0"/>
              <w:left w:val="single" w:color="auto" w:sz="8" w:space="0"/>
              <w:bottom w:val="single" w:color="auto" w:sz="4"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ascii="宋体"/>
                <w:sz w:val="24"/>
                <w:szCs w:val="24"/>
              </w:rPr>
            </w:pPr>
          </w:p>
        </w:tc>
        <w:tc>
          <w:tcPr>
            <w:tcW w:w="680" w:type="dxa"/>
            <w:tcBorders>
              <w:top w:val="nil"/>
              <w:left w:val="single" w:color="auto" w:sz="8" w:space="0"/>
              <w:bottom w:val="single" w:color="auto" w:sz="4"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pPr>
            <w:r>
              <w:rPr>
                <w:rFonts w:hint="eastAsia" w:ascii="宋体" w:hAnsi="宋体" w:eastAsia="宋体" w:cs="宋体"/>
                <w:kern w:val="0"/>
                <w:sz w:val="20"/>
                <w:szCs w:val="20"/>
              </w:rPr>
              <w:t>结果</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维持</w:t>
            </w:r>
          </w:p>
        </w:tc>
        <w:tc>
          <w:tcPr>
            <w:tcW w:w="680" w:type="dxa"/>
            <w:tcBorders>
              <w:top w:val="nil"/>
              <w:left w:val="single" w:color="auto" w:sz="8" w:space="0"/>
              <w:bottom w:val="single" w:color="auto" w:sz="4"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pPr>
            <w:r>
              <w:rPr>
                <w:rFonts w:hint="eastAsia" w:ascii="宋体" w:hAnsi="宋体" w:eastAsia="宋体" w:cs="宋体"/>
                <w:kern w:val="0"/>
                <w:sz w:val="20"/>
                <w:szCs w:val="20"/>
              </w:rPr>
              <w:t>结果</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纠正</w:t>
            </w:r>
          </w:p>
        </w:tc>
        <w:tc>
          <w:tcPr>
            <w:tcW w:w="680" w:type="dxa"/>
            <w:tcBorders>
              <w:top w:val="single" w:color="auto" w:sz="8" w:space="0"/>
              <w:left w:val="single" w:color="auto" w:sz="8" w:space="0"/>
              <w:bottom w:val="single" w:color="auto" w:sz="4"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pPr>
            <w:r>
              <w:rPr>
                <w:rFonts w:hint="eastAsia" w:ascii="宋体" w:hAnsi="宋体" w:eastAsia="宋体" w:cs="宋体"/>
                <w:kern w:val="0"/>
                <w:sz w:val="20"/>
                <w:szCs w:val="20"/>
              </w:rPr>
              <w:t>其他</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结果</w:t>
            </w:r>
          </w:p>
        </w:tc>
        <w:tc>
          <w:tcPr>
            <w:tcW w:w="622" w:type="dxa"/>
            <w:tcBorders>
              <w:top w:val="single" w:color="auto" w:sz="8" w:space="0"/>
              <w:left w:val="single" w:color="auto" w:sz="8" w:space="0"/>
              <w:bottom w:val="single" w:color="auto" w:sz="4"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pPr>
            <w:r>
              <w:rPr>
                <w:rFonts w:hint="eastAsia" w:ascii="宋体" w:hAnsi="宋体" w:eastAsia="宋体" w:cs="宋体"/>
                <w:kern w:val="0"/>
                <w:sz w:val="20"/>
                <w:szCs w:val="20"/>
              </w:rPr>
              <w:t>尚未</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审结</w:t>
            </w:r>
          </w:p>
        </w:tc>
        <w:tc>
          <w:tcPr>
            <w:tcW w:w="408" w:type="dxa"/>
            <w:tcBorders>
              <w:top w:val="single" w:color="auto" w:sz="8" w:space="0"/>
              <w:left w:val="single" w:color="auto" w:sz="8" w:space="0"/>
              <w:bottom w:val="single" w:color="auto" w:sz="4"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pPr>
            <w:r>
              <w:rPr>
                <w:rFonts w:hint="eastAsia" w:ascii="宋体" w:hAnsi="宋体" w:eastAsia="宋体" w:cs="宋体"/>
                <w:color w:val="000000"/>
                <w:kern w:val="0"/>
                <w:sz w:val="20"/>
                <w:szCs w:val="20"/>
              </w:rPr>
              <w:t>总计</w:t>
            </w:r>
          </w:p>
        </w:tc>
        <w:tc>
          <w:tcPr>
            <w:tcW w:w="648" w:type="dxa"/>
            <w:tcBorders>
              <w:top w:val="single" w:color="auto" w:sz="8" w:space="0"/>
              <w:left w:val="single" w:color="auto" w:sz="8" w:space="0"/>
              <w:bottom w:val="single" w:color="auto" w:sz="4"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pPr>
            <w:r>
              <w:rPr>
                <w:rFonts w:hint="eastAsia" w:ascii="宋体" w:hAnsi="宋体" w:eastAsia="宋体" w:cs="宋体"/>
                <w:kern w:val="0"/>
                <w:sz w:val="20"/>
                <w:szCs w:val="20"/>
              </w:rPr>
              <w:t>结果</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维持</w:t>
            </w:r>
          </w:p>
        </w:tc>
        <w:tc>
          <w:tcPr>
            <w:tcW w:w="648" w:type="dxa"/>
            <w:tcBorders>
              <w:top w:val="single" w:color="auto" w:sz="8" w:space="0"/>
              <w:left w:val="single" w:color="auto" w:sz="8" w:space="0"/>
              <w:bottom w:val="single" w:color="auto" w:sz="4"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pPr>
            <w:r>
              <w:rPr>
                <w:rFonts w:hint="eastAsia" w:ascii="宋体" w:hAnsi="宋体" w:eastAsia="宋体" w:cs="宋体"/>
                <w:kern w:val="0"/>
                <w:sz w:val="20"/>
                <w:szCs w:val="20"/>
              </w:rPr>
              <w:t>结果</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纠正</w:t>
            </w:r>
          </w:p>
        </w:tc>
        <w:tc>
          <w:tcPr>
            <w:tcW w:w="660" w:type="dxa"/>
            <w:tcBorders>
              <w:top w:val="single" w:color="auto" w:sz="8" w:space="0"/>
              <w:left w:val="single" w:color="auto" w:sz="8" w:space="0"/>
              <w:bottom w:val="single" w:color="auto" w:sz="4"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pPr>
            <w:r>
              <w:rPr>
                <w:rFonts w:hint="eastAsia" w:ascii="宋体" w:hAnsi="宋体" w:eastAsia="宋体" w:cs="宋体"/>
                <w:color w:val="000000"/>
                <w:kern w:val="0"/>
                <w:sz w:val="20"/>
                <w:szCs w:val="20"/>
              </w:rPr>
              <w:t>其他</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结果</w:t>
            </w:r>
          </w:p>
        </w:tc>
        <w:tc>
          <w:tcPr>
            <w:tcW w:w="636" w:type="dxa"/>
            <w:tcBorders>
              <w:top w:val="single" w:color="auto" w:sz="8" w:space="0"/>
              <w:left w:val="single" w:color="auto" w:sz="8" w:space="0"/>
              <w:bottom w:val="single" w:color="auto" w:sz="4"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pPr>
            <w:r>
              <w:rPr>
                <w:rFonts w:hint="eastAsia" w:ascii="宋体" w:hAnsi="宋体" w:eastAsia="宋体" w:cs="宋体"/>
                <w:kern w:val="0"/>
                <w:sz w:val="20"/>
                <w:szCs w:val="20"/>
              </w:rPr>
              <w:t>尚未</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审结</w:t>
            </w:r>
          </w:p>
        </w:tc>
        <w:tc>
          <w:tcPr>
            <w:tcW w:w="396" w:type="dxa"/>
            <w:tcBorders>
              <w:top w:val="single" w:color="auto" w:sz="8" w:space="0"/>
              <w:left w:val="single" w:color="auto" w:sz="8" w:space="0"/>
              <w:bottom w:val="single" w:color="auto" w:sz="4"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pPr>
            <w:r>
              <w:rPr>
                <w:rFonts w:hint="eastAsia" w:ascii="宋体" w:hAnsi="宋体" w:eastAsia="宋体" w:cs="宋体"/>
                <w:color w:val="000000"/>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89" w:hRule="atLeast"/>
        </w:trPr>
        <w:tc>
          <w:tcPr>
            <w:tcW w:w="64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pPr>
            <w:r>
              <w:rPr>
                <w:rFonts w:hint="eastAsia" w:ascii="黑体" w:hAnsi="宋体" w:eastAsia="黑体" w:cs="黑体"/>
                <w:kern w:val="0"/>
                <w:sz w:val="20"/>
                <w:szCs w:val="20"/>
              </w:rPr>
              <w:t>0</w:t>
            </w:r>
          </w:p>
        </w:tc>
        <w:tc>
          <w:tcPr>
            <w:tcW w:w="64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pPr>
            <w:r>
              <w:rPr>
                <w:rFonts w:hint="eastAsia" w:ascii="黑体" w:hAnsi="宋体" w:eastAsia="黑体" w:cs="黑体"/>
                <w:kern w:val="0"/>
                <w:sz w:val="20"/>
                <w:szCs w:val="20"/>
              </w:rPr>
              <w:t>0</w:t>
            </w:r>
          </w:p>
        </w:tc>
        <w:tc>
          <w:tcPr>
            <w:tcW w:w="64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pPr>
            <w:r>
              <w:rPr>
                <w:rFonts w:hint="eastAsia" w:ascii="黑体" w:hAnsi="宋体" w:eastAsia="黑体" w:cs="黑体"/>
                <w:kern w:val="0"/>
                <w:sz w:val="20"/>
                <w:szCs w:val="20"/>
              </w:rPr>
              <w:t>0</w:t>
            </w:r>
          </w:p>
        </w:tc>
        <w:tc>
          <w:tcPr>
            <w:tcW w:w="64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pPr>
            <w:r>
              <w:rPr>
                <w:rFonts w:hint="eastAsia" w:ascii="黑体" w:hAnsi="宋体" w:eastAsia="黑体" w:cs="黑体"/>
                <w:kern w:val="0"/>
                <w:sz w:val="20"/>
                <w:szCs w:val="20"/>
              </w:rPr>
              <w:t>0</w:t>
            </w:r>
          </w:p>
        </w:tc>
        <w:tc>
          <w:tcPr>
            <w:tcW w:w="45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pPr>
            <w:r>
              <w:rPr>
                <w:rFonts w:hint="eastAsia" w:ascii="黑体" w:hAnsi="宋体" w:eastAsia="黑体" w:cs="黑体"/>
                <w:kern w:val="0"/>
                <w:sz w:val="20"/>
                <w:szCs w:val="20"/>
              </w:rPr>
              <w:t>0</w:t>
            </w:r>
          </w:p>
        </w:tc>
        <w:tc>
          <w:tcPr>
            <w:tcW w:w="68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pPr>
            <w:r>
              <w:rPr>
                <w:rFonts w:hint="eastAsia" w:ascii="黑体" w:hAnsi="宋体" w:eastAsia="黑体" w:cs="黑体"/>
                <w:kern w:val="0"/>
                <w:sz w:val="20"/>
                <w:szCs w:val="20"/>
              </w:rPr>
              <w:t>0</w:t>
            </w:r>
          </w:p>
        </w:tc>
        <w:tc>
          <w:tcPr>
            <w:tcW w:w="68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pPr>
            <w:r>
              <w:rPr>
                <w:rFonts w:hint="eastAsia" w:ascii="黑体" w:hAnsi="宋体" w:eastAsia="黑体" w:cs="黑体"/>
                <w:kern w:val="0"/>
                <w:sz w:val="20"/>
                <w:szCs w:val="20"/>
              </w:rPr>
              <w:t>0</w:t>
            </w:r>
          </w:p>
        </w:tc>
        <w:tc>
          <w:tcPr>
            <w:tcW w:w="68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pPr>
            <w:r>
              <w:rPr>
                <w:rFonts w:hint="eastAsia" w:ascii="黑体" w:hAnsi="宋体" w:eastAsia="黑体" w:cs="黑体"/>
                <w:kern w:val="0"/>
                <w:sz w:val="20"/>
                <w:szCs w:val="20"/>
              </w:rPr>
              <w:t>0</w:t>
            </w:r>
          </w:p>
        </w:tc>
        <w:tc>
          <w:tcPr>
            <w:tcW w:w="62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pPr>
            <w:r>
              <w:rPr>
                <w:rFonts w:hint="eastAsia" w:ascii="黑体" w:hAnsi="宋体" w:eastAsia="黑体" w:cs="黑体"/>
                <w:kern w:val="0"/>
                <w:sz w:val="20"/>
                <w:szCs w:val="20"/>
              </w:rPr>
              <w:t>0</w:t>
            </w:r>
          </w:p>
        </w:tc>
        <w:tc>
          <w:tcPr>
            <w:tcW w:w="40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pPr>
            <w:r>
              <w:rPr>
                <w:rFonts w:hint="eastAsia" w:ascii="黑体" w:hAnsi="宋体" w:eastAsia="黑体" w:cs="黑体"/>
                <w:kern w:val="0"/>
                <w:sz w:val="20"/>
                <w:szCs w:val="20"/>
              </w:rPr>
              <w:t>0</w:t>
            </w:r>
          </w:p>
        </w:tc>
        <w:tc>
          <w:tcPr>
            <w:tcW w:w="64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pPr>
            <w:r>
              <w:rPr>
                <w:rFonts w:hint="eastAsia" w:ascii="黑体" w:hAnsi="宋体" w:eastAsia="黑体" w:cs="黑体"/>
                <w:kern w:val="0"/>
                <w:sz w:val="20"/>
                <w:szCs w:val="20"/>
              </w:rPr>
              <w:t>0</w:t>
            </w:r>
          </w:p>
        </w:tc>
        <w:tc>
          <w:tcPr>
            <w:tcW w:w="64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pPr>
            <w:r>
              <w:rPr>
                <w:rFonts w:hint="eastAsia" w:ascii="黑体" w:hAnsi="宋体" w:eastAsia="黑体" w:cs="黑体"/>
                <w:kern w:val="0"/>
                <w:sz w:val="20"/>
                <w:szCs w:val="20"/>
              </w:rPr>
              <w:t>0</w:t>
            </w:r>
          </w:p>
        </w:tc>
        <w:tc>
          <w:tcPr>
            <w:tcW w:w="66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pPr>
            <w:r>
              <w:rPr>
                <w:rFonts w:hint="eastAsia" w:ascii="黑体" w:hAnsi="宋体" w:eastAsia="黑体" w:cs="黑体"/>
                <w:kern w:val="0"/>
                <w:sz w:val="20"/>
                <w:szCs w:val="20"/>
              </w:rPr>
              <w:t>0</w:t>
            </w:r>
          </w:p>
        </w:tc>
        <w:tc>
          <w:tcPr>
            <w:tcW w:w="63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pPr>
            <w:r>
              <w:rPr>
                <w:rFonts w:hint="eastAsia" w:ascii="黑体" w:hAnsi="宋体" w:eastAsia="黑体" w:cs="黑体"/>
                <w:kern w:val="0"/>
                <w:sz w:val="20"/>
                <w:szCs w:val="20"/>
              </w:rPr>
              <w:t>0</w:t>
            </w:r>
          </w:p>
        </w:tc>
        <w:tc>
          <w:tcPr>
            <w:tcW w:w="39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ascii="宋体"/>
                <w:sz w:val="24"/>
                <w:szCs w:val="24"/>
              </w:rPr>
            </w:pPr>
            <w:r>
              <w:rPr>
                <w:rFonts w:hint="eastAsia" w:ascii="黑体" w:hAnsi="宋体" w:eastAsia="黑体" w:cs="黑体"/>
                <w:kern w:val="0"/>
                <w:sz w:val="20"/>
                <w:szCs w:val="20"/>
              </w:rPr>
              <w:t>0</w:t>
            </w:r>
          </w:p>
        </w:tc>
      </w:tr>
    </w:tbl>
    <w:p>
      <w:pPr>
        <w:keepNext w:val="0"/>
        <w:keepLines w:val="0"/>
        <w:pageBreakBefore w:val="0"/>
        <w:widowControl w:val="0"/>
        <w:kinsoku/>
        <w:wordWrap/>
        <w:overflowPunct/>
        <w:topLinePunct w:val="0"/>
        <w:autoSpaceDE/>
        <w:autoSpaceDN/>
        <w:bidi w:val="0"/>
        <w:adjustRightInd/>
        <w:snapToGrid/>
        <w:spacing w:line="560" w:lineRule="exact"/>
        <w:ind w:firstLine="964" w:firstLineChars="300"/>
        <w:textAlignment w:val="auto"/>
        <w:rPr>
          <w:rFonts w:hint="eastAsia" w:ascii="宋体" w:hAnsi="宋体" w:eastAsia="宋体" w:cs="宋体"/>
          <w:b/>
          <w:bCs/>
          <w:color w:val="auto"/>
          <w:sz w:val="32"/>
          <w:szCs w:val="32"/>
        </w:rPr>
      </w:pPr>
      <w:r>
        <w:rPr>
          <w:rFonts w:hint="eastAsia" w:ascii="宋体" w:hAnsi="宋体" w:eastAsia="宋体" w:cs="宋体"/>
          <w:b/>
          <w:bCs/>
          <w:color w:val="auto"/>
          <w:sz w:val="32"/>
          <w:szCs w:val="32"/>
        </w:rPr>
        <w:t>五、存在的主要问题及改进情况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（一）存在的主要问题</w:t>
      </w:r>
      <w:r>
        <w:rPr>
          <w:rFonts w:hint="eastAsia" w:ascii="楷体_GB2312" w:hAnsi="楷体_GB2312" w:eastAsia="楷体_GB2312" w:cs="楷体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一是</w:t>
      </w:r>
      <w:r>
        <w:rPr>
          <w:rFonts w:hint="eastAsia" w:ascii="仿宋_GB2312" w:hAnsi="仿宋_GB2312" w:eastAsia="仿宋_GB2312" w:cs="仿宋_GB2312"/>
          <w:color w:val="auto"/>
          <w:sz w:val="32"/>
          <w:szCs w:val="32"/>
        </w:rPr>
        <w:t>公开内容精准性不足</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部分农业政策文件解读不够通俗，与群众实</w:t>
      </w:r>
      <w:bookmarkStart w:id="0" w:name="_GoBack"/>
      <w:bookmarkEnd w:id="0"/>
      <w:r>
        <w:rPr>
          <w:rFonts w:hint="eastAsia" w:ascii="仿宋_GB2312" w:hAnsi="仿宋_GB2312" w:eastAsia="仿宋_GB2312" w:cs="仿宋_GB2312"/>
          <w:color w:val="auto"/>
          <w:sz w:val="32"/>
          <w:szCs w:val="32"/>
        </w:rPr>
        <w:t>际需求结合不够紧密，对专业术语、操作流程的说明不够具体。</w:t>
      </w:r>
      <w:r>
        <w:rPr>
          <w:rFonts w:hint="eastAsia" w:ascii="仿宋_GB2312" w:hAnsi="仿宋_GB2312" w:eastAsia="仿宋_GB2312" w:cs="仿宋_GB2312"/>
          <w:b/>
          <w:bCs/>
          <w:color w:val="auto"/>
          <w:sz w:val="32"/>
          <w:szCs w:val="32"/>
          <w:lang w:eastAsia="zh-CN"/>
        </w:rPr>
        <w:t>二是</w:t>
      </w:r>
      <w:r>
        <w:rPr>
          <w:rFonts w:hint="eastAsia" w:ascii="仿宋_GB2312" w:hAnsi="仿宋_GB2312" w:eastAsia="仿宋_GB2312" w:cs="仿宋_GB2312"/>
          <w:color w:val="auto"/>
          <w:sz w:val="32"/>
          <w:szCs w:val="32"/>
        </w:rPr>
        <w:t>政务新媒体平台信息更新频次较低，互动回应功能发挥不充分，线下公开阵地覆盖不足。</w:t>
      </w:r>
      <w:r>
        <w:rPr>
          <w:rFonts w:hint="eastAsia" w:ascii="仿宋_GB2312" w:hAnsi="仿宋_GB2312" w:eastAsia="仿宋_GB2312" w:cs="仿宋_GB2312"/>
          <w:b/>
          <w:bCs/>
          <w:color w:val="auto"/>
          <w:sz w:val="32"/>
          <w:szCs w:val="32"/>
          <w:lang w:eastAsia="zh-CN"/>
        </w:rPr>
        <w:t>三是</w:t>
      </w:r>
      <w:r>
        <w:rPr>
          <w:rFonts w:hint="eastAsia" w:ascii="仿宋_GB2312" w:hAnsi="仿宋_GB2312" w:eastAsia="仿宋_GB2312" w:cs="仿宋_GB2312"/>
          <w:color w:val="auto"/>
          <w:sz w:val="32"/>
          <w:szCs w:val="32"/>
        </w:rPr>
        <w:t>队伍专业能力有待提升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工作人员对《条例》理解不够深入，在复杂申请处理、公开边界界定等方面的专业素养需进一步加强。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val="0"/>
          <w:bCs w:val="0"/>
          <w:i w:val="0"/>
          <w:iCs w:val="0"/>
          <w:caps w:val="0"/>
          <w:color w:val="auto"/>
          <w:spacing w:val="0"/>
          <w:kern w:val="0"/>
          <w:sz w:val="32"/>
          <w:szCs w:val="32"/>
          <w:shd w:val="clear" w:color="080000" w:fill="FFFFFF"/>
          <w:lang w:val="en-US" w:eastAsia="zh-CN" w:bidi="ar-SA"/>
        </w:rPr>
      </w:pPr>
      <w:r>
        <w:rPr>
          <w:rFonts w:hint="eastAsia" w:ascii="楷体_GB2312" w:hAnsi="楷体_GB2312" w:eastAsia="楷体_GB2312" w:cs="楷体_GB2312"/>
          <w:b/>
          <w:bCs/>
          <w:color w:val="auto"/>
          <w:sz w:val="32"/>
          <w:szCs w:val="32"/>
        </w:rPr>
        <w:t>（二）改进措施</w:t>
      </w:r>
      <w:r>
        <w:rPr>
          <w:rFonts w:hint="eastAsia" w:ascii="楷体_GB2312" w:hAnsi="楷体_GB2312" w:eastAsia="楷体_GB2312" w:cs="楷体_GB2312"/>
          <w:b/>
          <w:bCs/>
          <w:color w:val="auto"/>
          <w:sz w:val="32"/>
          <w:szCs w:val="32"/>
          <w:lang w:eastAsia="zh-CN"/>
        </w:rPr>
        <w:t>。</w:t>
      </w:r>
      <w:r>
        <w:rPr>
          <w:rFonts w:hint="eastAsia" w:ascii="仿宋_GB2312" w:hAnsi="仿宋_GB2312" w:eastAsia="仿宋_GB2312" w:cs="仿宋_GB2312"/>
          <w:b/>
          <w:bCs/>
          <w:color w:val="auto"/>
          <w:sz w:val="32"/>
          <w:szCs w:val="32"/>
          <w:lang w:eastAsia="zh-CN"/>
        </w:rPr>
        <w:t>一是</w:t>
      </w:r>
      <w:r>
        <w:rPr>
          <w:rFonts w:hint="eastAsia" w:ascii="仿宋_GB2312" w:hAnsi="仿宋_GB2312" w:eastAsia="仿宋_GB2312" w:cs="仿宋_GB2312"/>
          <w:color w:val="auto"/>
          <w:sz w:val="32"/>
          <w:szCs w:val="32"/>
        </w:rPr>
        <w:t>优化公开内容供给</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聚焦群众关切，编制农业政策“明白卡”“操作指南”，采用图文解读、案例分析等通俗形式，提升信息可读性与实用性；建立公开内容动态调整机制，重点增加乡村振兴项目资金、惠农补贴发放等群众关注度高的信息公开力度。</w:t>
      </w:r>
      <w:r>
        <w:rPr>
          <w:rFonts w:hint="eastAsia" w:ascii="仿宋_GB2312" w:hAnsi="仿宋_GB2312" w:eastAsia="仿宋_GB2312" w:cs="仿宋_GB2312"/>
          <w:b/>
          <w:bCs/>
          <w:color w:val="auto"/>
          <w:sz w:val="32"/>
          <w:szCs w:val="32"/>
          <w:lang w:eastAsia="zh-CN"/>
        </w:rPr>
        <w:t>二是</w:t>
      </w:r>
      <w:r>
        <w:rPr>
          <w:rFonts w:hint="eastAsia" w:ascii="仿宋_GB2312" w:hAnsi="仿宋_GB2312" w:eastAsia="仿宋_GB2312" w:cs="仿宋_GB2312"/>
          <w:color w:val="auto"/>
          <w:sz w:val="32"/>
          <w:szCs w:val="32"/>
        </w:rPr>
        <w:t>完善公开平台建设</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整合线上公开渠道，提升政务新媒体信息更新频次，开通政策咨询互动专栏；在乡镇便民服务中心、村党群服务中心设立农业信息公开查阅点，打通线下公开“最后一公里”。</w:t>
      </w:r>
      <w:r>
        <w:rPr>
          <w:rFonts w:hint="eastAsia" w:ascii="仿宋_GB2312" w:hAnsi="仿宋_GB2312" w:eastAsia="仿宋_GB2312" w:cs="仿宋_GB2312"/>
          <w:b/>
          <w:bCs/>
          <w:color w:val="auto"/>
          <w:sz w:val="32"/>
          <w:szCs w:val="32"/>
          <w:lang w:eastAsia="zh-CN"/>
        </w:rPr>
        <w:t>三是</w:t>
      </w:r>
      <w:r>
        <w:rPr>
          <w:rFonts w:hint="eastAsia" w:ascii="仿宋_GB2312" w:hAnsi="仿宋_GB2312" w:eastAsia="仿宋_GB2312" w:cs="仿宋_GB2312"/>
          <w:color w:val="auto"/>
          <w:sz w:val="32"/>
          <w:szCs w:val="32"/>
        </w:rPr>
        <w:t>强化队伍能力建设</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组织开展《条例》及政务公开业务培训不少于2次，邀请专家开展专题辅导，通过案例研讨、经验交流等方式，提升工作人员审核把关、答复办理、舆情应对的专业能力。</w:t>
      </w:r>
    </w:p>
    <w:p>
      <w:pPr>
        <w:keepNext w:val="0"/>
        <w:keepLines w:val="0"/>
        <w:pageBreakBefore w:val="0"/>
        <w:widowControl w:val="0"/>
        <w:kinsoku/>
        <w:wordWrap/>
        <w:overflowPunct/>
        <w:topLinePunct w:val="0"/>
        <w:autoSpaceDE/>
        <w:autoSpaceDN/>
        <w:bidi w:val="0"/>
        <w:adjustRightInd/>
        <w:snapToGrid/>
        <w:spacing w:line="560" w:lineRule="exact"/>
        <w:ind w:firstLine="639" w:firstLineChars="199"/>
        <w:textAlignment w:val="auto"/>
        <w:rPr>
          <w:rFonts w:hint="eastAsia" w:ascii="宋体" w:hAnsi="宋体" w:eastAsia="宋体" w:cs="宋体"/>
          <w:b/>
          <w:bCs/>
          <w:color w:val="auto"/>
          <w:sz w:val="32"/>
          <w:szCs w:val="32"/>
        </w:rPr>
      </w:pPr>
      <w:r>
        <w:rPr>
          <w:rFonts w:hint="eastAsia" w:ascii="宋体" w:hAnsi="宋体" w:eastAsia="宋体" w:cs="宋体"/>
          <w:b/>
          <w:bCs/>
          <w:color w:val="auto"/>
          <w:sz w:val="32"/>
          <w:szCs w:val="32"/>
        </w:rPr>
        <w:t>六、其他需要报告的事项</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left"/>
        <w:textAlignment w:val="auto"/>
        <w:outlineLvl w:val="9"/>
        <w:rPr>
          <w:rFonts w:hint="eastAsia" w:ascii="仿宋" w:hAnsi="仿宋" w:eastAsia="仿宋" w:cs="仿宋"/>
          <w:color w:val="auto"/>
          <w:sz w:val="32"/>
          <w:szCs w:val="32"/>
          <w:lang w:val="en-US" w:eastAsia="zh-CN"/>
        </w:rPr>
      </w:pPr>
      <w:r>
        <w:rPr>
          <w:rFonts w:hint="eastAsia" w:ascii="仿宋_GB2312" w:hAnsi="仿宋_GB2312" w:eastAsia="仿宋_GB2312" w:cs="仿宋"/>
          <w:color w:val="auto"/>
          <w:sz w:val="32"/>
          <w:szCs w:val="32"/>
          <w:lang w:eastAsia="zh-CN"/>
        </w:rPr>
        <w:t>本机关严格按照《国务院办公厅关于印发</w:t>
      </w:r>
      <w:r>
        <w:rPr>
          <w:rFonts w:hint="eastAsia" w:ascii="仿宋_GB2312" w:hAnsi="仿宋_GB2312" w:eastAsia="仿宋_GB2312" w:cs="仿宋"/>
          <w:color w:val="auto"/>
          <w:sz w:val="32"/>
          <w:szCs w:val="32"/>
          <w:lang w:val="en-US" w:eastAsia="zh-CN"/>
        </w:rPr>
        <w:t>&lt;政府信息处理费管理办法&gt;的通知</w:t>
      </w:r>
      <w:r>
        <w:rPr>
          <w:rFonts w:hint="eastAsia" w:ascii="仿宋_GB2312" w:hAnsi="仿宋_GB2312" w:eastAsia="仿宋_GB2312" w:cs="仿宋"/>
          <w:color w:val="auto"/>
          <w:sz w:val="32"/>
          <w:szCs w:val="32"/>
          <w:lang w:eastAsia="zh-CN"/>
        </w:rPr>
        <w:t>》（国办函</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
          <w:color w:val="auto"/>
          <w:sz w:val="32"/>
          <w:szCs w:val="32"/>
          <w:lang w:val="en-US" w:eastAsia="zh-CN"/>
        </w:rPr>
        <w:t>2020</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
          <w:color w:val="auto"/>
          <w:sz w:val="32"/>
          <w:szCs w:val="32"/>
          <w:lang w:val="en-US" w:eastAsia="zh-CN"/>
        </w:rPr>
        <w:t>109号</w:t>
      </w:r>
      <w:r>
        <w:rPr>
          <w:rFonts w:hint="eastAsia" w:ascii="仿宋_GB2312" w:hAnsi="仿宋_GB2312" w:eastAsia="仿宋_GB2312" w:cs="仿宋"/>
          <w:color w:val="auto"/>
          <w:sz w:val="32"/>
          <w:szCs w:val="32"/>
          <w:lang w:eastAsia="zh-CN"/>
        </w:rPr>
        <w:t>）规定的按件、按量收费标准，本年度没有产生信息公开处理费，同时也未收取信息处理相关费用，无其他需要报告的事项。</w:t>
      </w:r>
    </w:p>
    <w:p>
      <w:pPr>
        <w:keepNext w:val="0"/>
        <w:keepLines w:val="0"/>
        <w:pageBreakBefore w:val="0"/>
        <w:kinsoku/>
        <w:overflowPunct/>
        <w:topLinePunct w:val="0"/>
        <w:autoSpaceDE/>
        <w:autoSpaceDN/>
        <w:bidi w:val="0"/>
        <w:adjustRightInd/>
        <w:snapToGrid/>
        <w:spacing w:line="560" w:lineRule="exact"/>
        <w:ind w:left="0" w:leftChars="0" w:firstLine="4198" w:firstLineChars="1312"/>
        <w:jc w:val="center"/>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和田地区农业农村局</w:t>
      </w:r>
    </w:p>
    <w:p>
      <w:pPr>
        <w:keepNext w:val="0"/>
        <w:keepLines w:val="0"/>
        <w:pageBreakBefore w:val="0"/>
        <w:kinsoku/>
        <w:overflowPunct/>
        <w:topLinePunct w:val="0"/>
        <w:autoSpaceDE/>
        <w:autoSpaceDN/>
        <w:bidi w:val="0"/>
        <w:adjustRightInd/>
        <w:snapToGrid/>
        <w:spacing w:line="560" w:lineRule="exact"/>
        <w:ind w:left="0" w:leftChars="0" w:firstLine="4198" w:firstLineChars="1312"/>
        <w:jc w:val="center"/>
        <w:textAlignment w:val="auto"/>
      </w:pPr>
      <w:r>
        <w:rPr>
          <w:rFonts w:hint="eastAsia" w:ascii="仿宋" w:hAnsi="仿宋" w:eastAsia="仿宋" w:cs="仿宋"/>
          <w:color w:val="auto"/>
          <w:sz w:val="32"/>
          <w:szCs w:val="32"/>
          <w:lang w:val="en-US" w:eastAsia="zh-CN"/>
        </w:rPr>
        <w:t>2026年1月14日</w:t>
      </w:r>
    </w:p>
    <w:sectPr>
      <w:footerReference r:id="rId3" w:type="default"/>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UKK TZK2">
    <w:altName w:val="Arial Unicode MS"/>
    <w:panose1 w:val="00000000000000000000"/>
    <w:charset w:val="80"/>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简体">
    <w:altName w:val="Arial Unicode MS"/>
    <w:panose1 w:val="02010601030101010101"/>
    <w:charset w:val="86"/>
    <w:family w:val="auto"/>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Microsoft Uighur">
    <w:panose1 w:val="02000000000000000000"/>
    <w:charset w:val="00"/>
    <w:family w:val="auto"/>
    <w:pitch w:val="default"/>
    <w:sig w:usb0="00002003" w:usb1="80000000" w:usb2="00000008" w:usb3="00000000" w:csb0="0000004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43002232"/>
      <w:docPartObj>
        <w:docPartGallery w:val="autotext"/>
      </w:docPartObj>
    </w:sdtPr>
    <w:sdtContent>
      <w:p>
        <w:pPr>
          <w:pStyle w:val="7"/>
          <w:jc w:val="center"/>
        </w:pPr>
        <w:r>
          <w:fldChar w:fldCharType="begin"/>
        </w:r>
        <w:r>
          <w:instrText xml:space="preserve">PAGE   \* MERGEFORMAT</w:instrText>
        </w:r>
        <w:r>
          <w:fldChar w:fldCharType="separate"/>
        </w:r>
        <w:r>
          <w:rPr>
            <w:lang w:val="zh-CN"/>
          </w:rPr>
          <w:t>12</w:t>
        </w:r>
        <w:r>
          <w:fldChar w:fldCharType="end"/>
        </w:r>
      </w:p>
    </w:sdtContent>
  </w:sdt>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yYzNhMWZmN2U3OWI0NzI5NmQ3ZDMxNDE3NWY2YWYifQ=="/>
  </w:docVars>
  <w:rsids>
    <w:rsidRoot w:val="00000000"/>
    <w:rsid w:val="03137F64"/>
    <w:rsid w:val="0B681CC4"/>
    <w:rsid w:val="103D25B1"/>
    <w:rsid w:val="1A6401D1"/>
    <w:rsid w:val="21683664"/>
    <w:rsid w:val="21A47B60"/>
    <w:rsid w:val="274A3B83"/>
    <w:rsid w:val="28456A3F"/>
    <w:rsid w:val="2E354A5B"/>
    <w:rsid w:val="301C26FD"/>
    <w:rsid w:val="3642254D"/>
    <w:rsid w:val="3719083D"/>
    <w:rsid w:val="388C2F28"/>
    <w:rsid w:val="3A382F7B"/>
    <w:rsid w:val="3FBFE7A4"/>
    <w:rsid w:val="41A55BC2"/>
    <w:rsid w:val="44CD16C8"/>
    <w:rsid w:val="4BADC731"/>
    <w:rsid w:val="4EE419FD"/>
    <w:rsid w:val="4F4575A0"/>
    <w:rsid w:val="4F8C1754"/>
    <w:rsid w:val="4FA94C3E"/>
    <w:rsid w:val="528E1221"/>
    <w:rsid w:val="58053178"/>
    <w:rsid w:val="5D360E23"/>
    <w:rsid w:val="61103D5D"/>
    <w:rsid w:val="63FA34D3"/>
    <w:rsid w:val="64A07E66"/>
    <w:rsid w:val="6C2F505D"/>
    <w:rsid w:val="6D221DCA"/>
    <w:rsid w:val="7B0E411F"/>
    <w:rsid w:val="7B642B54"/>
    <w:rsid w:val="7F7F9F9E"/>
    <w:rsid w:val="7FC44AF6"/>
    <w:rsid w:val="BDF385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qFormat/>
    <w:uiPriority w:val="0"/>
    <w:pPr>
      <w:keepNext/>
      <w:keepLines/>
      <w:spacing w:line="416" w:lineRule="auto"/>
      <w:outlineLvl w:val="2"/>
    </w:pPr>
    <w:rPr>
      <w:b/>
      <w:bCs/>
      <w:sz w:val="32"/>
      <w:szCs w:val="32"/>
    </w:rPr>
  </w:style>
  <w:style w:type="character" w:default="1" w:styleId="10">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customStyle="1" w:styleId="2">
    <w:name w:val="样式1"/>
    <w:basedOn w:val="1"/>
    <w:qFormat/>
    <w:uiPriority w:val="0"/>
  </w:style>
  <w:style w:type="paragraph" w:styleId="5">
    <w:name w:val="Normal Indent"/>
    <w:basedOn w:val="1"/>
    <w:qFormat/>
    <w:uiPriority w:val="0"/>
    <w:pPr>
      <w:ind w:firstLine="420" w:firstLineChars="200"/>
    </w:pPr>
    <w:rPr>
      <w:rFonts w:eastAsia="仿宋"/>
      <w:sz w:val="32"/>
    </w:rPr>
  </w:style>
  <w:style w:type="paragraph" w:styleId="6">
    <w:name w:val="Body Text Indent"/>
    <w:basedOn w:val="1"/>
    <w:next w:val="5"/>
    <w:qFormat/>
    <w:uiPriority w:val="0"/>
    <w:pPr>
      <w:spacing w:line="574" w:lineRule="exact"/>
      <w:ind w:left="400" w:hanging="400" w:hangingChars="400"/>
    </w:pPr>
    <w:rPr>
      <w:rFonts w:ascii="UKK TZK2" w:hAnsi="UKK TZK2" w:eastAsia="仿宋_GB2312"/>
    </w:rPr>
  </w:style>
  <w:style w:type="paragraph" w:styleId="7">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Body Text First Indent 2"/>
    <w:basedOn w:val="6"/>
    <w:next w:val="6"/>
    <w:unhideWhenUsed/>
    <w:qFormat/>
    <w:uiPriority w:val="0"/>
    <w:pPr>
      <w:ind w:firstLine="420" w:firstLineChars="200"/>
    </w:pPr>
    <w:rPr>
      <w:rFonts w:hint="eastAsia"/>
      <w:sz w:val="32"/>
    </w:rPr>
  </w:style>
  <w:style w:type="paragraph" w:styleId="9">
    <w:name w:val="Normal (Web)"/>
    <w:basedOn w:val="1"/>
    <w:qFormat/>
    <w:uiPriority w:val="0"/>
    <w:pPr>
      <w:spacing w:before="100" w:beforeAutospacing="1" w:after="100" w:afterAutospacing="1"/>
      <w:jc w:val="left"/>
    </w:pPr>
    <w:rPr>
      <w:kern w:val="0"/>
      <w:sz w:val="24"/>
    </w:rPr>
  </w:style>
  <w:style w:type="character" w:styleId="11">
    <w:name w:val="Hyperlink"/>
    <w:basedOn w:val="10"/>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14</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2024-01-09T23:43:00Z</dcterms:created>
  <dc:creator>Administrator</dc:creator>
  <cp:lastModifiedBy>Administrator</cp:lastModifiedBy>
  <cp:lastPrinted>2026-01-17T01:27:00Z</cp:lastPrinted>
  <dcterms:modified xsi:type="dcterms:W3CDTF">2026-01-30T09:40:15Z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y fmtid="{D5CDD505-2E9C-101B-9397-08002B2CF9AE}" pid="3" name="ICV">
    <vt:lpwstr>39D5A6D1C66843F585A6D795C73883EE_13</vt:lpwstr>
  </property>
</Properties>
</file>