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和田地区信访局202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年政府信息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2025年，和田地区信访局坚持以习近平新时代中国特色社会主义思想为指导，深入学习贯彻党的二十大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二十届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历次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全会精神，全面落实习近平总书记关于加强和改进人民信访工作的重要思想，认真贯彻执行《中华人民共和国政府信息公开条例》，将政府信息公开与信访工作法治化建设深度融合，以公开规范、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公开优服务、以公开强监督，全面提升信息公开工作质效。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28"/>
          <w:lang w:val="en-US" w:eastAsia="zh-CN"/>
        </w:rPr>
        <w:t>（一）主动公开扎实推进。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聚焦信访工作核心职能，依法主动公开了机构设置情况及其职能、《信访工作条例》、信访接待中心地址、信访热线电话号码等信息，为群众及时获取主动公开信息、了解政策法规、及时就地反映问题提供便利，自觉主动接受群众监督，依法保障人民群众的知情权、参与权、监督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方正楷体简体" w:hAnsi="方正楷体简体" w:eastAsia="方正楷体简体" w:cs="方正楷体简体"/>
          <w:sz w:val="32"/>
          <w:szCs w:val="28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28"/>
        </w:rPr>
        <w:t>依申请公开工作规范高效。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建立“起草-审核-发布-归档”闭环管理机制，所有公开信息均需经业务科室初审、办公室复审、分管领导审批后发布，确保信息发布的权威性、及时性、准确性、严肃性和安全性。制定《地区信访局政府信息依申请公开工作规程》，明确申请接收、登记、审核、办理、答复、归档等各环节工作要求和时限标准。设立专门的依申请公开受理窗口和线上申请渠道，安排专人负责接收群众申请，确保“件件有登记、事事有回音”。2025年，地区信访局未收到公民、法人提出的政府信息公开申请，未出现因政府信息公开引起的行政复议、行政诉讼等情况。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楷体简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方正楷体简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信息管理不断强化。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完善政府信息公开保密审查机制，严格落实“三审三校”“先审后发”制度，对拟公开信息严把政治关、法律关、政策关、保密关。动态调整公开内容，确保公开信息准确无误、及时有效。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组织开展年度保密审查专项行动，对已公开信息和待公开信息进行全面排查，未发现涉密信息公</w:t>
      </w:r>
      <w:r>
        <w:rPr>
          <w:rFonts w:hint="eastAsia" w:ascii="仿宋_GB2312" w:hAnsi="仿宋_GB2312" w:eastAsia="仿宋_GB2312" w:cs="仿宋_GB2312"/>
          <w:sz w:val="32"/>
          <w:szCs w:val="28"/>
        </w:rPr>
        <w:t>开情况。定期组织干部职工参加保密知识培训，提升保密意识和业务能力。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28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28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sz w:val="32"/>
          <w:szCs w:val="28"/>
        </w:rPr>
        <w:t>公开平台建设提质增效。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28"/>
        </w:rPr>
        <w:t>官方网站，设置政府信息公开专栏，下设主动公开目录、依申请公开指南、政策解读等信息，增强信息传播的时效性和覆盖面。优化页面布局和检索功能，方便群众快速查找所需信息。积极参与“政务公开日”“信访法治宣传月”等活动，通过现场咨询、展板展示等形式，面对面为群众解答政府信息公开相关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方正楷体简体" w:hAnsi="方正楷体简体" w:eastAsia="方正楷体简体" w:cs="方正楷体简体"/>
          <w:sz w:val="32"/>
          <w:szCs w:val="28"/>
        </w:rPr>
        <w:t>监督保障体系健全完善。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选配政治素质高、业务能力强的干部负责政府信息公开工作，定期组织参加上级部门举办的业务培训和交流研讨活动，提升工作人员的政策水平和实操能力。畅通监督投诉渠道，在官方网站和信访接待大厅公布监督电话和邮箱，主动接受群众对政府信息公开工作的监督和建议。本年度共收到群众关于政府信息公开工作的建议0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536"/>
        <w:gridCol w:w="16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本年制发件数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本年度处理决定数量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15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63"/>
        <w:gridCol w:w="3167"/>
        <w:gridCol w:w="450"/>
        <w:gridCol w:w="690"/>
        <w:gridCol w:w="645"/>
        <w:gridCol w:w="780"/>
        <w:gridCol w:w="780"/>
        <w:gridCol w:w="457"/>
        <w:gridCol w:w="6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4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1"/>
          <w:szCs w:val="21"/>
        </w:rPr>
      </w:pP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主动公开内容有待于挖掘和扩展，政策解读工作有待进一步加强和深化。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下一步，地区信访局深入学习贯彻落实党的二十大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二十届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全会精神，按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照《中华人民共和国政府信息公开条例》的要求，加强信访工作政策解读和宣传，切实保障群众知情权，为群众提供更加优质、高效的服务。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2025年，本机关按照《国务院办公厅关于印发&lt;政府信息公开信息处理费管理办法&gt;的通知》（国办函〔2020〕109号）规定的按件、按量收费标准，本年度没有产生信息公开处理费。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5203"/>
        </w:tabs>
        <w:bidi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 xml:space="preserve">              和田地区信访局</w:t>
      </w:r>
    </w:p>
    <w:p>
      <w:pPr>
        <w:tabs>
          <w:tab w:val="left" w:pos="5203"/>
        </w:tabs>
        <w:bidi w:val="0"/>
        <w:jc w:val="center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 xml:space="preserve">             2026年1月5日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KK TZK2">
    <w:altName w:val="Arial Unicode MS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5124450</wp:posOffset>
              </wp:positionH>
              <wp:positionV relativeFrom="paragraph">
                <wp:posOffset>-71755</wp:posOffset>
              </wp:positionV>
              <wp:extent cx="492125" cy="2178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2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5pt;margin-top:-5.65pt;height:17.15pt;width:38.75pt;mso-position-horizontal-relative:margin;z-index:251659264;mso-width-relative:page;mso-height-relative:page;" filled="f" stroked="f" coordsize="21600,21600" o:gfxdata="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Zy&#10;eq7ZAAAACgEAAA8AAAAAAAAAAQAgAAAAIgAAAGRycy9kb3ducmV2LnhtbFBLAQIUABQAAAAIAIdO&#10;4kBy2nljIgIAACEEAAAOAAAAAAAAAAEAIAAAACg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5C5D"/>
    <w:rsid w:val="13015CB4"/>
    <w:rsid w:val="18601D94"/>
    <w:rsid w:val="37FF9C4E"/>
    <w:rsid w:val="47247E93"/>
    <w:rsid w:val="52F7537D"/>
    <w:rsid w:val="57BFE295"/>
    <w:rsid w:val="62F7149C"/>
    <w:rsid w:val="644A5620"/>
    <w:rsid w:val="67EDEABF"/>
    <w:rsid w:val="6CBF0A43"/>
    <w:rsid w:val="6CE52DB4"/>
    <w:rsid w:val="6EFF0C55"/>
    <w:rsid w:val="6FFD1794"/>
    <w:rsid w:val="7A8A7309"/>
    <w:rsid w:val="7DBB4728"/>
    <w:rsid w:val="B4DFF92D"/>
    <w:rsid w:val="BFB51862"/>
    <w:rsid w:val="D8D3ADF4"/>
    <w:rsid w:val="DE670D9D"/>
    <w:rsid w:val="DEFC40A7"/>
    <w:rsid w:val="E5ED4503"/>
    <w:rsid w:val="F7D394AF"/>
    <w:rsid w:val="F7F47CC8"/>
    <w:rsid w:val="F7FF25F2"/>
    <w:rsid w:val="FB7D6186"/>
    <w:rsid w:val="FE3DD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74" w:lineRule="exact"/>
      <w:ind w:left="400" w:hanging="400" w:hangingChars="400"/>
    </w:pPr>
    <w:rPr>
      <w:rFonts w:ascii="UKK TZK2" w:hAnsi="UKK TZK2"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2026-01-08T03:40:00Z</cp:lastPrinted>
  <dcterms:modified xsi:type="dcterms:W3CDTF">2026-01-30T11:26:19Z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45B766B59E576AD22CAF5B69F0B57218_42</vt:lpwstr>
  </property>
</Properties>
</file>