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43" w:line="680" w:lineRule="exact"/>
        <w:jc w:val="both"/>
        <w:textAlignment w:val="baseline"/>
        <w:rPr>
          <w:rFonts w:hint="eastAsia" w:ascii="方正小标宋_GBK" w:hAnsi="方正小标宋_GBK" w:eastAsia="方正小标宋_GBK" w:cs="方正小标宋_GBK"/>
          <w:b w:val="0"/>
          <w:bCs w:val="0"/>
          <w:spacing w:val="-10"/>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before="143" w:line="680" w:lineRule="exact"/>
        <w:jc w:val="center"/>
        <w:textAlignment w:val="baseline"/>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lang w:eastAsia="zh-CN"/>
        </w:rPr>
        <w:t>和田地区</w:t>
      </w:r>
      <w:r>
        <w:rPr>
          <w:rFonts w:hint="eastAsia" w:ascii="方正小标宋_GBK" w:hAnsi="方正小标宋_GBK" w:eastAsia="方正小标宋_GBK" w:cs="方正小标宋_GBK"/>
          <w:b w:val="0"/>
          <w:bCs w:val="0"/>
          <w:spacing w:val="-10"/>
          <w:sz w:val="44"/>
          <w:szCs w:val="44"/>
          <w:lang w:val="en-US" w:eastAsia="zh-CN"/>
        </w:rPr>
        <w:t>住建局2025年</w:t>
      </w:r>
      <w:r>
        <w:rPr>
          <w:rFonts w:hint="eastAsia" w:ascii="方正小标宋_GBK" w:hAnsi="方正小标宋_GBK" w:eastAsia="方正小标宋_GBK" w:cs="方正小标宋_GBK"/>
          <w:b w:val="0"/>
          <w:bCs w:val="0"/>
          <w:spacing w:val="-10"/>
          <w:sz w:val="44"/>
          <w:szCs w:val="44"/>
        </w:rPr>
        <w:t>政府信息公开</w:t>
      </w:r>
    </w:p>
    <w:p>
      <w:pPr>
        <w:keepNext w:val="0"/>
        <w:keepLines w:val="0"/>
        <w:pageBreakBefore w:val="0"/>
        <w:widowControl/>
        <w:kinsoku w:val="0"/>
        <w:wordWrap/>
        <w:overflowPunct/>
        <w:topLinePunct w:val="0"/>
        <w:autoSpaceDE w:val="0"/>
        <w:autoSpaceDN w:val="0"/>
        <w:bidi w:val="0"/>
        <w:adjustRightInd w:val="0"/>
        <w:snapToGrid w:val="0"/>
        <w:spacing w:before="143" w:line="680" w:lineRule="exact"/>
        <w:jc w:val="center"/>
        <w:textAlignment w:val="baseline"/>
        <w:rPr>
          <w:rFonts w:hint="eastAsia" w:ascii="方正小标宋_GBK" w:hAnsi="方正小标宋_GBK" w:eastAsia="方正小标宋_GBK" w:cs="方正小标宋_GBK"/>
          <w:b w:val="0"/>
          <w:bCs w:val="0"/>
          <w:spacing w:val="-10"/>
          <w:sz w:val="44"/>
          <w:szCs w:val="44"/>
        </w:rPr>
      </w:pPr>
      <w:r>
        <w:rPr>
          <w:rFonts w:hint="eastAsia" w:ascii="方正小标宋_GBK" w:hAnsi="方正小标宋_GBK" w:eastAsia="方正小标宋_GBK" w:cs="方正小标宋_GBK"/>
          <w:b w:val="0"/>
          <w:bCs w:val="0"/>
          <w:spacing w:val="-10"/>
          <w:sz w:val="44"/>
          <w:szCs w:val="44"/>
        </w:rPr>
        <w:t>工作年度报告</w:t>
      </w:r>
    </w:p>
    <w:p>
      <w:pPr>
        <w:keepNext w:val="0"/>
        <w:keepLines w:val="0"/>
        <w:pageBreakBefore w:val="0"/>
        <w:widowControl/>
        <w:kinsoku w:val="0"/>
        <w:wordWrap/>
        <w:overflowPunct/>
        <w:topLinePunct w:val="0"/>
        <w:autoSpaceDE w:val="0"/>
        <w:autoSpaceDN w:val="0"/>
        <w:bidi w:val="0"/>
        <w:adjustRightInd w:val="0"/>
        <w:snapToGrid w:val="0"/>
        <w:spacing w:before="143" w:line="680" w:lineRule="exact"/>
        <w:jc w:val="center"/>
        <w:textAlignment w:val="baseline"/>
        <w:rPr>
          <w:rFonts w:hint="eastAsia" w:ascii="方正小标宋_GBK" w:hAnsi="方正小标宋_GBK" w:eastAsia="方正小标宋_GBK" w:cs="方正小标宋_GBK"/>
          <w:b w:val="0"/>
          <w:bCs w:val="0"/>
          <w:spacing w:val="-10"/>
          <w:sz w:val="44"/>
          <w:szCs w:val="44"/>
          <w:lang w:eastAsia="zh-CN"/>
        </w:rPr>
      </w:pPr>
    </w:p>
    <w:p>
      <w:pPr>
        <w:keepNext w:val="0"/>
        <w:keepLines w:val="0"/>
        <w:pageBreakBefore w:val="0"/>
        <w:wordWrap/>
        <w:overflowPunct/>
        <w:topLinePunct w:val="0"/>
        <w:bidi w:val="0"/>
        <w:adjustRightInd w:val="0"/>
        <w:snapToGrid w:val="0"/>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2025年，地区住建局在地委、行署的领导下，以习近平新时代中国特色社会主义思想为指导，全面贯彻党的二十大和二十届历届全会精神，认真落实党中央、国务院关于政务公开工作的决策部署，严格执行《中华人民共和国政府信息公开条例》，扎实开展政府信息公开工作，确保信息公开依法、及时、准确、有序推进。</w:t>
      </w:r>
    </w:p>
    <w:p>
      <w:pPr>
        <w:keepNext w:val="0"/>
        <w:keepLines w:val="0"/>
        <w:pageBreakBefore w:val="0"/>
        <w:wordWrap/>
        <w:overflowPunct/>
        <w:topLinePunct w:val="0"/>
        <w:bidi w:val="0"/>
        <w:adjustRightInd w:val="0"/>
        <w:snapToGrid w:val="0"/>
        <w:spacing w:before="100" w:line="560" w:lineRule="exact"/>
        <w:ind w:left="739"/>
        <w:outlineLvl w:val="1"/>
        <w:rPr>
          <w:rFonts w:ascii="黑体" w:hAnsi="黑体" w:eastAsia="黑体" w:cs="黑体"/>
          <w:b w:val="0"/>
          <w:bCs w:val="0"/>
          <w:sz w:val="31"/>
          <w:szCs w:val="31"/>
        </w:rPr>
      </w:pPr>
      <w:r>
        <w:rPr>
          <w:rFonts w:ascii="黑体" w:hAnsi="黑体" w:eastAsia="黑体" w:cs="黑体"/>
          <w:b w:val="0"/>
          <w:bCs w:val="0"/>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仿宋_GB2312"/>
          <w:b w:val="0"/>
          <w:bCs w:val="0"/>
          <w:sz w:val="32"/>
          <w:szCs w:val="32"/>
          <w:lang w:val="en-US" w:eastAsia="zh-CN"/>
        </w:rPr>
        <w:t>（一）主动公开情况。</w:t>
      </w:r>
      <w:r>
        <w:rPr>
          <w:rFonts w:hint="eastAsia" w:ascii="仿宋_GB2312" w:hAnsi="仿宋_GB2312" w:eastAsia="仿宋_GB2312" w:cs="仿宋_GB2312"/>
          <w:b w:val="0"/>
          <w:bCs w:val="0"/>
          <w:color w:val="auto"/>
          <w:sz w:val="32"/>
          <w:szCs w:val="32"/>
          <w:lang w:val="en-US" w:eastAsia="zh-CN"/>
        </w:rPr>
        <w:t>地区住建局通过和田地区行政公署门户网站政务公开专栏主动公开政务信息，严格落实主动公开政府信息长效机制，扎实做好政府信息公开工作。2025年，我局通过和田地区行政公署门户网站主动公开政府信息3条，其中:政策法规类信息1条，其他各类信息2条；通过信用和田、信用中国等平台主动公开</w:t>
      </w:r>
      <w:bookmarkStart w:id="0" w:name="_GoBack"/>
      <w:bookmarkEnd w:id="0"/>
      <w:r>
        <w:rPr>
          <w:rFonts w:hint="eastAsia" w:ascii="仿宋_GB2312" w:hAnsi="仿宋_GB2312" w:eastAsia="仿宋_GB2312" w:cs="仿宋_GB2312"/>
          <w:b w:val="0"/>
          <w:bCs w:val="0"/>
          <w:color w:val="auto"/>
          <w:sz w:val="32"/>
          <w:szCs w:val="32"/>
          <w:lang w:val="en-US" w:eastAsia="zh-CN"/>
        </w:rPr>
        <w:t>行政许可类信息272条，行政处罚类信息2条；通过单位微信公众号主动公开各类信息26条。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仿宋_GB2312"/>
          <w:b w:val="0"/>
          <w:bCs w:val="0"/>
          <w:sz w:val="32"/>
          <w:szCs w:val="32"/>
          <w:lang w:val="en-US" w:eastAsia="zh-CN"/>
        </w:rPr>
        <w:t>（二）依申请公开情况。</w:t>
      </w:r>
      <w:r>
        <w:rPr>
          <w:rFonts w:hint="eastAsia" w:ascii="仿宋_GB2312" w:hAnsi="仿宋_GB2312" w:eastAsia="仿宋_GB2312" w:cs="仿宋_GB2312"/>
          <w:b w:val="0"/>
          <w:bCs w:val="0"/>
          <w:color w:val="auto"/>
          <w:sz w:val="32"/>
          <w:szCs w:val="32"/>
          <w:lang w:val="en-US" w:eastAsia="zh-CN"/>
        </w:rPr>
        <w:t>2025年我局未收到政府信息公开申请</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仿宋_GB2312"/>
          <w:b w:val="0"/>
          <w:bCs w:val="0"/>
          <w:sz w:val="32"/>
          <w:szCs w:val="32"/>
          <w:lang w:val="en-US" w:eastAsia="zh-CN"/>
        </w:rPr>
        <w:t>（三）政府信息管理情况。</w:t>
      </w:r>
      <w:r>
        <w:rPr>
          <w:rFonts w:hint="eastAsia" w:ascii="仿宋_GB2312" w:hAnsi="仿宋_GB2312" w:eastAsia="仿宋_GB2312" w:cs="仿宋_GB2312"/>
          <w:b w:val="0"/>
          <w:bCs w:val="0"/>
          <w:color w:val="auto"/>
          <w:sz w:val="32"/>
          <w:szCs w:val="32"/>
          <w:lang w:val="en-US" w:eastAsia="zh-CN"/>
        </w:rPr>
        <w:t>按照《中华人民共和国政府信息公开条例》要求，持续深化政务公开，及时更新网站内容，主动公开住房和城乡建设领域信息，着力提升信息公开质量。同时，建立信息发布审核机制，对拟公开的政府信息进行严格审核，确保信息的准确性、完整性和保密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仿宋_GB2312"/>
          <w:b w:val="0"/>
          <w:bCs w:val="0"/>
          <w:sz w:val="32"/>
          <w:szCs w:val="32"/>
          <w:lang w:val="en-US" w:eastAsia="zh-CN"/>
        </w:rPr>
        <w:t>（四）政府信息公开平台建设情况。</w:t>
      </w:r>
      <w:r>
        <w:rPr>
          <w:rFonts w:hint="eastAsia" w:ascii="仿宋_GB2312" w:hAnsi="仿宋_GB2312" w:eastAsia="仿宋_GB2312" w:cs="仿宋_GB2312"/>
          <w:b w:val="0"/>
          <w:bCs w:val="0"/>
          <w:color w:val="auto"/>
          <w:sz w:val="32"/>
          <w:szCs w:val="32"/>
          <w:lang w:val="en-US" w:eastAsia="zh-CN"/>
        </w:rPr>
        <w:t>我局主要依托和田地区行政公署网站平台发布相关信息。充分发挥政务新媒体的作用，开通微信公众号(和田建筑业市场监管)，及时发布住房和城乡建设领域的政策法规、工作动态、典型案例等信息。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仿宋_GB2312"/>
          <w:b w:val="0"/>
          <w:bCs w:val="0"/>
          <w:sz w:val="32"/>
          <w:szCs w:val="32"/>
          <w:lang w:val="en-US" w:eastAsia="zh-CN"/>
        </w:rPr>
        <w:t>（五）监督保障情况。</w:t>
      </w:r>
      <w:r>
        <w:rPr>
          <w:rFonts w:hint="eastAsia" w:ascii="仿宋_GB2312" w:hAnsi="仿宋_GB2312" w:eastAsia="仿宋_GB2312" w:cs="仿宋_GB2312"/>
          <w:b w:val="0"/>
          <w:bCs w:val="0"/>
          <w:color w:val="auto"/>
          <w:sz w:val="32"/>
          <w:szCs w:val="32"/>
          <w:lang w:val="en-US" w:eastAsia="zh-CN"/>
        </w:rPr>
        <w:t>一是加强信息管理，加大保密审查力度，将信息管理责任细化到项、明确到人，确保信息内容和发布程序合法合规。二是将政府信息公开工作纳入年度工作计划和考核内容，压实各部门信息工作责任，强化考核监督。</w:t>
      </w:r>
    </w:p>
    <w:p>
      <w:pPr>
        <w:spacing w:before="191" w:line="213" w:lineRule="auto"/>
        <w:ind w:left="749"/>
        <w:outlineLvl w:val="1"/>
        <w:rPr>
          <w:rFonts w:hint="eastAsia" w:ascii="黑体" w:hAnsi="黑体" w:eastAsia="黑体" w:cs="黑体"/>
          <w:b w:val="0"/>
          <w:bCs w:val="0"/>
          <w:sz w:val="32"/>
          <w:szCs w:val="32"/>
        </w:rPr>
      </w:pPr>
      <w:r>
        <w:rPr>
          <w:rFonts w:hint="eastAsia" w:ascii="黑体" w:hAnsi="黑体" w:eastAsia="黑体" w:cs="黑体"/>
          <w:b w:val="0"/>
          <w:bCs w:val="0"/>
          <w:spacing w:val="-3"/>
          <w:sz w:val="32"/>
          <w:szCs w:val="32"/>
        </w:rPr>
        <w:t>二、主动公开政府信息情况</w:t>
      </w:r>
    </w:p>
    <w:tbl>
      <w:tblPr>
        <w:tblStyle w:val="8"/>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9"/>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一</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6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1908" w:type="dxa"/>
            <w:vAlign w:val="center"/>
          </w:tcPr>
          <w:p>
            <w:pPr>
              <w:pStyle w:val="9"/>
              <w:spacing w:before="2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本年制发件数</w:t>
            </w:r>
          </w:p>
        </w:tc>
        <w:tc>
          <w:tcPr>
            <w:tcW w:w="1807" w:type="dxa"/>
            <w:vAlign w:val="center"/>
          </w:tcPr>
          <w:p>
            <w:pPr>
              <w:pStyle w:val="9"/>
              <w:spacing w:before="1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本年废止件数</w:t>
            </w:r>
          </w:p>
        </w:tc>
        <w:tc>
          <w:tcPr>
            <w:tcW w:w="1883" w:type="dxa"/>
            <w:vAlign w:val="center"/>
          </w:tcPr>
          <w:p>
            <w:pPr>
              <w:pStyle w:val="9"/>
              <w:spacing w:before="41"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5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规章</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42"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规范性文件</w:t>
            </w:r>
          </w:p>
        </w:tc>
        <w:tc>
          <w:tcPr>
            <w:tcW w:w="1908"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807"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1883" w:type="dxa"/>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9"/>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五</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43"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spacing w:before="72"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45"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行政许可</w:t>
            </w:r>
          </w:p>
        </w:tc>
        <w:tc>
          <w:tcPr>
            <w:tcW w:w="5598" w:type="dxa"/>
            <w:gridSpan w:val="3"/>
            <w:vAlign w:val="center"/>
          </w:tcPr>
          <w:p>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9"/>
              <w:spacing w:before="3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六</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66"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spacing w:before="64"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77"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行政处罚</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78" w:line="220"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行政强制</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9"/>
              <w:spacing w:before="7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第二十条第</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八</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5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信息内容</w:t>
            </w:r>
          </w:p>
        </w:tc>
        <w:tc>
          <w:tcPr>
            <w:tcW w:w="5598" w:type="dxa"/>
            <w:gridSpan w:val="3"/>
            <w:vAlign w:val="center"/>
          </w:tcPr>
          <w:p>
            <w:pPr>
              <w:pStyle w:val="9"/>
              <w:spacing w:before="68" w:line="219"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本年收费金额</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单位：万元</w:t>
            </w:r>
            <w:r>
              <w:rPr>
                <w:rFonts w:hint="eastAsia" w:ascii="仿宋_GB2312" w:hAnsi="仿宋_GB2312" w:eastAsia="仿宋_GB2312" w:cs="仿宋_GB2312"/>
                <w:spacing w:val="4"/>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9"/>
              <w:spacing w:before="60" w:line="219" w:lineRule="auto"/>
              <w:ind w:left="8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pPr>
        <w:ind w:firstLine="632" w:firstLineChars="200"/>
        <w:rPr>
          <w:rFonts w:ascii="黑体" w:hAnsi="黑体" w:eastAsia="黑体" w:cs="黑体"/>
          <w:b w:val="0"/>
          <w:bCs w:val="0"/>
          <w:spacing w:val="-2"/>
          <w:sz w:val="32"/>
          <w:szCs w:val="32"/>
        </w:rPr>
      </w:pPr>
    </w:p>
    <w:p>
      <w:pPr>
        <w:ind w:firstLine="632" w:firstLineChars="200"/>
        <w:rPr>
          <w:rFonts w:ascii="黑体" w:hAnsi="黑体" w:eastAsia="黑体" w:cs="黑体"/>
          <w:b w:val="0"/>
          <w:bCs w:val="0"/>
          <w:sz w:val="32"/>
          <w:szCs w:val="32"/>
        </w:rPr>
      </w:pPr>
      <w:r>
        <w:rPr>
          <w:rFonts w:ascii="黑体" w:hAnsi="黑体" w:eastAsia="黑体" w:cs="黑体"/>
          <w:b w:val="0"/>
          <w:bCs w:val="0"/>
          <w:spacing w:val="-2"/>
          <w:sz w:val="32"/>
          <w:szCs w:val="32"/>
        </w:rPr>
        <w:t>三、收到和处理政府信息公开申请情况</w:t>
      </w:r>
    </w:p>
    <w:p>
      <w:pPr>
        <w:spacing w:line="71" w:lineRule="auto"/>
        <w:rPr>
          <w:rFonts w:ascii="Arial"/>
          <w:sz w:val="2"/>
        </w:rPr>
      </w:pPr>
    </w:p>
    <w:tbl>
      <w:tblPr>
        <w:tblStyle w:val="8"/>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trPr>
        <w:tc>
          <w:tcPr>
            <w:tcW w:w="4370" w:type="dxa"/>
            <w:gridSpan w:val="3"/>
            <w:vMerge w:val="restart"/>
            <w:tcBorders>
              <w:bottom w:val="nil"/>
            </w:tcBorders>
            <w:vAlign w:val="center"/>
          </w:tcPr>
          <w:p>
            <w:pPr>
              <w:pStyle w:val="9"/>
              <w:spacing w:before="75" w:line="206" w:lineRule="auto"/>
              <w:ind w:left="185" w:right="259" w:firstLine="109"/>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本列数据的勾稽关系为：第一项加第</w:t>
            </w:r>
            <w:r>
              <w:rPr>
                <w:rFonts w:hint="eastAsia" w:ascii="方正仿宋_GB2312" w:hAnsi="方正仿宋_GB2312" w:eastAsia="方正仿宋_GB2312" w:cs="方正仿宋_GB2312"/>
                <w:spacing w:val="2"/>
                <w:sz w:val="21"/>
                <w:szCs w:val="21"/>
              </w:rPr>
              <w:t>二项之和，等于第三项加第四项之和</w:t>
            </w:r>
            <w:r>
              <w:rPr>
                <w:rFonts w:hint="eastAsia" w:ascii="方正仿宋_GB2312" w:hAnsi="方正仿宋_GB2312" w:eastAsia="方正仿宋_GB2312" w:cs="方正仿宋_GB2312"/>
                <w:spacing w:val="2"/>
                <w:sz w:val="21"/>
                <w:szCs w:val="21"/>
                <w:lang w:eastAsia="zh-CN"/>
              </w:rPr>
              <w:t>）</w:t>
            </w:r>
          </w:p>
        </w:tc>
        <w:tc>
          <w:tcPr>
            <w:tcW w:w="3980" w:type="dxa"/>
            <w:gridSpan w:val="7"/>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4370" w:type="dxa"/>
            <w:gridSpan w:val="3"/>
            <w:vMerge w:val="continue"/>
            <w:tcBorders>
              <w:top w:val="nil"/>
              <w:bottom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自然人</w:t>
            </w:r>
          </w:p>
        </w:tc>
        <w:tc>
          <w:tcPr>
            <w:tcW w:w="3066" w:type="dxa"/>
            <w:gridSpan w:val="5"/>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04" w:hRule="atLeast"/>
        </w:trPr>
        <w:tc>
          <w:tcPr>
            <w:tcW w:w="4370" w:type="dxa"/>
            <w:gridSpan w:val="3"/>
            <w:vMerge w:val="continue"/>
            <w:tcBorders>
              <w:top w:val="nil"/>
            </w:tcBorders>
            <w:vAlign w:val="center"/>
          </w:tcPr>
          <w:p>
            <w:pPr>
              <w:jc w:val="center"/>
              <w:rPr>
                <w:rFonts w:hint="eastAsia" w:ascii="方正仿宋_GB2312" w:hAnsi="方正仿宋_GB2312" w:eastAsia="方正仿宋_GB2312" w:cs="方正仿宋_GB2312"/>
                <w:sz w:val="21"/>
                <w:szCs w:val="21"/>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商业企业</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科研机构</w:t>
            </w:r>
          </w:p>
        </w:tc>
        <w:tc>
          <w:tcPr>
            <w:tcW w:w="64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社会公益组织</w:t>
            </w:r>
          </w:p>
        </w:tc>
        <w:tc>
          <w:tcPr>
            <w:tcW w:w="659"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法律服务机构</w:t>
            </w:r>
          </w:p>
        </w:tc>
        <w:tc>
          <w:tcPr>
            <w:tcW w:w="460" w:type="dxa"/>
            <w:textDirection w:val="tbRlV"/>
            <w:vAlign w:val="center"/>
          </w:tcPr>
          <w:p>
            <w:pPr>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gridSpan w:val="3"/>
            <w:vAlign w:val="center"/>
          </w:tcPr>
          <w:p>
            <w:pPr>
              <w:pStyle w:val="9"/>
              <w:spacing w:before="75"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1"/>
                <w:sz w:val="21"/>
                <w:szCs w:val="21"/>
              </w:rPr>
              <w:t>一、本年新收政府信息公开申请数量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gridSpan w:val="3"/>
            <w:vAlign w:val="center"/>
          </w:tcPr>
          <w:p>
            <w:pPr>
              <w:pStyle w:val="9"/>
              <w:spacing w:before="87" w:line="219" w:lineRule="auto"/>
              <w:ind w:left="95"/>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二、上年结转政府信息公开申请数量</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4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659"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60"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c>
          <w:tcPr>
            <w:tcW w:w="454" w:type="dxa"/>
            <w:vAlign w:val="center"/>
          </w:tcPr>
          <w:p>
            <w:pPr>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restart"/>
            <w:tcBorders>
              <w:bottom w:val="nil"/>
            </w:tcBorders>
            <w:vAlign w:val="center"/>
          </w:tcPr>
          <w:p>
            <w:pPr>
              <w:pStyle w:val="9"/>
              <w:spacing w:before="75" w:line="180" w:lineRule="auto"/>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22"/>
                <w:sz w:val="21"/>
                <w:szCs w:val="21"/>
              </w:rPr>
              <w:t>三、</w:t>
            </w:r>
          </w:p>
          <w:p>
            <w:pPr>
              <w:pStyle w:val="9"/>
              <w:spacing w:line="197"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3"/>
                <w:sz w:val="21"/>
                <w:szCs w:val="21"/>
              </w:rPr>
              <w:t>本年</w:t>
            </w:r>
          </w:p>
          <w:p>
            <w:pPr>
              <w:pStyle w:val="9"/>
              <w:spacing w:line="210"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度办</w:t>
            </w:r>
          </w:p>
          <w:p>
            <w:pPr>
              <w:pStyle w:val="9"/>
              <w:spacing w:line="208" w:lineRule="auto"/>
              <w:ind w:left="10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pacing w:val="6"/>
                <w:sz w:val="21"/>
                <w:szCs w:val="21"/>
              </w:rPr>
              <w:t>理结</w:t>
            </w:r>
          </w:p>
          <w:p>
            <w:pPr>
              <w:pStyle w:val="9"/>
              <w:spacing w:line="220" w:lineRule="auto"/>
              <w:ind w:left="225"/>
              <w:jc w:val="left"/>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果</w:t>
            </w: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予以公开</w:t>
            </w:r>
          </w:p>
        </w:tc>
        <w:tc>
          <w:tcPr>
            <w:tcW w:w="460"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3635" w:type="dxa"/>
            <w:gridSpan w:val="2"/>
            <w:vAlign w:val="top"/>
          </w:tcPr>
          <w:p>
            <w:pPr>
              <w:keepNext w:val="0"/>
              <w:keepLines w:val="0"/>
              <w:pageBreakBefore w:val="0"/>
              <w:widowControl/>
              <w:kinsoku w:val="0"/>
              <w:wordWrap/>
              <w:overflowPunct/>
              <w:topLinePunct w:val="0"/>
              <w:autoSpaceDE w:val="0"/>
              <w:autoSpaceDN w:val="0"/>
              <w:bidi w:val="0"/>
              <w:adjustRightInd w:val="0"/>
              <w:snapToGrid w:val="0"/>
              <w:ind w:firstLine="105" w:firstLineChars="50"/>
              <w:textAlignment w:val="baseline"/>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二</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部分公开</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区分处理的，只计这一情形，不计其他情形</w:t>
            </w:r>
            <w:r>
              <w:rPr>
                <w:rFonts w:hint="eastAsia" w:ascii="方正仿宋_GB2312" w:hAnsi="方正仿宋_GB2312" w:eastAsia="方正仿宋_GB2312" w:cs="方正仿宋_GB2312"/>
                <w:lang w:eastAsia="zh-CN"/>
              </w:rPr>
              <w:t>）</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三</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公开</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四</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无法</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提供</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left"/>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五</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不予</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center"/>
          </w:tcPr>
          <w:p>
            <w:pPr>
              <w:jc w:val="cente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restart"/>
            <w:tcBorders>
              <w:bottom w:val="nil"/>
            </w:tcBorders>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六</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其他</w:t>
            </w:r>
          </w:p>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处理</w:t>
            </w: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bottom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top"/>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top"/>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vAlign w:val="top"/>
          </w:tcPr>
          <w:p>
            <w:pPr>
              <w:rPr>
                <w:rFonts w:hint="eastAsia" w:ascii="方正仿宋_GB2312" w:hAnsi="方正仿宋_GB2312" w:eastAsia="方正仿宋_GB2312" w:cs="方正仿宋_GB2312"/>
                <w:sz w:val="21"/>
                <w:szCs w:val="21"/>
              </w:rPr>
            </w:pPr>
          </w:p>
        </w:tc>
        <w:tc>
          <w:tcPr>
            <w:tcW w:w="749" w:type="dxa"/>
            <w:vMerge w:val="continue"/>
            <w:tcBorders>
              <w:top w:val="nil"/>
            </w:tcBorders>
            <w:vAlign w:val="top"/>
          </w:tcPr>
          <w:p>
            <w:pPr>
              <w:rPr>
                <w:rFonts w:hint="eastAsia" w:ascii="方正仿宋_GB2312" w:hAnsi="方正仿宋_GB2312" w:eastAsia="方正仿宋_GB2312" w:cs="方正仿宋_GB2312"/>
              </w:rPr>
            </w:pPr>
          </w:p>
        </w:tc>
        <w:tc>
          <w:tcPr>
            <w:tcW w:w="2886" w:type="dxa"/>
            <w:vAlign w:val="center"/>
          </w:tcPr>
          <w:p>
            <w:pPr>
              <w:keepNext w:val="0"/>
              <w:keepLines w:val="0"/>
              <w:pageBreakBefore w:val="0"/>
              <w:widowControl/>
              <w:kinsoku w:val="0"/>
              <w:wordWrap/>
              <w:overflowPunct/>
              <w:topLinePunct w:val="0"/>
              <w:autoSpaceDE w:val="0"/>
              <w:autoSpaceDN w:val="0"/>
              <w:bidi w:val="0"/>
              <w:adjustRightInd w:val="0"/>
              <w:snapToGrid w:val="0"/>
              <w:ind w:firstLine="105" w:firstLineChars="50"/>
              <w:jc w:val="both"/>
              <w:textAlignment w:val="baseline"/>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2" w:hRule="atLeast"/>
        </w:trPr>
        <w:tc>
          <w:tcPr>
            <w:tcW w:w="735" w:type="dxa"/>
            <w:vMerge w:val="continue"/>
            <w:tcBorders>
              <w:top w:val="nil"/>
            </w:tcBorders>
            <w:vAlign w:val="top"/>
          </w:tcPr>
          <w:p>
            <w:pPr>
              <w:jc w:val="center"/>
              <w:rPr>
                <w:rFonts w:hint="eastAsia" w:ascii="方正仿宋_GB2312" w:hAnsi="方正仿宋_GB2312" w:eastAsia="方正仿宋_GB2312" w:cs="方正仿宋_GB2312"/>
                <w:sz w:val="21"/>
                <w:szCs w:val="21"/>
              </w:rPr>
            </w:pPr>
          </w:p>
        </w:tc>
        <w:tc>
          <w:tcPr>
            <w:tcW w:w="3635" w:type="dxa"/>
            <w:gridSpan w:val="2"/>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七</w:t>
            </w:r>
            <w:r>
              <w:rPr>
                <w:rFonts w:hint="eastAsia" w:ascii="方正仿宋_GB2312" w:hAnsi="方正仿宋_GB2312" w:eastAsia="方正仿宋_GB2312" w:cs="方正仿宋_GB2312"/>
                <w:lang w:eastAsia="zh-CN"/>
              </w:rPr>
              <w:t>）</w:t>
            </w:r>
            <w:r>
              <w:rPr>
                <w:rFonts w:hint="eastAsia" w:ascii="方正仿宋_GB2312" w:hAnsi="方正仿宋_GB2312" w:eastAsia="方正仿宋_GB2312" w:cs="方正仿宋_GB2312"/>
              </w:rPr>
              <w:t>总计</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四、结转下年度继续办理</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4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659"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60"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454"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ind w:firstLine="624"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pacing w:val="-4"/>
          <w:sz w:val="32"/>
          <w:szCs w:val="32"/>
        </w:rPr>
        <w:t>四、政府信息公开行政复议、行政诉讼情况</w:t>
      </w:r>
    </w:p>
    <w:tbl>
      <w:tblPr>
        <w:tblStyle w:val="8"/>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行政复议</w:t>
            </w:r>
          </w:p>
        </w:tc>
        <w:tc>
          <w:tcPr>
            <w:tcW w:w="5654" w:type="dxa"/>
            <w:gridSpan w:val="10"/>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2825"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未经复议直接起诉</w:t>
            </w:r>
          </w:p>
        </w:tc>
        <w:tc>
          <w:tcPr>
            <w:tcW w:w="2829" w:type="dxa"/>
            <w:gridSpan w:val="5"/>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rPr>
            </w:pP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c>
          <w:tcPr>
            <w:tcW w:w="565"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结果维持</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结果纠正</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其他结果</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尚未审结</w:t>
            </w:r>
          </w:p>
        </w:tc>
        <w:tc>
          <w:tcPr>
            <w:tcW w:w="566" w:type="dxa"/>
            <w:textDirection w:val="tbRlV"/>
            <w:vAlign w:val="center"/>
          </w:tcPr>
          <w:p>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trPr>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5"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c>
          <w:tcPr>
            <w:tcW w:w="566" w:type="dxa"/>
            <w:vAlign w:val="center"/>
          </w:tcPr>
          <w:p>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仿宋_GB2312"/>
          <w:b w:val="0"/>
          <w:bCs w:val="0"/>
          <w:sz w:val="32"/>
          <w:szCs w:val="32"/>
          <w:lang w:val="en-US" w:eastAsia="zh-CN"/>
        </w:rPr>
        <w:t>（一）存在的问题。</w:t>
      </w:r>
      <w:r>
        <w:rPr>
          <w:rFonts w:hint="eastAsia" w:ascii="仿宋_GB2312" w:hAnsi="仿宋_GB2312" w:eastAsia="仿宋_GB2312" w:cs="仿宋_GB2312"/>
          <w:sz w:val="32"/>
          <w:szCs w:val="32"/>
          <w:lang w:val="en-US" w:eastAsia="zh-CN"/>
        </w:rPr>
        <w:t>个别行政信息和行政处罚结果未能做到及时公开，影响了公众对住建领域工作的及时了解。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仿宋_GB2312"/>
          <w:b w:val="0"/>
          <w:bCs w:val="0"/>
          <w:sz w:val="32"/>
          <w:szCs w:val="32"/>
          <w:lang w:val="en-US" w:eastAsia="zh-CN"/>
        </w:rPr>
        <w:t>（二）改进情况。</w:t>
      </w:r>
      <w:r>
        <w:rPr>
          <w:rFonts w:hint="eastAsia" w:ascii="仿宋_GB2312" w:hAnsi="仿宋_GB2312" w:eastAsia="仿宋_GB2312" w:cs="仿宋_GB2312"/>
          <w:sz w:val="32"/>
          <w:szCs w:val="32"/>
          <w:lang w:val="en-US" w:eastAsia="zh-CN"/>
        </w:rPr>
        <w:t>建立信息更新提醒机制，确保重要信息能够及时更新发布，对不依法履行信息公开义务的责任人进行严肃问责。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71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仿宋_GB2312" w:hAnsi="方正仿宋_GB2312" w:eastAsia="方正仿宋_GB2312" w:cs="方正仿宋_GB2312"/>
          <w:snapToGrid w:val="0"/>
          <w:color w:val="000000"/>
          <w:spacing w:val="19"/>
          <w:kern w:val="0"/>
          <w:sz w:val="32"/>
          <w:szCs w:val="32"/>
          <w:lang w:val="en-US" w:eastAsia="zh-CN" w:bidi="ar-SA"/>
        </w:rPr>
        <w:t>2025年，本机关按照《国务院办公厅关于印发〈政府信息公开信息处理费管理办法〉的通知》（国办函〔2020〕109号）规定的按件、按量收费标准，本年度没有产生信息公开处理费。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3200" w:firstLineChars="10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3200" w:firstLineChars="10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和田地区住房和城乡建设局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3200" w:firstLineChars="10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2026年1月15日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outlineLvl w:val="9"/>
        <w:rPr>
          <w:rFonts w:hint="eastAsia" w:ascii="仿宋_GB2312" w:hAnsi="仿宋_GB2312" w:eastAsia="仿宋_GB2312" w:cs="仿宋_GB2312"/>
          <w:sz w:val="32"/>
          <w:szCs w:val="32"/>
          <w:lang w:val="en-US" w:eastAsia="zh-CN"/>
        </w:rPr>
      </w:pPr>
    </w:p>
    <w:p/>
    <w:p>
      <w:pPr>
        <w:pStyle w:val="2"/>
        <w:keepNext w:val="0"/>
        <w:keepLines w:val="0"/>
        <w:pageBreakBefore w:val="0"/>
        <w:widowControl/>
        <w:kinsoku/>
        <w:wordWrap/>
        <w:overflowPunct w:val="0"/>
        <w:topLinePunct w:val="0"/>
        <w:autoSpaceDE/>
        <w:autoSpaceDN/>
        <w:bidi w:val="0"/>
        <w:adjustRightInd w:val="0"/>
        <w:snapToGrid w:val="0"/>
        <w:spacing w:line="560" w:lineRule="exact"/>
        <w:ind w:left="0" w:firstLine="656" w:firstLineChars="200"/>
        <w:jc w:val="left"/>
        <w:textAlignment w:val="baseline"/>
        <w:rPr>
          <w:rFonts w:hint="eastAsia" w:ascii="方正仿宋_GB2312" w:hAnsi="方正仿宋_GB2312" w:eastAsia="方正仿宋_GB2312" w:cs="方正仿宋_GB2312"/>
          <w:spacing w:val="14"/>
          <w:sz w:val="30"/>
          <w:szCs w:val="30"/>
        </w:rPr>
      </w:pPr>
    </w:p>
    <w:sectPr>
      <w:footerReference r:id="rId3" w:type="default"/>
      <w:pgSz w:w="11905" w:h="16838"/>
      <w:pgMar w:top="1701" w:right="1474" w:bottom="1531" w:left="1587" w:header="0" w:footer="1071"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9EE8799-90D8-4369-B7A7-636045D22AB0}"/>
  </w:font>
  <w:font w:name="黑体">
    <w:panose1 w:val="02010609060101010101"/>
    <w:charset w:val="86"/>
    <w:family w:val="auto"/>
    <w:pitch w:val="default"/>
    <w:sig w:usb0="800002BF" w:usb1="38CF7CFA" w:usb2="00000016" w:usb3="00000000" w:csb0="00040001" w:csb1="00000000"/>
    <w:embedRegular r:id="rId2" w:fontKey="{161D19A4-6CCD-4D70-82D8-D4EB5FAF9E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ESI宋体-GB18030">
    <w:altName w:val="宋体"/>
    <w:panose1 w:val="02000500000000000000"/>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3" w:fontKey="{76E6D2FE-94FC-4DAE-B65A-57F6B798E212}"/>
  </w:font>
  <w:font w:name="仿宋_GB2312">
    <w:panose1 w:val="02010609030101010101"/>
    <w:charset w:val="86"/>
    <w:family w:val="auto"/>
    <w:pitch w:val="default"/>
    <w:sig w:usb0="00000001" w:usb1="080E0000" w:usb2="00000000" w:usb3="00000000" w:csb0="00040000" w:csb1="00000000"/>
    <w:embedRegular r:id="rId4" w:fontKey="{06E4FA3A-3EAD-403A-9504-4C9E27809E5D}"/>
  </w:font>
  <w:font w:name="楷体_GB2312">
    <w:panose1 w:val="02010609030101010101"/>
    <w:charset w:val="86"/>
    <w:family w:val="auto"/>
    <w:pitch w:val="default"/>
    <w:sig w:usb0="00000001" w:usb1="080E0000" w:usb2="00000000" w:usb3="00000000" w:csb0="00040000" w:csb1="00000000"/>
    <w:embedRegular r:id="rId5" w:fontKey="{2F34EF0A-4B72-47B4-93FF-52287556D15D}"/>
  </w:font>
  <w:font w:name="方正仿宋_GB2312">
    <w:altName w:val="仿宋"/>
    <w:panose1 w:val="02000000000000000000"/>
    <w:charset w:val="86"/>
    <w:family w:val="auto"/>
    <w:pitch w:val="default"/>
    <w:sig w:usb0="00000000" w:usb1="00000000" w:usb2="00000012" w:usb3="00000000" w:csb0="00040001" w:csb1="00000000"/>
    <w:embedRegular r:id="rId6" w:fontKey="{F24ABD7B-A174-4781-81FC-A9E704C785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04"/>
      <w:rPr>
        <w:rFonts w:ascii="宋体" w:hAnsi="宋体" w:eastAsia="宋体" w:cs="宋体"/>
        <w:sz w:val="27"/>
        <w:szCs w:val="27"/>
      </w:rPr>
    </w:pPr>
    <w:r>
      <w:rPr>
        <w:sz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JjNjBjMjY5ODU5MDhhY2JmZDk0NjE5OTVjOGJkMmMifQ=="/>
  </w:docVars>
  <w:rsids>
    <w:rsidRoot w:val="00000000"/>
    <w:rsid w:val="05DFE8DC"/>
    <w:rsid w:val="0DBF9D32"/>
    <w:rsid w:val="13D46914"/>
    <w:rsid w:val="16F91496"/>
    <w:rsid w:val="186A061D"/>
    <w:rsid w:val="1AF617F8"/>
    <w:rsid w:val="1BF159E9"/>
    <w:rsid w:val="1CCF07BB"/>
    <w:rsid w:val="1FE771BD"/>
    <w:rsid w:val="2BBECCF3"/>
    <w:rsid w:val="2BEE2C41"/>
    <w:rsid w:val="2FFB0E4B"/>
    <w:rsid w:val="310801DF"/>
    <w:rsid w:val="31199F7E"/>
    <w:rsid w:val="317F821C"/>
    <w:rsid w:val="36BF3E71"/>
    <w:rsid w:val="38F76B73"/>
    <w:rsid w:val="3BA00460"/>
    <w:rsid w:val="3FBDFBCB"/>
    <w:rsid w:val="3FC06D65"/>
    <w:rsid w:val="3FCF0A0D"/>
    <w:rsid w:val="4CA63DE7"/>
    <w:rsid w:val="4E5F5F21"/>
    <w:rsid w:val="50613B79"/>
    <w:rsid w:val="53F21392"/>
    <w:rsid w:val="54FD9DF8"/>
    <w:rsid w:val="55C022BA"/>
    <w:rsid w:val="56F50413"/>
    <w:rsid w:val="5AFA409D"/>
    <w:rsid w:val="5BDE1A55"/>
    <w:rsid w:val="5BFFA17D"/>
    <w:rsid w:val="5DF988C3"/>
    <w:rsid w:val="5E432044"/>
    <w:rsid w:val="5F5FACFD"/>
    <w:rsid w:val="5FF9E0EB"/>
    <w:rsid w:val="5FFDD97A"/>
    <w:rsid w:val="61DEF541"/>
    <w:rsid w:val="67FF76C0"/>
    <w:rsid w:val="67FF9717"/>
    <w:rsid w:val="6D785F60"/>
    <w:rsid w:val="6F4FF1E2"/>
    <w:rsid w:val="6FAEC0B4"/>
    <w:rsid w:val="6FE758B5"/>
    <w:rsid w:val="6FEF3A89"/>
    <w:rsid w:val="6FF7DB4A"/>
    <w:rsid w:val="6FFDFB31"/>
    <w:rsid w:val="702E2744"/>
    <w:rsid w:val="725FCF84"/>
    <w:rsid w:val="75FB8C7E"/>
    <w:rsid w:val="75FBF282"/>
    <w:rsid w:val="76EEB8E7"/>
    <w:rsid w:val="76FBED25"/>
    <w:rsid w:val="77BD4E39"/>
    <w:rsid w:val="77F6FFB8"/>
    <w:rsid w:val="77FFDC10"/>
    <w:rsid w:val="786DC0CF"/>
    <w:rsid w:val="797C0647"/>
    <w:rsid w:val="7A78007C"/>
    <w:rsid w:val="7AE615DB"/>
    <w:rsid w:val="7AF8DEEA"/>
    <w:rsid w:val="7BEA4AE4"/>
    <w:rsid w:val="7D7B8246"/>
    <w:rsid w:val="7DB78281"/>
    <w:rsid w:val="7DFF36AE"/>
    <w:rsid w:val="7E3F5E6D"/>
    <w:rsid w:val="7EAD23D9"/>
    <w:rsid w:val="7EFD9AF8"/>
    <w:rsid w:val="7F3F1B7B"/>
    <w:rsid w:val="7F5B3640"/>
    <w:rsid w:val="7F69E25B"/>
    <w:rsid w:val="7F9B1E4D"/>
    <w:rsid w:val="7FBF9722"/>
    <w:rsid w:val="7FBFBDB3"/>
    <w:rsid w:val="7FDC2F4E"/>
    <w:rsid w:val="7FFD0C4B"/>
    <w:rsid w:val="7FFFE97C"/>
    <w:rsid w:val="8575DE42"/>
    <w:rsid w:val="935BACF6"/>
    <w:rsid w:val="95BF65A7"/>
    <w:rsid w:val="9F7BB536"/>
    <w:rsid w:val="ABEA8843"/>
    <w:rsid w:val="AF354E2C"/>
    <w:rsid w:val="B2D73C1D"/>
    <w:rsid w:val="B4F836BD"/>
    <w:rsid w:val="B75FBC11"/>
    <w:rsid w:val="BA7B23C6"/>
    <w:rsid w:val="BE672ECA"/>
    <w:rsid w:val="BFBE9EE7"/>
    <w:rsid w:val="BFEFB8F3"/>
    <w:rsid w:val="BFFE8F58"/>
    <w:rsid w:val="CDFE45BB"/>
    <w:rsid w:val="CF9F9C03"/>
    <w:rsid w:val="CFF4E29F"/>
    <w:rsid w:val="D837C4AE"/>
    <w:rsid w:val="DDBC62AE"/>
    <w:rsid w:val="DFF6C781"/>
    <w:rsid w:val="DFFD3EC5"/>
    <w:rsid w:val="EFEFB485"/>
    <w:rsid w:val="EFFEF372"/>
    <w:rsid w:val="EFFF651E"/>
    <w:rsid w:val="F1F9F433"/>
    <w:rsid w:val="F3BBCFCD"/>
    <w:rsid w:val="F457501A"/>
    <w:rsid w:val="F55F8287"/>
    <w:rsid w:val="F5DE14D3"/>
    <w:rsid w:val="F68DF1D6"/>
    <w:rsid w:val="F6B23CD1"/>
    <w:rsid w:val="F76B8AE0"/>
    <w:rsid w:val="F7DFE779"/>
    <w:rsid w:val="F7FDDA92"/>
    <w:rsid w:val="FD67FBE8"/>
    <w:rsid w:val="FDEE3D5E"/>
    <w:rsid w:val="FE7E0BFA"/>
    <w:rsid w:val="FE7E2C68"/>
    <w:rsid w:val="FEDE83A6"/>
    <w:rsid w:val="FEFBA7FC"/>
    <w:rsid w:val="FEFFC857"/>
    <w:rsid w:val="FFDA735A"/>
    <w:rsid w:val="FFEF618C"/>
    <w:rsid w:val="FFF44761"/>
    <w:rsid w:val="FFFB7BD8"/>
    <w:rsid w:val="FFFB8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CESI宋体-GB18030"/>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rPr>
      <w:rFonts w:ascii="Calibri" w:hAnsi="Calibri" w:eastAsia="Times New Roman"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semiHidden/>
    <w:unhideWhenUsed/>
    <w:qFormat/>
    <w:uiPriority w:val="0"/>
    <w:tblPr>
      <w:tblLayout w:type="fixed"/>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5558</Words>
  <Characters>5711</Characters>
  <TotalTime>0</TotalTime>
  <ScaleCrop>false</ScaleCrop>
  <LinksUpToDate>false</LinksUpToDate>
  <CharactersWithSpaces>5734</CharactersWithSpaces>
  <Application>WPS Office_10.8.2.6990_F1E327BC-269C-435d-A152-05C5408002CA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2024-01-13T21:47:00Z</dcterms:created>
  <dc:creator>Kingsoft-PDF</dc:creator>
  <cp:lastModifiedBy>Administrator</cp:lastModifiedBy>
  <cp:lastPrinted>2026-01-18T03:13:00Z</cp:lastPrinted>
  <dcterms:modified xsi:type="dcterms:W3CDTF">2026-01-30T09:31:58Z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2024-01-02T13:47:22Z</vt:filetime>
  </property>
  <property fmtid="{D5CDD505-2E9C-101B-9397-08002B2CF9AE}" pid="4" name="UsrData">
    <vt:lpwstr>6593a366d022c6001f5cd015wl</vt:lpwstr>
  </property>
  <property fmtid="{D5CDD505-2E9C-101B-9397-08002B2CF9AE}" pid="5" name="KSOProductBuildVer">
    <vt:lpwstr>2052-10.8.2.6990</vt:lpwstr>
  </property>
  <property fmtid="{D5CDD505-2E9C-101B-9397-08002B2CF9AE}" pid="6" name="ICV">
    <vt:lpwstr>76ED987BBA1B48C99C1F7E28BDBB7AA6_13</vt:lpwstr>
  </property>
</Properties>
</file>