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_GBK" w:hAnsi="方正小标宋_GBK" w:eastAsia="方正小标宋_GBK" w:cs="方正小标宋简体"/>
          <w:b w:val="0"/>
          <w:bCs/>
          <w:sz w:val="44"/>
          <w:szCs w:val="44"/>
          <w:highlight w:val="none"/>
        </w:rPr>
      </w:pPr>
      <w:r>
        <w:rPr>
          <w:rFonts w:hint="eastAsia" w:ascii="方正小标宋_GBK" w:hAnsi="方正小标宋_GBK" w:eastAsia="方正小标宋_GBK" w:cs="方正小标宋简体"/>
          <w:b w:val="0"/>
          <w:bCs/>
          <w:sz w:val="44"/>
          <w:szCs w:val="44"/>
          <w:highlight w:val="none"/>
          <w:lang w:eastAsia="zh-CN"/>
        </w:rPr>
        <w:t>和田地区</w:t>
      </w:r>
      <w:r>
        <w:rPr>
          <w:rFonts w:hint="eastAsia" w:ascii="方正小标宋_GBK" w:hAnsi="方正小标宋_GBK" w:eastAsia="方正小标宋_GBK" w:cs="方正小标宋简体"/>
          <w:b w:val="0"/>
          <w:bCs/>
          <w:sz w:val="44"/>
          <w:szCs w:val="44"/>
          <w:highlight w:val="none"/>
        </w:rPr>
        <w:t>退役军人事务</w:t>
      </w:r>
      <w:r>
        <w:rPr>
          <w:rFonts w:hint="eastAsia" w:ascii="方正小标宋_GBK" w:hAnsi="方正小标宋_GBK" w:eastAsia="方正小标宋_GBK" w:cs="方正小标宋简体"/>
          <w:b w:val="0"/>
          <w:bCs/>
          <w:sz w:val="44"/>
          <w:szCs w:val="44"/>
          <w:highlight w:val="none"/>
          <w:lang w:eastAsia="zh-CN"/>
        </w:rPr>
        <w:t>局202</w:t>
      </w:r>
      <w:r>
        <w:rPr>
          <w:rFonts w:hint="default" w:ascii="方正小标宋_GBK" w:hAnsi="方正小标宋_GBK" w:eastAsia="方正小标宋_GBK" w:cs="方正小标宋简体"/>
          <w:b w:val="0"/>
          <w:bCs/>
          <w:sz w:val="44"/>
          <w:szCs w:val="44"/>
          <w:highlight w:val="none"/>
          <w:lang w:val="en" w:eastAsia="zh-CN"/>
        </w:rPr>
        <w:t>3</w:t>
      </w:r>
      <w:r>
        <w:rPr>
          <w:rFonts w:hint="eastAsia" w:ascii="方正小标宋_GBK" w:hAnsi="方正小标宋_GBK" w:eastAsia="方正小标宋_GBK" w:cs="方正小标宋简体"/>
          <w:b w:val="0"/>
          <w:bCs/>
          <w:sz w:val="44"/>
          <w:szCs w:val="44"/>
          <w:highlight w:val="none"/>
          <w:lang w:eastAsia="zh-CN"/>
        </w:rPr>
        <w:t>年</w:t>
      </w:r>
      <w:r>
        <w:rPr>
          <w:rFonts w:hint="eastAsia" w:ascii="方正小标宋_GBK" w:hAnsi="方正小标宋_GBK" w:eastAsia="方正小标宋_GBK" w:cs="方正小标宋简体"/>
          <w:b w:val="0"/>
          <w:bCs/>
          <w:sz w:val="44"/>
          <w:szCs w:val="44"/>
          <w:highlight w:val="none"/>
        </w:rPr>
        <w:t>度政府</w:t>
      </w:r>
    </w:p>
    <w:p>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_GBK" w:hAnsi="方正小标宋_GBK" w:eastAsia="方正小标宋_GBK" w:cs="方正小标宋简体"/>
          <w:b w:val="0"/>
          <w:bCs/>
          <w:sz w:val="44"/>
          <w:szCs w:val="44"/>
          <w:highlight w:val="none"/>
        </w:rPr>
      </w:pPr>
      <w:r>
        <w:rPr>
          <w:rFonts w:hint="eastAsia" w:ascii="方正小标宋_GBK" w:hAnsi="方正小标宋_GBK" w:eastAsia="方正小标宋_GBK" w:cs="方正小标宋简体"/>
          <w:b w:val="0"/>
          <w:bCs/>
          <w:sz w:val="44"/>
          <w:szCs w:val="44"/>
          <w:highlight w:val="none"/>
        </w:rPr>
        <w:t>信息公开工作报告</w:t>
      </w:r>
    </w:p>
    <w:p>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60" w:lineRule="exact"/>
        <w:ind w:left="0" w:firstLine="560" w:firstLineChars="200"/>
        <w:textAlignment w:val="auto"/>
        <w:rPr>
          <w:rFonts w:hint="eastAsia" w:ascii="仿宋_GB2312" w:hAnsi="仿宋_GB2312" w:eastAsia="仿宋_GB2312" w:cs="仿宋_GB2312"/>
          <w:sz w:val="28"/>
          <w:szCs w:val="28"/>
          <w:highlight w:val="yellow"/>
        </w:rPr>
      </w:pPr>
    </w:p>
    <w:p>
      <w:pPr>
        <w:pStyle w:val="7"/>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根据《中华人民共和国政府信息公开条例》（国务院令第711号）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《中华人民共和国政府信息公开工作年度报告格式》（国办公开办函〔2021〕30号）和</w:t>
      </w:r>
      <w:r>
        <w:rPr>
          <w:rFonts w:hint="eastAsia" w:ascii="仿宋_GB2312" w:hAnsi="仿宋_GB2312" w:eastAsia="仿宋_GB2312" w:cs="仿宋_GB2312"/>
          <w:sz w:val="32"/>
          <w:szCs w:val="32"/>
          <w:lang w:eastAsia="zh-CN"/>
        </w:rPr>
        <w:t>行署</w:t>
      </w:r>
      <w:r>
        <w:rPr>
          <w:rFonts w:hint="eastAsia" w:ascii="仿宋_GB2312" w:hAnsi="仿宋_GB2312" w:eastAsia="仿宋_GB2312" w:cs="仿宋_GB2312"/>
          <w:sz w:val="32"/>
          <w:szCs w:val="32"/>
        </w:rPr>
        <w:t>相关工作要求，结合我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实际，现将</w:t>
      </w:r>
      <w:r>
        <w:rPr>
          <w:rFonts w:hint="eastAsia" w:ascii="仿宋_GB2312" w:hAnsi="仿宋_GB2312" w:eastAsia="仿宋_GB2312" w:cs="仿宋_GB2312"/>
          <w:sz w:val="32"/>
          <w:szCs w:val="32"/>
          <w:lang w:eastAsia="zh-CN"/>
        </w:rPr>
        <w:t>和田地区退役军人事务局</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年度政府信息公开情况报告如下。</w:t>
      </w:r>
    </w:p>
    <w:p>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一、总体情况</w:t>
      </w:r>
    </w:p>
    <w:p>
      <w:pPr>
        <w:pStyle w:val="7"/>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地委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行署</w:t>
      </w:r>
      <w:r>
        <w:rPr>
          <w:rFonts w:hint="eastAsia" w:ascii="仿宋_GB2312" w:hAnsi="仿宋_GB2312" w:eastAsia="仿宋_GB2312" w:cs="仿宋_GB2312"/>
          <w:sz w:val="32"/>
          <w:szCs w:val="32"/>
        </w:rPr>
        <w:t>的坚强领导下，</w:t>
      </w:r>
      <w:r>
        <w:rPr>
          <w:rFonts w:hint="eastAsia" w:ascii="仿宋_GB2312" w:hAnsi="仿宋_GB2312" w:eastAsia="仿宋_GB2312" w:cs="仿宋_GB2312"/>
          <w:sz w:val="32"/>
          <w:szCs w:val="32"/>
          <w:lang w:eastAsia="zh-CN"/>
        </w:rPr>
        <w:t>和田地区退役军人事务局</w:t>
      </w:r>
      <w:r>
        <w:rPr>
          <w:rFonts w:hint="eastAsia" w:ascii="仿宋_GB2312" w:hAnsi="仿宋_GB2312" w:eastAsia="仿宋_GB2312" w:cs="仿宋_GB2312"/>
          <w:sz w:val="32"/>
          <w:szCs w:val="32"/>
        </w:rPr>
        <w:t>坚持以习近平新时代中国特色社会主义思想为指导，深入学习贯彻党的二十大精神，严格执行《中华人民共和国政府信息公开条例》，全面落实国务院办公厅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自治区</w:t>
      </w:r>
      <w:r>
        <w:rPr>
          <w:rFonts w:hint="eastAsia" w:ascii="仿宋_GB2312" w:hAnsi="仿宋_GB2312" w:eastAsia="仿宋_GB2312" w:cs="仿宋_GB2312"/>
          <w:sz w:val="32"/>
          <w:szCs w:val="32"/>
          <w:lang w:eastAsia="zh-CN"/>
        </w:rPr>
        <w:t>人民</w:t>
      </w:r>
      <w:r>
        <w:rPr>
          <w:rFonts w:hint="eastAsia" w:ascii="仿宋_GB2312" w:hAnsi="仿宋_GB2312" w:eastAsia="仿宋_GB2312" w:cs="仿宋_GB2312"/>
          <w:sz w:val="32"/>
          <w:szCs w:val="32"/>
        </w:rPr>
        <w:t>政府办公厅</w:t>
      </w:r>
      <w:r>
        <w:rPr>
          <w:rFonts w:hint="eastAsia" w:ascii="仿宋_GB2312" w:hAnsi="仿宋_GB2312" w:eastAsia="仿宋_GB2312" w:cs="仿宋_GB2312"/>
          <w:sz w:val="32"/>
          <w:szCs w:val="32"/>
          <w:lang w:eastAsia="zh-CN"/>
        </w:rPr>
        <w:t>、和田地区关于</w:t>
      </w:r>
      <w:r>
        <w:rPr>
          <w:rFonts w:hint="eastAsia" w:ascii="仿宋_GB2312" w:hAnsi="仿宋_GB2312" w:eastAsia="仿宋_GB2312" w:cs="仿宋_GB2312"/>
          <w:sz w:val="32"/>
          <w:szCs w:val="32"/>
        </w:rPr>
        <w:t>政务公开</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工作要求，坚持“公开为常态、不公开为例外、应公开尽公开”的原则，</w:t>
      </w:r>
      <w:r>
        <w:rPr>
          <w:rFonts w:hint="eastAsia" w:ascii="仿宋_GB2312" w:hAnsi="仿宋_GB2312" w:eastAsia="仿宋_GB2312" w:cs="仿宋_GB2312"/>
          <w:sz w:val="32"/>
          <w:szCs w:val="32"/>
          <w:lang w:eastAsia="zh-CN"/>
        </w:rPr>
        <w:t>及时回应社会关切问题，</w:t>
      </w:r>
      <w:r>
        <w:rPr>
          <w:rFonts w:hint="eastAsia" w:ascii="仿宋_GB2312" w:hAnsi="仿宋_GB2312" w:eastAsia="仿宋_GB2312" w:cs="仿宋_GB2312"/>
          <w:sz w:val="32"/>
          <w:szCs w:val="32"/>
        </w:rPr>
        <w:t>不断加强政府信息公开工作的组织领导，规范信息公开工作程序，健全各项制度机制，积极、有序、稳妥推进政府信息公开的各项工作。</w:t>
      </w:r>
    </w:p>
    <w:p>
      <w:pPr>
        <w:pStyle w:val="7"/>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sz w:val="32"/>
          <w:szCs w:val="32"/>
          <w:shd w:val="clear" w:color="FFFFFF" w:fill="D9D9D9"/>
          <w:lang w:eastAsia="zh-CN"/>
        </w:rPr>
      </w:pPr>
      <w:r>
        <w:rPr>
          <w:rFonts w:hint="eastAsia" w:ascii="楷体_GB2312" w:hAnsi="楷体_GB2312" w:eastAsia="楷体_GB2312" w:cs="仿宋_GB2312"/>
          <w:sz w:val="32"/>
          <w:szCs w:val="32"/>
          <w:shd w:val="clear" w:color="auto" w:fill="auto"/>
          <w:lang w:eastAsia="zh-CN"/>
        </w:rPr>
        <w:t>（一）</w:t>
      </w:r>
      <w:r>
        <w:rPr>
          <w:rFonts w:hint="eastAsia" w:ascii="楷体_GB2312" w:hAnsi="楷体_GB2312" w:eastAsia="楷体_GB2312" w:cs="仿宋_GB2312"/>
          <w:sz w:val="32"/>
          <w:szCs w:val="32"/>
          <w:shd w:val="clear" w:color="auto" w:fill="auto"/>
        </w:rPr>
        <w:t>主动公开</w:t>
      </w:r>
      <w:r>
        <w:rPr>
          <w:rFonts w:hint="eastAsia" w:ascii="楷体_GB2312" w:hAnsi="楷体_GB2312" w:eastAsia="楷体_GB2312" w:cs="仿宋_GB2312"/>
          <w:sz w:val="32"/>
          <w:szCs w:val="32"/>
          <w:shd w:val="clear" w:color="auto" w:fill="auto"/>
          <w:lang w:eastAsia="zh-CN"/>
        </w:rPr>
        <w:t>情况</w:t>
      </w:r>
      <w:r>
        <w:rPr>
          <w:rFonts w:hint="eastAsia" w:ascii="楷体_GB2312" w:hAnsi="楷体_GB2312" w:eastAsia="楷体_GB2312" w:cs="仿宋_GB2312"/>
          <w:sz w:val="32"/>
          <w:szCs w:val="32"/>
          <w:shd w:val="clear" w:color="auto" w:fill="auto"/>
        </w:rPr>
        <w:t>。</w:t>
      </w:r>
      <w:r>
        <w:rPr>
          <w:rFonts w:hint="eastAsia" w:ascii="仿宋_GB2312" w:hAnsi="仿宋_GB2312" w:eastAsia="仿宋_GB2312" w:cs="仿宋_GB2312"/>
          <w:b/>
          <w:bCs/>
          <w:sz w:val="32"/>
          <w:szCs w:val="32"/>
          <w:shd w:val="clear" w:color="auto" w:fill="auto"/>
          <w:lang w:eastAsia="zh-CN"/>
        </w:rPr>
        <w:t>一是</w:t>
      </w:r>
      <w:r>
        <w:rPr>
          <w:rFonts w:hint="eastAsia" w:ascii="仿宋_GB2312" w:hAnsi="仿宋_GB2312" w:eastAsia="仿宋_GB2312" w:cs="仿宋_GB2312"/>
          <w:sz w:val="32"/>
          <w:szCs w:val="32"/>
          <w:shd w:val="clear" w:color="auto" w:fill="FFFFFF"/>
        </w:rPr>
        <w:t>严格按照《中华人民共和国政府信息公开条例》</w:t>
      </w:r>
      <w:r>
        <w:rPr>
          <w:rFonts w:hint="eastAsia" w:ascii="仿宋_GB2312" w:hAnsi="仿宋_GB2312" w:eastAsia="仿宋_GB2312" w:cs="仿宋_GB2312"/>
          <w:sz w:val="32"/>
          <w:szCs w:val="32"/>
          <w:shd w:val="clear" w:color="auto" w:fill="auto"/>
        </w:rPr>
        <w:t>《</w:t>
      </w:r>
      <w:r>
        <w:rPr>
          <w:rFonts w:hint="eastAsia" w:ascii="仿宋_GB2312" w:hAnsi="仿宋_GB2312" w:eastAsia="仿宋_GB2312" w:cs="仿宋_GB2312"/>
          <w:sz w:val="32"/>
          <w:szCs w:val="32"/>
          <w:shd w:val="clear" w:color="auto" w:fill="auto"/>
          <w:lang w:eastAsia="zh-CN"/>
        </w:rPr>
        <w:t>202</w:t>
      </w:r>
      <w:r>
        <w:rPr>
          <w:rFonts w:hint="eastAsia" w:ascii="仿宋_GB2312" w:hAnsi="仿宋_GB2312" w:eastAsia="仿宋_GB2312" w:cs="仿宋_GB2312"/>
          <w:sz w:val="32"/>
          <w:szCs w:val="32"/>
          <w:shd w:val="clear" w:color="auto" w:fill="auto"/>
          <w:lang w:val="en-US" w:eastAsia="zh-CN"/>
        </w:rPr>
        <w:t>3</w:t>
      </w:r>
      <w:r>
        <w:rPr>
          <w:rFonts w:hint="eastAsia" w:ascii="仿宋_GB2312" w:hAnsi="仿宋_GB2312" w:eastAsia="仿宋_GB2312" w:cs="仿宋_GB2312"/>
          <w:sz w:val="32"/>
          <w:szCs w:val="32"/>
          <w:shd w:val="clear" w:color="auto" w:fill="auto"/>
          <w:lang w:eastAsia="zh-CN"/>
        </w:rPr>
        <w:t>年和田地区</w:t>
      </w:r>
      <w:r>
        <w:rPr>
          <w:rFonts w:hint="eastAsia" w:ascii="仿宋_GB2312" w:hAnsi="仿宋_GB2312" w:eastAsia="仿宋_GB2312" w:cs="仿宋_GB2312"/>
          <w:sz w:val="32"/>
          <w:szCs w:val="32"/>
          <w:shd w:val="clear" w:color="auto" w:fill="auto"/>
        </w:rPr>
        <w:t>政务公开工作要点》</w:t>
      </w:r>
      <w:r>
        <w:rPr>
          <w:rFonts w:hint="eastAsia" w:ascii="仿宋_GB2312" w:hAnsi="仿宋_GB2312" w:eastAsia="仿宋_GB2312" w:cs="仿宋_GB2312"/>
          <w:sz w:val="32"/>
          <w:szCs w:val="32"/>
          <w:shd w:val="clear" w:color="auto" w:fill="FFFFFF"/>
        </w:rPr>
        <w:t>的总体要求，</w:t>
      </w:r>
      <w:r>
        <w:rPr>
          <w:rFonts w:hint="eastAsia" w:ascii="仿宋_GB2312" w:hAnsi="仿宋_GB2312" w:eastAsia="仿宋_GB2312" w:cs="仿宋_GB2312"/>
          <w:sz w:val="32"/>
          <w:szCs w:val="32"/>
          <w:shd w:val="clear" w:color="auto" w:fill="auto"/>
          <w:lang w:eastAsia="zh-CN"/>
        </w:rPr>
        <w:t>规范信息公开内容，</w:t>
      </w:r>
      <w:r>
        <w:rPr>
          <w:rFonts w:hint="eastAsia" w:ascii="仿宋_GB2312" w:hAnsi="仿宋_GB2312" w:eastAsia="仿宋_GB2312" w:cs="仿宋_GB2312"/>
          <w:sz w:val="32"/>
          <w:szCs w:val="32"/>
          <w:shd w:val="clear" w:color="auto" w:fill="FFFFFF"/>
        </w:rPr>
        <w:t>妥善处理公开与保密的关系，合理界定信息公开范围，做到积极稳妥，及时准确，公开、公正、便民</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b/>
          <w:bCs/>
          <w:sz w:val="32"/>
          <w:szCs w:val="32"/>
          <w:shd w:val="clear" w:color="auto" w:fill="auto"/>
          <w:lang w:eastAsia="zh-CN"/>
        </w:rPr>
        <w:t>二是</w:t>
      </w:r>
      <w:r>
        <w:rPr>
          <w:rFonts w:hint="eastAsia" w:ascii="仿宋_GB2312" w:hAnsi="仿宋_GB2312" w:eastAsia="仿宋_GB2312" w:cs="仿宋_GB2312"/>
          <w:sz w:val="32"/>
          <w:szCs w:val="32"/>
          <w:shd w:val="clear" w:color="auto" w:fill="auto"/>
        </w:rPr>
        <w:t>坚持以退役军人为中心，依法、全面、准确、及时的做好信息主动公开工作,重点对移交安置、就业创业、优抚优待、权益维护等与退役军人生活密切相关信息的主动公开</w:t>
      </w:r>
      <w:r>
        <w:rPr>
          <w:rFonts w:hint="eastAsia" w:ascii="仿宋_GB2312" w:hAnsi="仿宋_GB2312" w:eastAsia="仿宋_GB2312" w:cs="仿宋_GB2312"/>
          <w:sz w:val="32"/>
          <w:szCs w:val="32"/>
          <w:shd w:val="clear" w:color="auto" w:fill="auto"/>
          <w:lang w:eastAsia="zh-CN"/>
        </w:rPr>
        <w:t>；</w:t>
      </w:r>
      <w:r>
        <w:rPr>
          <w:rFonts w:hint="eastAsia" w:ascii="仿宋_GB2312" w:hAnsi="仿宋_GB2312" w:eastAsia="仿宋_GB2312" w:cs="仿宋_GB2312"/>
          <w:b/>
          <w:bCs/>
          <w:sz w:val="32"/>
          <w:szCs w:val="32"/>
          <w:shd w:val="clear" w:color="auto" w:fill="auto"/>
          <w:lang w:eastAsia="zh-CN"/>
        </w:rPr>
        <w:t>三是</w:t>
      </w:r>
      <w:r>
        <w:rPr>
          <w:rFonts w:hint="eastAsia" w:ascii="仿宋_GB2312" w:hAnsi="仿宋_GB2312" w:eastAsia="仿宋_GB2312" w:cs="仿宋_GB2312"/>
          <w:sz w:val="32"/>
          <w:szCs w:val="32"/>
          <w:shd w:val="clear" w:color="auto" w:fill="auto"/>
        </w:rPr>
        <w:t>根据</w:t>
      </w:r>
      <w:r>
        <w:rPr>
          <w:rFonts w:hint="eastAsia" w:ascii="仿宋_GB2312" w:hAnsi="仿宋_GB2312" w:eastAsia="仿宋_GB2312" w:cs="仿宋_GB2312"/>
          <w:sz w:val="32"/>
          <w:szCs w:val="32"/>
          <w:shd w:val="clear" w:color="auto" w:fill="auto"/>
          <w:lang w:eastAsia="zh-CN"/>
        </w:rPr>
        <w:t>地区</w:t>
      </w:r>
      <w:r>
        <w:rPr>
          <w:rFonts w:hint="eastAsia" w:ascii="仿宋_GB2312" w:hAnsi="仿宋_GB2312" w:eastAsia="仿宋_GB2312" w:cs="仿宋_GB2312"/>
          <w:sz w:val="32"/>
          <w:szCs w:val="32"/>
          <w:shd w:val="clear" w:color="auto" w:fill="auto"/>
        </w:rPr>
        <w:t>退役军人事务局的管理职能调整、变动情况,及时公开退役军人事务局的职能、内设机构、领导信息等内容。截至12月31日，在政府信息公开系统累计公开政府信息共计</w:t>
      </w:r>
      <w:r>
        <w:rPr>
          <w:rFonts w:hint="eastAsia" w:ascii="仿宋_GB2312" w:hAnsi="仿宋_GB2312" w:eastAsia="仿宋_GB2312" w:cs="仿宋_GB2312"/>
          <w:sz w:val="32"/>
          <w:szCs w:val="32"/>
          <w:shd w:val="clear" w:color="auto" w:fill="auto"/>
          <w:lang w:val="en-US" w:eastAsia="zh-CN"/>
        </w:rPr>
        <w:t>13</w:t>
      </w:r>
      <w:r>
        <w:rPr>
          <w:rFonts w:hint="eastAsia" w:ascii="仿宋_GB2312" w:hAnsi="仿宋_GB2312" w:eastAsia="仿宋_GB2312" w:cs="仿宋_GB2312"/>
          <w:sz w:val="32"/>
          <w:szCs w:val="32"/>
          <w:shd w:val="clear" w:color="auto" w:fill="auto"/>
        </w:rPr>
        <w:t>条，其中公示公告</w:t>
      </w:r>
      <w:r>
        <w:rPr>
          <w:rFonts w:hint="eastAsia" w:ascii="仿宋_GB2312" w:hAnsi="仿宋_GB2312" w:eastAsia="仿宋_GB2312" w:cs="仿宋_GB2312"/>
          <w:sz w:val="32"/>
          <w:szCs w:val="32"/>
          <w:shd w:val="clear" w:color="auto" w:fill="auto"/>
          <w:lang w:eastAsia="zh-CN"/>
        </w:rPr>
        <w:t>类</w:t>
      </w:r>
      <w:r>
        <w:rPr>
          <w:rFonts w:hint="eastAsia" w:ascii="仿宋_GB2312" w:hAnsi="仿宋_GB2312" w:eastAsia="仿宋_GB2312" w:cs="仿宋_GB2312"/>
          <w:sz w:val="32"/>
          <w:szCs w:val="32"/>
          <w:shd w:val="clear" w:color="auto" w:fill="auto"/>
          <w:lang w:val="en-US" w:eastAsia="zh-CN"/>
        </w:rPr>
        <w:t>10</w:t>
      </w:r>
      <w:r>
        <w:rPr>
          <w:rFonts w:hint="eastAsia" w:ascii="仿宋_GB2312" w:hAnsi="仿宋_GB2312" w:eastAsia="仿宋_GB2312" w:cs="仿宋_GB2312"/>
          <w:sz w:val="32"/>
          <w:szCs w:val="32"/>
          <w:shd w:val="clear" w:color="auto" w:fill="auto"/>
        </w:rPr>
        <w:t>条，</w:t>
      </w:r>
      <w:r>
        <w:rPr>
          <w:rFonts w:hint="eastAsia" w:ascii="仿宋_GB2312" w:hAnsi="仿宋_GB2312" w:eastAsia="仿宋_GB2312" w:cs="仿宋_GB2312"/>
          <w:sz w:val="32"/>
          <w:szCs w:val="32"/>
          <w:shd w:val="clear" w:color="auto" w:fill="auto"/>
          <w:lang w:eastAsia="zh-CN"/>
        </w:rPr>
        <w:t>政策解读类</w:t>
      </w:r>
      <w:r>
        <w:rPr>
          <w:rFonts w:hint="eastAsia" w:ascii="仿宋_GB2312" w:hAnsi="仿宋_GB2312" w:eastAsia="仿宋_GB2312" w:cs="仿宋_GB2312"/>
          <w:sz w:val="32"/>
          <w:szCs w:val="32"/>
          <w:shd w:val="clear" w:color="auto" w:fill="auto"/>
        </w:rPr>
        <w:t>信息</w:t>
      </w:r>
      <w:r>
        <w:rPr>
          <w:rFonts w:hint="eastAsia" w:ascii="仿宋_GB2312" w:hAnsi="仿宋_GB2312" w:eastAsia="仿宋_GB2312" w:cs="仿宋_GB2312"/>
          <w:sz w:val="32"/>
          <w:szCs w:val="32"/>
          <w:shd w:val="clear" w:color="auto" w:fill="auto"/>
          <w:lang w:val="en-US" w:eastAsia="zh-CN"/>
        </w:rPr>
        <w:t>3</w:t>
      </w:r>
      <w:r>
        <w:rPr>
          <w:rFonts w:hint="eastAsia" w:ascii="仿宋_GB2312" w:hAnsi="仿宋_GB2312" w:eastAsia="仿宋_GB2312" w:cs="仿宋_GB2312"/>
          <w:sz w:val="32"/>
          <w:szCs w:val="32"/>
          <w:shd w:val="clear" w:color="auto" w:fill="auto"/>
        </w:rPr>
        <w:t>条。</w:t>
      </w:r>
    </w:p>
    <w:p>
      <w:pPr>
        <w:pStyle w:val="7"/>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仿宋_GB2312"/>
          <w:sz w:val="32"/>
          <w:szCs w:val="32"/>
        </w:rPr>
      </w:pPr>
      <w:r>
        <w:rPr>
          <w:rFonts w:hint="eastAsia" w:ascii="楷体_GB2312" w:hAnsi="楷体_GB2312" w:eastAsia="楷体_GB2312" w:cs="仿宋_GB2312"/>
          <w:sz w:val="32"/>
          <w:szCs w:val="32"/>
          <w:lang w:val="en" w:eastAsia="zh-CN"/>
        </w:rPr>
        <w:t>（二）</w:t>
      </w:r>
      <w:r>
        <w:rPr>
          <w:rFonts w:hint="eastAsia" w:ascii="楷体_GB2312" w:hAnsi="楷体_GB2312" w:eastAsia="楷体_GB2312" w:cs="仿宋_GB2312"/>
          <w:sz w:val="32"/>
          <w:szCs w:val="32"/>
        </w:rPr>
        <w:t>依申请公开</w:t>
      </w:r>
      <w:r>
        <w:rPr>
          <w:rFonts w:hint="eastAsia" w:ascii="楷体_GB2312" w:hAnsi="楷体_GB2312" w:eastAsia="楷体_GB2312" w:cs="仿宋_GB2312"/>
          <w:sz w:val="32"/>
          <w:szCs w:val="32"/>
          <w:lang w:eastAsia="zh-CN"/>
        </w:rPr>
        <w:t>情况</w:t>
      </w:r>
      <w:r>
        <w:rPr>
          <w:rFonts w:hint="eastAsia" w:ascii="楷体_GB2312" w:hAnsi="楷体_GB2312" w:eastAsia="楷体_GB2312" w:cs="仿宋_GB2312"/>
          <w:sz w:val="32"/>
          <w:szCs w:val="32"/>
        </w:rPr>
        <w:t>。</w:t>
      </w:r>
      <w:r>
        <w:rPr>
          <w:rFonts w:hint="eastAsia" w:ascii="仿宋_GB2312" w:hAnsi="仿宋_GB2312" w:eastAsia="仿宋_GB2312" w:cs="仿宋_GB2312"/>
          <w:sz w:val="32"/>
          <w:szCs w:val="32"/>
          <w:lang w:eastAsia="zh-CN"/>
        </w:rPr>
        <w:t>我局严格落实政府信息依申请公开工作要求，规范依申请公开工作流程，畅通申请渠道，依托“和田政府网”发布《和田地区退役军人事务局政府信息公开指南》，明确了申请注意事项、申请接受方式和申请处理内容，并提供了依申请公开申请表格下载，按照程序依法依规办理政府信息公开申请。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和田地区</w:t>
      </w:r>
      <w:r>
        <w:rPr>
          <w:rFonts w:hint="eastAsia" w:ascii="仿宋_GB2312" w:hAnsi="仿宋_GB2312" w:eastAsia="仿宋_GB2312" w:cs="仿宋_GB2312"/>
          <w:sz w:val="32"/>
          <w:szCs w:val="32"/>
        </w:rPr>
        <w:t>退役军人事务</w:t>
      </w:r>
      <w:r>
        <w:rPr>
          <w:rFonts w:hint="eastAsia" w:ascii="仿宋_GB2312" w:hAnsi="仿宋_GB2312" w:eastAsia="仿宋_GB2312" w:cs="仿宋_GB2312"/>
          <w:sz w:val="32"/>
          <w:szCs w:val="32"/>
          <w:lang w:eastAsia="zh-CN"/>
        </w:rPr>
        <w:t>局未收到政府信息公开</w:t>
      </w:r>
      <w:r>
        <w:rPr>
          <w:rFonts w:hint="eastAsia" w:ascii="仿宋_GB2312" w:hAnsi="仿宋_GB2312" w:eastAsia="仿宋_GB2312" w:cs="仿宋_GB2312"/>
          <w:sz w:val="32"/>
          <w:szCs w:val="32"/>
        </w:rPr>
        <w:t>申请。</w:t>
      </w:r>
    </w:p>
    <w:p>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仿宋_GB2312"/>
          <w:sz w:val="32"/>
          <w:szCs w:val="32"/>
        </w:rPr>
        <w:t>（三）政府信息管理情况。</w:t>
      </w:r>
      <w:r>
        <w:rPr>
          <w:rFonts w:hint="eastAsia" w:ascii="仿宋_GB2312" w:hAnsi="仿宋_GB2312" w:eastAsia="仿宋_GB2312" w:cs="仿宋_GB2312"/>
          <w:b/>
          <w:bCs/>
          <w:kern w:val="0"/>
          <w:sz w:val="32"/>
          <w:szCs w:val="32"/>
          <w:lang w:val="en-US" w:eastAsia="zh-CN" w:bidi="ar"/>
        </w:rPr>
        <w:t>一是</w:t>
      </w:r>
      <w:r>
        <w:rPr>
          <w:rFonts w:hint="eastAsia" w:ascii="仿宋_GB2312" w:hAnsi="仿宋_GB2312" w:eastAsia="仿宋_GB2312" w:cs="仿宋_GB2312"/>
          <w:kern w:val="0"/>
          <w:sz w:val="32"/>
          <w:szCs w:val="32"/>
          <w:lang w:val="en-US" w:eastAsia="zh-CN" w:bidi="ar"/>
        </w:rPr>
        <w:t>为规范政务信息公开工作，按照行署电子政务办信息公开工作要求，严格执行信息公开流程，落实信息发布“三审三校”制度，规范版面编排，提高政务信息公开质量，严把信息发布政治关、法律关、政策关、保密关、文字关，确保信息报送安全，推动政府信息公开工作制度化、规范化运行；</w:t>
      </w:r>
      <w:r>
        <w:rPr>
          <w:rFonts w:hint="eastAsia" w:ascii="仿宋_GB2312" w:hAnsi="仿宋_GB2312" w:eastAsia="仿宋_GB2312" w:cs="仿宋_GB2312"/>
          <w:b/>
          <w:bCs/>
          <w:kern w:val="0"/>
          <w:sz w:val="32"/>
          <w:szCs w:val="32"/>
          <w:lang w:val="en-US" w:eastAsia="zh-CN" w:bidi="ar"/>
        </w:rPr>
        <w:t>二是</w:t>
      </w:r>
      <w:r>
        <w:rPr>
          <w:rFonts w:hint="eastAsia" w:ascii="仿宋_GB2312" w:hAnsi="仿宋_GB2312" w:eastAsia="仿宋_GB2312" w:cs="仿宋_GB2312"/>
          <w:kern w:val="0"/>
          <w:sz w:val="32"/>
          <w:szCs w:val="32"/>
          <w:lang w:val="en-US" w:eastAsia="zh-CN" w:bidi="ar"/>
        </w:rPr>
        <w:t>严格落实政府信息公开保密审查制度，遵守保密纪律，严格执行政务信息公开领导审批制度，</w:t>
      </w:r>
      <w:r>
        <w:rPr>
          <w:rFonts w:hint="default" w:ascii="仿宋_GB2312" w:hAnsi="仿宋_GB2312" w:eastAsia="仿宋_GB2312" w:cs="仿宋_GB2312"/>
          <w:kern w:val="0"/>
          <w:sz w:val="32"/>
          <w:szCs w:val="32"/>
          <w:lang w:val="en-US" w:eastAsia="zh-CN" w:bidi="ar"/>
        </w:rPr>
        <w:t>保证公开信息的</w:t>
      </w:r>
      <w:r>
        <w:rPr>
          <w:rFonts w:hint="eastAsia" w:ascii="仿宋_GB2312" w:hAnsi="仿宋_GB2312" w:eastAsia="仿宋_GB2312" w:cs="仿宋_GB2312"/>
          <w:kern w:val="0"/>
          <w:sz w:val="32"/>
          <w:szCs w:val="32"/>
          <w:lang w:val="en-US" w:eastAsia="zh-CN" w:bidi="ar"/>
        </w:rPr>
        <w:t>准确性、完整性、时效性、合法性和安全性，切实维护政府网站的信息权威性和严肃性，做到政务信息发布规范合法；</w:t>
      </w:r>
      <w:r>
        <w:rPr>
          <w:rFonts w:hint="eastAsia" w:ascii="仿宋_GB2312" w:hAnsi="仿宋_GB2312" w:eastAsia="仿宋_GB2312" w:cs="仿宋_GB2312"/>
          <w:b/>
          <w:bCs/>
          <w:kern w:val="0"/>
          <w:sz w:val="32"/>
          <w:szCs w:val="32"/>
          <w:lang w:val="en-US" w:eastAsia="zh-CN" w:bidi="ar"/>
        </w:rPr>
        <w:t>三是</w:t>
      </w:r>
      <w:r>
        <w:rPr>
          <w:rFonts w:hint="eastAsia" w:ascii="仿宋_GB2312" w:hAnsi="仿宋_GB2312" w:eastAsia="仿宋_GB2312" w:cs="仿宋_GB2312"/>
          <w:kern w:val="0"/>
          <w:sz w:val="32"/>
          <w:szCs w:val="32"/>
          <w:lang w:val="en-US" w:eastAsia="zh-CN" w:bidi="ar"/>
        </w:rPr>
        <w:t>高度重视政务公开第三方评估整改工作，对照评估指标对单位政府信息公开内容进行全面自查，确保政府信息公开越来越规范。</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eastAsia="仿宋_GB2312" w:cs="仿宋_GB2312"/>
          <w:b w:val="0"/>
          <w:i w:val="0"/>
          <w:caps w:val="0"/>
          <w:color w:val="auto"/>
          <w:spacing w:val="0"/>
          <w:sz w:val="32"/>
          <w:szCs w:val="32"/>
          <w:shd w:val="clear" w:color="auto" w:fill="FFFFFF"/>
          <w:lang w:val="en-US" w:eastAsia="zh-CN"/>
        </w:rPr>
      </w:pPr>
      <w:r>
        <w:rPr>
          <w:rFonts w:hint="eastAsia" w:ascii="楷体_GB2312" w:hAnsi="楷体_GB2312" w:eastAsia="楷体_GB2312" w:cs="楷体_GB2312"/>
          <w:sz w:val="32"/>
          <w:szCs w:val="32"/>
          <w:lang w:val="en-US" w:eastAsia="zh-CN"/>
        </w:rPr>
        <w:t>（四）政府信息平台建设</w:t>
      </w:r>
      <w:r>
        <w:rPr>
          <w:rFonts w:hint="eastAsia" w:ascii="楷体_GB2312" w:hAnsi="楷体_GB2312" w:eastAsia="楷体_GB2312" w:cs="楷体_GB2312"/>
          <w:b w:val="0"/>
          <w:bCs w:val="0"/>
          <w:sz w:val="32"/>
          <w:szCs w:val="32"/>
          <w:lang w:val="en" w:eastAsia="zh-CN"/>
        </w:rPr>
        <w:t>情况</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i w:val="0"/>
          <w:caps w:val="0"/>
          <w:color w:val="auto"/>
          <w:spacing w:val="0"/>
          <w:sz w:val="32"/>
          <w:szCs w:val="32"/>
          <w:shd w:val="clear" w:color="auto" w:fill="FFFFFF"/>
          <w:lang w:val="en-US" w:eastAsia="zh-CN"/>
        </w:rPr>
        <w:t>和田地区退役军人事务局主要依托和田政府网和新疆政务服务网站政务公开栏开展政府信息公开工作，未建立本机关门户网站和政务新媒体。</w:t>
      </w:r>
    </w:p>
    <w:p>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rPr>
      </w:pPr>
      <w:r>
        <w:rPr>
          <w:rFonts w:hint="eastAsia" w:ascii="楷体_GB2312" w:hAnsi="楷体_GB2312" w:eastAsia="楷体_GB2312" w:cs="仿宋_GB2312"/>
          <w:sz w:val="32"/>
          <w:szCs w:val="32"/>
          <w:lang w:eastAsia="zh-CN"/>
        </w:rPr>
        <w:t>（五）</w:t>
      </w:r>
      <w:r>
        <w:rPr>
          <w:rFonts w:hint="eastAsia" w:ascii="楷体_GB2312" w:hAnsi="楷体_GB2312" w:eastAsia="楷体_GB2312" w:cs="仿宋_GB2312"/>
          <w:sz w:val="32"/>
          <w:szCs w:val="32"/>
        </w:rPr>
        <w:t>监督保障</w:t>
      </w:r>
      <w:r>
        <w:rPr>
          <w:rFonts w:hint="eastAsia" w:ascii="楷体_GB2312" w:hAnsi="楷体_GB2312" w:eastAsia="楷体_GB2312" w:cs="仿宋_GB2312"/>
          <w:sz w:val="32"/>
          <w:szCs w:val="32"/>
          <w:lang w:eastAsia="zh-CN"/>
        </w:rPr>
        <w:t>情况</w:t>
      </w:r>
      <w:r>
        <w:rPr>
          <w:rFonts w:hint="eastAsia" w:ascii="楷体_GB2312" w:hAnsi="楷体_GB2312" w:eastAsia="楷体_GB2312" w:cs="仿宋_GB2312"/>
          <w:sz w:val="32"/>
          <w:szCs w:val="32"/>
        </w:rPr>
        <w:t>。</w:t>
      </w:r>
      <w:r>
        <w:rPr>
          <w:rFonts w:hint="eastAsia" w:ascii="仿宋_GB2312" w:hAnsi="仿宋_GB2312" w:eastAsia="仿宋_GB2312" w:cs="仿宋_GB2312"/>
          <w:b/>
          <w:bCs/>
          <w:i w:val="0"/>
          <w:caps w:val="0"/>
          <w:color w:val="auto"/>
          <w:spacing w:val="0"/>
          <w:sz w:val="32"/>
          <w:szCs w:val="32"/>
          <w:shd w:val="clear" w:color="auto" w:fill="FFFFFF"/>
          <w:lang w:val="en-US" w:eastAsia="zh-CN"/>
        </w:rPr>
        <w:t>一是</w:t>
      </w:r>
      <w:r>
        <w:rPr>
          <w:rFonts w:hint="eastAsia" w:ascii="仿宋_GB2312" w:hAnsi="仿宋_GB2312" w:eastAsia="仿宋_GB2312" w:cs="仿宋_GB2312"/>
          <w:b w:val="0"/>
          <w:i w:val="0"/>
          <w:caps w:val="0"/>
          <w:color w:val="auto"/>
          <w:spacing w:val="0"/>
          <w:sz w:val="32"/>
          <w:szCs w:val="32"/>
          <w:shd w:val="clear" w:color="auto" w:fill="FFFFFF"/>
          <w:lang w:val="en-US" w:eastAsia="zh-CN"/>
        </w:rPr>
        <w:t>领导重视，持续推进。组织学习《中华人民共和国政府信息公开条例》和相关文件精神，积极完成各类政务公开内容；</w:t>
      </w:r>
      <w:r>
        <w:rPr>
          <w:rFonts w:hint="eastAsia" w:ascii="仿宋_GB2312" w:hAnsi="仿宋_GB2312" w:eastAsia="仿宋_GB2312" w:cs="仿宋_GB2312"/>
          <w:b/>
          <w:bCs/>
          <w:i w:val="0"/>
          <w:caps w:val="0"/>
          <w:color w:val="auto"/>
          <w:spacing w:val="0"/>
          <w:sz w:val="32"/>
          <w:szCs w:val="32"/>
          <w:shd w:val="clear" w:color="auto" w:fill="FFFFFF"/>
          <w:lang w:val="en-US" w:eastAsia="zh-CN"/>
        </w:rPr>
        <w:t>二是</w:t>
      </w:r>
      <w:r>
        <w:rPr>
          <w:rFonts w:hint="eastAsia" w:ascii="仿宋_GB2312" w:hAnsi="仿宋_GB2312" w:eastAsia="仿宋_GB2312" w:cs="仿宋_GB2312"/>
          <w:b w:val="0"/>
          <w:i w:val="0"/>
          <w:caps w:val="0"/>
          <w:color w:val="auto"/>
          <w:spacing w:val="0"/>
          <w:sz w:val="32"/>
          <w:szCs w:val="32"/>
          <w:shd w:val="clear" w:color="auto" w:fill="FFFFFF"/>
          <w:lang w:val="en-US" w:eastAsia="zh-CN"/>
        </w:rPr>
        <w:t>压实责任，强化保障。工作落实到人，确保信息发布及时、准确，按照上级要求主动修改、完善公开目录；</w:t>
      </w:r>
      <w:r>
        <w:rPr>
          <w:rFonts w:hint="eastAsia" w:ascii="仿宋_GB2312" w:hAnsi="仿宋_GB2312" w:eastAsia="仿宋_GB2312" w:cs="仿宋_GB2312"/>
          <w:b/>
          <w:bCs/>
          <w:i w:val="0"/>
          <w:caps w:val="0"/>
          <w:color w:val="auto"/>
          <w:spacing w:val="0"/>
          <w:sz w:val="32"/>
          <w:szCs w:val="32"/>
          <w:shd w:val="clear" w:color="auto" w:fill="FFFFFF"/>
          <w:lang w:val="en-US" w:eastAsia="zh-CN"/>
        </w:rPr>
        <w:t>三是</w:t>
      </w:r>
      <w:r>
        <w:rPr>
          <w:rFonts w:hint="eastAsia" w:ascii="仿宋_GB2312" w:hAnsi="仿宋_GB2312" w:eastAsia="仿宋_GB2312" w:cs="仿宋_GB2312"/>
          <w:b w:val="0"/>
          <w:i w:val="0"/>
          <w:caps w:val="0"/>
          <w:color w:val="auto"/>
          <w:spacing w:val="0"/>
          <w:sz w:val="32"/>
          <w:szCs w:val="32"/>
          <w:shd w:val="clear" w:color="auto" w:fill="FFFFFF"/>
          <w:lang w:val="en-US" w:eastAsia="zh-CN"/>
        </w:rPr>
        <w:t>统一部署，狠抓落实。将政务公开工作与退役军人事务各项工作有机结合，形成齐抓共管的良好局面。</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二、主动公开政府信息情况</w:t>
      </w:r>
      <w:r>
        <w:rPr>
          <w:rFonts w:hint="eastAsia" w:ascii="黑体" w:hAnsi="黑体" w:eastAsia="黑体" w:cs="黑体"/>
          <w:b w:val="0"/>
          <w:bCs/>
          <w:sz w:val="32"/>
          <w:szCs w:val="32"/>
          <w:highlight w:val="none"/>
          <w:lang w:val="en-US" w:eastAsia="zh-CN"/>
        </w:rPr>
        <w:t xml:space="preserve"> </w:t>
      </w:r>
    </w:p>
    <w:tbl>
      <w:tblPr>
        <w:tblStyle w:val="10"/>
        <w:tblW w:w="8747" w:type="dxa"/>
        <w:jc w:val="center"/>
        <w:tblInd w:w="0" w:type="dxa"/>
        <w:tblLayout w:type="fixed"/>
        <w:tblCellMar>
          <w:top w:w="0" w:type="dxa"/>
          <w:left w:w="0" w:type="dxa"/>
          <w:bottom w:w="0" w:type="dxa"/>
          <w:right w:w="0" w:type="dxa"/>
        </w:tblCellMar>
      </w:tblPr>
      <w:tblGrid>
        <w:gridCol w:w="3129"/>
        <w:gridCol w:w="1750"/>
        <w:gridCol w:w="1861"/>
        <w:gridCol w:w="2007"/>
      </w:tblGrid>
      <w:tr>
        <w:tblPrEx>
          <w:tblLayout w:type="fixed"/>
          <w:tblCellMar>
            <w:top w:w="0" w:type="dxa"/>
            <w:left w:w="0" w:type="dxa"/>
            <w:bottom w:w="0" w:type="dxa"/>
            <w:right w:w="0" w:type="dxa"/>
          </w:tblCellMar>
        </w:tblPrEx>
        <w:trPr>
          <w:trHeight w:val="515" w:hRule="atLeast"/>
          <w:jc w:val="center"/>
        </w:trPr>
        <w:tc>
          <w:tcPr>
            <w:tcW w:w="8747" w:type="dxa"/>
            <w:gridSpan w:val="4"/>
            <w:tcBorders>
              <w:top w:val="single" w:color="auto" w:sz="8" w:space="0"/>
              <w:left w:val="single" w:color="auto" w:sz="8" w:space="0"/>
              <w:bottom w:val="single" w:color="auto" w:sz="8" w:space="0"/>
              <w:right w:val="single" w:color="auto" w:sz="8" w:space="0"/>
            </w:tcBorders>
            <w:vAlign w:val="center"/>
          </w:tcPr>
          <w:p>
            <w:pPr>
              <w:pStyle w:val="14"/>
              <w:spacing w:before="34"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sz w:val="21"/>
                <w:szCs w:val="21"/>
              </w:rPr>
              <w:t>第二十条第(一)项</w:t>
            </w:r>
          </w:p>
        </w:tc>
      </w:tr>
      <w:tr>
        <w:tblPrEx>
          <w:tblLayout w:type="fixed"/>
          <w:tblCellMar>
            <w:top w:w="0" w:type="dxa"/>
            <w:left w:w="0" w:type="dxa"/>
            <w:bottom w:w="0" w:type="dxa"/>
            <w:right w:w="0" w:type="dxa"/>
          </w:tblCellMar>
        </w:tblPrEx>
        <w:trPr>
          <w:trHeight w:val="476"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spacing w:before="61" w:line="219"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3"/>
                <w:sz w:val="21"/>
                <w:szCs w:val="21"/>
              </w:rPr>
              <w:t>信息内容</w:t>
            </w:r>
          </w:p>
        </w:tc>
        <w:tc>
          <w:tcPr>
            <w:tcW w:w="1750" w:type="dxa"/>
            <w:tcBorders>
              <w:top w:val="single" w:color="auto" w:sz="8" w:space="0"/>
              <w:left w:val="single" w:color="auto" w:sz="8" w:space="0"/>
              <w:bottom w:val="single" w:color="auto" w:sz="8" w:space="0"/>
              <w:right w:val="single" w:color="auto" w:sz="8" w:space="0"/>
            </w:tcBorders>
            <w:vAlign w:val="center"/>
          </w:tcPr>
          <w:p>
            <w:pPr>
              <w:pStyle w:val="14"/>
              <w:spacing w:before="29" w:line="219" w:lineRule="auto"/>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pacing w:val="1"/>
                <w:sz w:val="21"/>
                <w:szCs w:val="21"/>
              </w:rPr>
              <w:t>本年制发件数</w:t>
            </w:r>
          </w:p>
        </w:tc>
        <w:tc>
          <w:tcPr>
            <w:tcW w:w="1861" w:type="dxa"/>
            <w:tcBorders>
              <w:top w:val="single" w:color="auto" w:sz="8" w:space="0"/>
              <w:left w:val="single" w:color="auto" w:sz="8" w:space="0"/>
              <w:bottom w:val="single" w:color="auto" w:sz="8" w:space="0"/>
              <w:right w:val="single" w:color="auto" w:sz="8" w:space="0"/>
            </w:tcBorders>
            <w:vAlign w:val="center"/>
          </w:tcPr>
          <w:p>
            <w:pPr>
              <w:pStyle w:val="14"/>
              <w:spacing w:before="19" w:line="219"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本年废止件数</w:t>
            </w:r>
          </w:p>
        </w:tc>
        <w:tc>
          <w:tcPr>
            <w:tcW w:w="2007" w:type="dxa"/>
            <w:tcBorders>
              <w:top w:val="single" w:color="auto" w:sz="8" w:space="0"/>
              <w:left w:val="single" w:color="auto" w:sz="8" w:space="0"/>
              <w:bottom w:val="single" w:color="auto" w:sz="8" w:space="0"/>
              <w:right w:val="single" w:color="auto" w:sz="8" w:space="0"/>
            </w:tcBorders>
            <w:vAlign w:val="center"/>
          </w:tcPr>
          <w:p>
            <w:pPr>
              <w:pStyle w:val="14"/>
              <w:spacing w:before="41" w:line="219"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现行有效件数</w:t>
            </w:r>
          </w:p>
        </w:tc>
      </w:tr>
      <w:tr>
        <w:tblPrEx>
          <w:tblLayout w:type="fixed"/>
          <w:tblCellMar>
            <w:top w:w="0" w:type="dxa"/>
            <w:left w:w="0" w:type="dxa"/>
            <w:bottom w:w="0" w:type="dxa"/>
            <w:right w:w="0" w:type="dxa"/>
          </w:tblCellMar>
        </w:tblPrEx>
        <w:trPr>
          <w:trHeight w:val="473"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spacing w:before="50" w:line="219" w:lineRule="auto"/>
              <w:ind w:left="85" w:leftChars="0"/>
              <w:jc w:val="center"/>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8"/>
                <w:sz w:val="21"/>
                <w:szCs w:val="21"/>
              </w:rPr>
              <w:t>规章</w:t>
            </w:r>
          </w:p>
        </w:tc>
        <w:tc>
          <w:tcPr>
            <w:tcW w:w="1750"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c>
          <w:tcPr>
            <w:tcW w:w="1861"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c>
          <w:tcPr>
            <w:tcW w:w="2007"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r>
      <w:tr>
        <w:tblPrEx>
          <w:tblLayout w:type="fixed"/>
          <w:tblCellMar>
            <w:top w:w="0" w:type="dxa"/>
            <w:left w:w="0" w:type="dxa"/>
            <w:bottom w:w="0" w:type="dxa"/>
            <w:right w:w="0" w:type="dxa"/>
          </w:tblCellMar>
        </w:tblPrEx>
        <w:trPr>
          <w:trHeight w:val="382"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spacing w:before="42" w:line="219" w:lineRule="auto"/>
              <w:ind w:left="85" w:leftChars="0"/>
              <w:jc w:val="center"/>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2"/>
                <w:sz w:val="21"/>
                <w:szCs w:val="21"/>
              </w:rPr>
              <w:t>规范性文件</w:t>
            </w:r>
          </w:p>
        </w:tc>
        <w:tc>
          <w:tcPr>
            <w:tcW w:w="1750"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c>
          <w:tcPr>
            <w:tcW w:w="1861"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c>
          <w:tcPr>
            <w:tcW w:w="2007"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r>
      <w:tr>
        <w:tblPrEx>
          <w:tblLayout w:type="fixed"/>
          <w:tblCellMar>
            <w:top w:w="0" w:type="dxa"/>
            <w:left w:w="0" w:type="dxa"/>
            <w:bottom w:w="0" w:type="dxa"/>
            <w:right w:w="0" w:type="dxa"/>
          </w:tblCellMar>
        </w:tblPrEx>
        <w:trPr>
          <w:trHeight w:val="430" w:hRule="atLeast"/>
          <w:jc w:val="center"/>
        </w:trPr>
        <w:tc>
          <w:tcPr>
            <w:tcW w:w="8747" w:type="dxa"/>
            <w:gridSpan w:val="4"/>
            <w:tcBorders>
              <w:top w:val="single" w:color="auto" w:sz="8" w:space="0"/>
              <w:left w:val="single" w:color="auto" w:sz="8" w:space="0"/>
              <w:bottom w:val="single" w:color="auto" w:sz="8" w:space="0"/>
              <w:right w:val="single" w:color="auto" w:sz="8" w:space="0"/>
            </w:tcBorders>
            <w:vAlign w:val="center"/>
          </w:tcPr>
          <w:p>
            <w:pPr>
              <w:pStyle w:val="14"/>
              <w:spacing w:before="43" w:line="219" w:lineRule="auto"/>
              <w:jc w:val="center"/>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1"/>
                <w:sz w:val="21"/>
                <w:szCs w:val="21"/>
              </w:rPr>
              <w:t>第二十条第(五)项</w:t>
            </w:r>
          </w:p>
        </w:tc>
      </w:tr>
      <w:tr>
        <w:tblPrEx>
          <w:tblLayout w:type="fixed"/>
          <w:tblCellMar>
            <w:top w:w="0" w:type="dxa"/>
            <w:left w:w="0" w:type="dxa"/>
            <w:bottom w:w="0" w:type="dxa"/>
            <w:right w:w="0" w:type="dxa"/>
          </w:tblCellMar>
        </w:tblPrEx>
        <w:trPr>
          <w:trHeight w:val="514"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spacing w:before="43" w:line="219" w:lineRule="auto"/>
              <w:jc w:val="center"/>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3"/>
                <w:sz w:val="21"/>
                <w:szCs w:val="21"/>
              </w:rPr>
              <w:t>信息内容</w:t>
            </w:r>
          </w:p>
        </w:tc>
        <w:tc>
          <w:tcPr>
            <w:tcW w:w="5618" w:type="dxa"/>
            <w:gridSpan w:val="3"/>
            <w:tcBorders>
              <w:top w:val="single" w:color="auto" w:sz="8" w:space="0"/>
              <w:left w:val="single" w:color="auto" w:sz="8" w:space="0"/>
              <w:bottom w:val="single" w:color="auto" w:sz="8" w:space="0"/>
              <w:right w:val="single" w:color="auto" w:sz="8" w:space="0"/>
            </w:tcBorders>
            <w:vAlign w:val="center"/>
          </w:tcPr>
          <w:p>
            <w:pPr>
              <w:pStyle w:val="14"/>
              <w:spacing w:before="72" w:line="219" w:lineRule="auto"/>
              <w:jc w:val="center"/>
              <w:rPr>
                <w:rFonts w:hint="eastAsia" w:ascii="仿宋_GB2312" w:hAnsi="仿宋_GB2312" w:eastAsia="仿宋_GB2312" w:cs="仿宋_GB2312"/>
                <w:color w:val="333333"/>
                <w:sz w:val="21"/>
                <w:szCs w:val="21"/>
                <w:lang w:eastAsia="zh-CN"/>
              </w:rPr>
            </w:pPr>
            <w:r>
              <w:rPr>
                <w:rFonts w:hint="eastAsia" w:ascii="仿宋_GB2312" w:hAnsi="仿宋_GB2312" w:eastAsia="仿宋_GB2312" w:cs="仿宋_GB2312"/>
                <w:spacing w:val="-2"/>
                <w:sz w:val="21"/>
                <w:szCs w:val="21"/>
              </w:rPr>
              <w:t>本年处理决定数量</w:t>
            </w:r>
          </w:p>
        </w:tc>
      </w:tr>
      <w:tr>
        <w:tblPrEx>
          <w:tblLayout w:type="fixed"/>
          <w:tblCellMar>
            <w:top w:w="0" w:type="dxa"/>
            <w:left w:w="0" w:type="dxa"/>
            <w:bottom w:w="0" w:type="dxa"/>
            <w:right w:w="0" w:type="dxa"/>
          </w:tblCellMar>
        </w:tblPrEx>
        <w:trPr>
          <w:trHeight w:val="433"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spacing w:before="45" w:line="220" w:lineRule="auto"/>
              <w:jc w:val="center"/>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2"/>
                <w:sz w:val="21"/>
                <w:szCs w:val="21"/>
              </w:rPr>
              <w:t>行政许可</w:t>
            </w:r>
          </w:p>
        </w:tc>
        <w:tc>
          <w:tcPr>
            <w:tcW w:w="5618" w:type="dxa"/>
            <w:gridSpan w:val="3"/>
            <w:tcBorders>
              <w:top w:val="single" w:color="auto" w:sz="8" w:space="0"/>
              <w:left w:val="single" w:color="auto" w:sz="8" w:space="0"/>
              <w:bottom w:val="single" w:color="auto" w:sz="8" w:space="0"/>
              <w:right w:val="single" w:color="auto" w:sz="8" w:space="0"/>
            </w:tcBorders>
            <w:vAlign w:val="center"/>
          </w:tcPr>
          <w:p>
            <w:pPr>
              <w:jc w:val="center"/>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r>
      <w:tr>
        <w:tblPrEx>
          <w:tblLayout w:type="fixed"/>
          <w:tblCellMar>
            <w:top w:w="0" w:type="dxa"/>
            <w:left w:w="0" w:type="dxa"/>
            <w:bottom w:w="0" w:type="dxa"/>
            <w:right w:w="0" w:type="dxa"/>
          </w:tblCellMar>
        </w:tblPrEx>
        <w:trPr>
          <w:trHeight w:val="251" w:hRule="atLeast"/>
          <w:jc w:val="center"/>
        </w:trPr>
        <w:tc>
          <w:tcPr>
            <w:tcW w:w="8747" w:type="dxa"/>
            <w:gridSpan w:val="4"/>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34" w:line="420" w:lineRule="exact"/>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1"/>
                <w:sz w:val="21"/>
                <w:szCs w:val="21"/>
              </w:rPr>
              <w:t>第二十条第(六)项</w:t>
            </w:r>
          </w:p>
        </w:tc>
      </w:tr>
      <w:tr>
        <w:tblPrEx>
          <w:tblLayout w:type="fixed"/>
          <w:tblCellMar>
            <w:top w:w="0" w:type="dxa"/>
            <w:left w:w="0" w:type="dxa"/>
            <w:bottom w:w="0" w:type="dxa"/>
            <w:right w:w="0" w:type="dxa"/>
          </w:tblCellMar>
        </w:tblPrEx>
        <w:trPr>
          <w:trHeight w:val="251"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66" w:line="420" w:lineRule="exact"/>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3"/>
                <w:sz w:val="21"/>
                <w:szCs w:val="21"/>
              </w:rPr>
              <w:t>信息内容</w:t>
            </w:r>
          </w:p>
        </w:tc>
        <w:tc>
          <w:tcPr>
            <w:tcW w:w="5618" w:type="dxa"/>
            <w:gridSpan w:val="3"/>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64" w:line="420" w:lineRule="exact"/>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2"/>
                <w:sz w:val="21"/>
                <w:szCs w:val="21"/>
              </w:rPr>
              <w:t>本年处理决定数量</w:t>
            </w:r>
          </w:p>
        </w:tc>
      </w:tr>
      <w:tr>
        <w:tblPrEx>
          <w:tblLayout w:type="fixed"/>
          <w:tblCellMar>
            <w:top w:w="0" w:type="dxa"/>
            <w:left w:w="0" w:type="dxa"/>
            <w:bottom w:w="0" w:type="dxa"/>
            <w:right w:w="0" w:type="dxa"/>
          </w:tblCellMar>
        </w:tblPrEx>
        <w:trPr>
          <w:trHeight w:val="291"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77" w:line="420" w:lineRule="exact"/>
              <w:ind w:left="85" w:leftChars="0"/>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7"/>
                <w:sz w:val="21"/>
                <w:szCs w:val="21"/>
              </w:rPr>
              <w:t>行政处罚</w:t>
            </w:r>
          </w:p>
        </w:tc>
        <w:tc>
          <w:tcPr>
            <w:tcW w:w="5618" w:type="dxa"/>
            <w:gridSpan w:val="3"/>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r>
      <w:tr>
        <w:tblPrEx>
          <w:tblLayout w:type="fixed"/>
          <w:tblCellMar>
            <w:top w:w="0" w:type="dxa"/>
            <w:left w:w="0" w:type="dxa"/>
            <w:bottom w:w="0" w:type="dxa"/>
            <w:right w:w="0" w:type="dxa"/>
          </w:tblCellMar>
        </w:tblPrEx>
        <w:trPr>
          <w:trHeight w:val="257"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78" w:line="420" w:lineRule="exact"/>
              <w:ind w:left="85" w:leftChars="0"/>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5"/>
                <w:sz w:val="21"/>
                <w:szCs w:val="21"/>
              </w:rPr>
              <w:t>行政强制</w:t>
            </w:r>
          </w:p>
        </w:tc>
        <w:tc>
          <w:tcPr>
            <w:tcW w:w="5618" w:type="dxa"/>
            <w:gridSpan w:val="3"/>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r>
      <w:tr>
        <w:tblPrEx>
          <w:tblLayout w:type="fixed"/>
          <w:tblCellMar>
            <w:top w:w="0" w:type="dxa"/>
            <w:left w:w="0" w:type="dxa"/>
            <w:bottom w:w="0" w:type="dxa"/>
            <w:right w:w="0" w:type="dxa"/>
          </w:tblCellMar>
        </w:tblPrEx>
        <w:trPr>
          <w:trHeight w:val="251" w:hRule="atLeast"/>
          <w:jc w:val="center"/>
        </w:trPr>
        <w:tc>
          <w:tcPr>
            <w:tcW w:w="8747" w:type="dxa"/>
            <w:gridSpan w:val="4"/>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78" w:line="420" w:lineRule="exact"/>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1"/>
                <w:sz w:val="21"/>
                <w:szCs w:val="21"/>
              </w:rPr>
              <w:t>第二十条第(八)项</w:t>
            </w:r>
          </w:p>
        </w:tc>
      </w:tr>
      <w:tr>
        <w:tblPrEx>
          <w:tblLayout w:type="fixed"/>
          <w:tblCellMar>
            <w:top w:w="0" w:type="dxa"/>
            <w:left w:w="0" w:type="dxa"/>
            <w:bottom w:w="0" w:type="dxa"/>
            <w:right w:w="0" w:type="dxa"/>
          </w:tblCellMar>
        </w:tblPrEx>
        <w:trPr>
          <w:trHeight w:val="251"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59" w:line="420" w:lineRule="exact"/>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3"/>
                <w:sz w:val="21"/>
                <w:szCs w:val="21"/>
              </w:rPr>
              <w:t>信息内容</w:t>
            </w:r>
          </w:p>
        </w:tc>
        <w:tc>
          <w:tcPr>
            <w:tcW w:w="5618" w:type="dxa"/>
            <w:gridSpan w:val="3"/>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68" w:line="420" w:lineRule="exact"/>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4"/>
                <w:sz w:val="21"/>
                <w:szCs w:val="21"/>
              </w:rPr>
              <w:t>本年收费金额(单位：万元)</w:t>
            </w:r>
          </w:p>
        </w:tc>
      </w:tr>
      <w:tr>
        <w:tblPrEx>
          <w:tblLayout w:type="fixed"/>
          <w:tblCellMar>
            <w:top w:w="0" w:type="dxa"/>
            <w:left w:w="0" w:type="dxa"/>
            <w:bottom w:w="0" w:type="dxa"/>
            <w:right w:w="0" w:type="dxa"/>
          </w:tblCellMar>
        </w:tblPrEx>
        <w:trPr>
          <w:trHeight w:val="266" w:hRule="atLeast"/>
          <w:jc w:val="center"/>
        </w:trPr>
        <w:tc>
          <w:tcPr>
            <w:tcW w:w="3129" w:type="dxa"/>
            <w:tcBorders>
              <w:top w:val="single" w:color="auto" w:sz="8" w:space="0"/>
              <w:left w:val="single" w:color="auto" w:sz="8" w:space="0"/>
              <w:bottom w:val="single" w:color="auto" w:sz="8" w:space="0"/>
              <w:right w:val="single" w:color="auto" w:sz="8" w:space="0"/>
            </w:tcBorders>
            <w:vAlign w:val="center"/>
          </w:tcPr>
          <w:p>
            <w:pPr>
              <w:pStyle w:val="14"/>
              <w:keepNext w:val="0"/>
              <w:keepLines w:val="0"/>
              <w:pageBreakBefore w:val="0"/>
              <w:widowControl w:val="0"/>
              <w:kinsoku/>
              <w:wordWrap/>
              <w:overflowPunct/>
              <w:topLinePunct w:val="0"/>
              <w:autoSpaceDE/>
              <w:autoSpaceDN/>
              <w:bidi w:val="0"/>
              <w:adjustRightInd/>
              <w:snapToGrid/>
              <w:spacing w:before="60" w:line="420" w:lineRule="exact"/>
              <w:ind w:left="85" w:leftChars="0"/>
              <w:jc w:val="center"/>
              <w:textAlignment w:val="auto"/>
              <w:rPr>
                <w:rFonts w:hint="eastAsia" w:ascii="仿宋_GB2312" w:hAnsi="仿宋_GB2312" w:eastAsia="仿宋_GB2312" w:cs="仿宋_GB2312"/>
                <w:color w:val="333333"/>
                <w:sz w:val="21"/>
                <w:szCs w:val="21"/>
              </w:rPr>
            </w:pPr>
            <w:r>
              <w:rPr>
                <w:rFonts w:hint="eastAsia" w:ascii="仿宋_GB2312" w:hAnsi="仿宋_GB2312" w:eastAsia="仿宋_GB2312" w:cs="仿宋_GB2312"/>
                <w:spacing w:val="2"/>
                <w:sz w:val="21"/>
                <w:szCs w:val="21"/>
              </w:rPr>
              <w:t>行政事业性收费</w:t>
            </w:r>
          </w:p>
        </w:tc>
        <w:tc>
          <w:tcPr>
            <w:tcW w:w="5618" w:type="dxa"/>
            <w:gridSpan w:val="3"/>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333333"/>
                <w:sz w:val="21"/>
                <w:szCs w:val="21"/>
                <w:lang w:val="en-US" w:eastAsia="zh-CN"/>
              </w:rPr>
            </w:pPr>
            <w:r>
              <w:rPr>
                <w:rFonts w:hint="eastAsia" w:ascii="仿宋_GB2312" w:hAnsi="仿宋_GB2312" w:eastAsia="仿宋_GB2312" w:cs="仿宋_GB2312"/>
                <w:color w:val="333333"/>
                <w:sz w:val="21"/>
                <w:szCs w:val="21"/>
                <w:lang w:val="en-US" w:eastAsia="zh-CN"/>
              </w:rPr>
              <w:t>0</w:t>
            </w:r>
          </w:p>
        </w:tc>
      </w:tr>
    </w:tbl>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三、收到和处理政府信息公开申请情况</w:t>
      </w:r>
    </w:p>
    <w:tbl>
      <w:tblPr>
        <w:tblStyle w:val="12"/>
        <w:tblW w:w="8800" w:type="dxa"/>
        <w:jc w:val="center"/>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748"/>
        <w:gridCol w:w="762"/>
        <w:gridCol w:w="3117"/>
        <w:gridCol w:w="573"/>
        <w:gridCol w:w="617"/>
        <w:gridCol w:w="650"/>
        <w:gridCol w:w="733"/>
        <w:gridCol w:w="634"/>
        <w:gridCol w:w="549"/>
        <w:gridCol w:w="41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88" w:hRule="atLeast"/>
          <w:jc w:val="center"/>
        </w:trPr>
        <w:tc>
          <w:tcPr>
            <w:tcW w:w="4627" w:type="dxa"/>
            <w:gridSpan w:val="3"/>
            <w:vMerge w:val="restart"/>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pStyle w:val="14"/>
              <w:spacing w:before="75" w:line="206" w:lineRule="auto"/>
              <w:ind w:left="185" w:leftChars="0" w:right="259" w:rightChars="0" w:firstLine="109" w:firstLineChars="0"/>
              <w:jc w:val="center"/>
              <w:rPr>
                <w:rFonts w:hint="eastAsia" w:ascii="仿宋_GB2312" w:hAnsi="仿宋_GB2312" w:eastAsia="仿宋_GB2312" w:cs="仿宋_GB2312"/>
                <w:color w:val="000000"/>
              </w:rPr>
            </w:pPr>
            <w:r>
              <w:rPr>
                <w:rFonts w:hint="eastAsia" w:ascii="仿宋_GB2312" w:hAnsi="仿宋_GB2312" w:eastAsia="仿宋_GB2312" w:cs="仿宋_GB2312"/>
                <w:sz w:val="21"/>
                <w:szCs w:val="21"/>
              </w:rPr>
              <w:t>(本列数据的勾稽关系为：第一项加第</w:t>
            </w:r>
            <w:r>
              <w:rPr>
                <w:rFonts w:hint="eastAsia" w:ascii="仿宋_GB2312" w:hAnsi="仿宋_GB2312" w:eastAsia="仿宋_GB2312" w:cs="仿宋_GB2312"/>
                <w:spacing w:val="2"/>
                <w:sz w:val="21"/>
                <w:szCs w:val="21"/>
              </w:rPr>
              <w:t>二项之和，等于第三项加第四项之和)</w:t>
            </w:r>
          </w:p>
        </w:tc>
        <w:tc>
          <w:tcPr>
            <w:tcW w:w="4173" w:type="dxa"/>
            <w:gridSpan w:val="7"/>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申请人情况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4627" w:type="dxa"/>
            <w:gridSpan w:val="3"/>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jc w:val="center"/>
              <w:rPr>
                <w:rFonts w:hint="eastAsia" w:ascii="仿宋_GB2312" w:hAnsi="仿宋_GB2312" w:eastAsia="仿宋_GB2312" w:cs="仿宋_GB2312"/>
                <w:color w:val="000000"/>
                <w:sz w:val="24"/>
                <w:szCs w:val="24"/>
              </w:rPr>
            </w:pPr>
          </w:p>
        </w:tc>
        <w:tc>
          <w:tcPr>
            <w:tcW w:w="573" w:type="dxa"/>
            <w:vMerge w:val="restart"/>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自然人</w:t>
            </w:r>
          </w:p>
        </w:tc>
        <w:tc>
          <w:tcPr>
            <w:tcW w:w="3183" w:type="dxa"/>
            <w:gridSpan w:val="5"/>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法人或其他组织</w:t>
            </w:r>
          </w:p>
        </w:tc>
        <w:tc>
          <w:tcPr>
            <w:tcW w:w="417" w:type="dxa"/>
            <w:vMerge w:val="restart"/>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总计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1410" w:hRule="atLeast"/>
          <w:jc w:val="center"/>
        </w:trPr>
        <w:tc>
          <w:tcPr>
            <w:tcW w:w="4627" w:type="dxa"/>
            <w:gridSpan w:val="3"/>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jc w:val="center"/>
              <w:rPr>
                <w:rFonts w:hint="eastAsia" w:ascii="仿宋_GB2312" w:hAnsi="仿宋_GB2312" w:eastAsia="仿宋_GB2312" w:cs="仿宋_GB2312"/>
                <w:color w:val="000000"/>
                <w:sz w:val="24"/>
                <w:szCs w:val="24"/>
              </w:rPr>
            </w:pPr>
          </w:p>
        </w:tc>
        <w:tc>
          <w:tcPr>
            <w:tcW w:w="573"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商业企业</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科研机构</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社会公益组织</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法律服务机构</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其他</w:t>
            </w:r>
          </w:p>
        </w:tc>
        <w:tc>
          <w:tcPr>
            <w:tcW w:w="417"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textDirection w:val="tbRlV"/>
            <w:vAlign w:val="center"/>
          </w:tcPr>
          <w:p>
            <w:pPr>
              <w:jc w:val="center"/>
              <w:rPr>
                <w:rFonts w:hint="eastAsia" w:ascii="仿宋_GB2312" w:hAnsi="仿宋_GB2312" w:eastAsia="仿宋_GB2312" w:cs="仿宋_GB2312"/>
                <w:color w:val="000000"/>
                <w:sz w:val="20"/>
                <w:szCs w:val="20"/>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4627" w:type="dxa"/>
            <w:gridSpan w:val="3"/>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pStyle w:val="14"/>
              <w:keepNext w:val="0"/>
              <w:keepLines w:val="0"/>
              <w:pageBreakBefore w:val="0"/>
              <w:wordWrap/>
              <w:overflowPunct/>
              <w:topLinePunct w:val="0"/>
              <w:bidi w:val="0"/>
              <w:spacing w:line="420" w:lineRule="exact"/>
              <w:ind w:left="95" w:leftChars="0"/>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pacing w:val="-1"/>
                <w:sz w:val="21"/>
                <w:szCs w:val="21"/>
              </w:rPr>
              <w:t>一、本年新收政府信息公开申请数量</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eastAsia="zh-CN"/>
              </w:rPr>
            </w:pPr>
            <w:r>
              <w:rPr>
                <w:rFonts w:hint="default" w:ascii="仿宋_GB2312" w:hAnsi="仿宋_GB2312" w:eastAsia="仿宋_GB2312" w:cs="仿宋_GB2312"/>
                <w:color w:val="000000"/>
                <w:sz w:val="24"/>
                <w:szCs w:val="24"/>
                <w:lang w:val="en" w:eastAsia="zh-C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eastAsia="zh-CN"/>
              </w:rPr>
            </w:pPr>
            <w:r>
              <w:rPr>
                <w:rFonts w:hint="default" w:ascii="仿宋_GB2312" w:hAnsi="仿宋_GB2312" w:eastAsia="仿宋_GB2312" w:cs="仿宋_GB2312"/>
                <w:color w:val="000000"/>
                <w:sz w:val="24"/>
                <w:szCs w:val="24"/>
                <w:lang w:val="en" w:eastAsia="zh-C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eastAsia="zh-CN"/>
              </w:rPr>
            </w:pPr>
            <w:r>
              <w:rPr>
                <w:rFonts w:hint="default" w:ascii="仿宋_GB2312" w:hAnsi="仿宋_GB2312" w:eastAsia="仿宋_GB2312" w:cs="仿宋_GB2312"/>
                <w:color w:val="000000"/>
                <w:sz w:val="24"/>
                <w:szCs w:val="24"/>
                <w:lang w:val="en" w:eastAsia="zh-C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eastAsia="zh-CN"/>
              </w:rPr>
            </w:pPr>
            <w:r>
              <w:rPr>
                <w:rFonts w:hint="default" w:ascii="仿宋_GB2312" w:hAnsi="仿宋_GB2312" w:eastAsia="仿宋_GB2312" w:cs="仿宋_GB2312"/>
                <w:color w:val="000000"/>
                <w:sz w:val="24"/>
                <w:szCs w:val="24"/>
                <w:lang w:val="en" w:eastAsia="zh-C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eastAsia="zh-CN"/>
              </w:rPr>
            </w:pPr>
            <w:r>
              <w:rPr>
                <w:rFonts w:hint="default" w:ascii="仿宋_GB2312" w:hAnsi="仿宋_GB2312" w:eastAsia="仿宋_GB2312" w:cs="仿宋_GB2312"/>
                <w:color w:val="000000"/>
                <w:sz w:val="24"/>
                <w:szCs w:val="24"/>
                <w:lang w:val="en" w:eastAsia="zh-C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eastAsia="zh-CN"/>
              </w:rPr>
            </w:pPr>
            <w:r>
              <w:rPr>
                <w:rFonts w:hint="default" w:ascii="仿宋_GB2312" w:hAnsi="仿宋_GB2312" w:eastAsia="仿宋_GB2312" w:cs="仿宋_GB2312"/>
                <w:color w:val="000000"/>
                <w:sz w:val="24"/>
                <w:szCs w:val="24"/>
                <w:lang w:val="en" w:eastAsia="zh-C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eastAsia="zh-CN"/>
              </w:rPr>
            </w:pPr>
            <w:r>
              <w:rPr>
                <w:rFonts w:hint="default" w:ascii="仿宋_GB2312" w:hAnsi="仿宋_GB2312" w:eastAsia="仿宋_GB2312" w:cs="仿宋_GB2312"/>
                <w:color w:val="000000"/>
                <w:sz w:val="24"/>
                <w:szCs w:val="24"/>
                <w:lang w:val="en" w:eastAsia="zh-C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4627" w:type="dxa"/>
            <w:gridSpan w:val="3"/>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pStyle w:val="14"/>
              <w:keepNext w:val="0"/>
              <w:keepLines w:val="0"/>
              <w:pageBreakBefore w:val="0"/>
              <w:wordWrap/>
              <w:overflowPunct/>
              <w:topLinePunct w:val="0"/>
              <w:bidi w:val="0"/>
              <w:spacing w:line="420" w:lineRule="exact"/>
              <w:ind w:left="95" w:leftChars="0"/>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二、上年结转政府信息公开申请数量</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restart"/>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pStyle w:val="14"/>
              <w:keepNext w:val="0"/>
              <w:keepLines w:val="0"/>
              <w:pageBreakBefore w:val="0"/>
              <w:wordWrap/>
              <w:overflowPunct/>
              <w:topLinePunct w:val="0"/>
              <w:bidi w:val="0"/>
              <w:spacing w:line="42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22"/>
                <w:sz w:val="21"/>
                <w:szCs w:val="21"/>
              </w:rPr>
              <w:t>三、</w:t>
            </w:r>
          </w:p>
          <w:p>
            <w:pPr>
              <w:pStyle w:val="14"/>
              <w:keepNext w:val="0"/>
              <w:keepLines w:val="0"/>
              <w:pageBreakBefore w:val="0"/>
              <w:wordWrap/>
              <w:overflowPunct/>
              <w:topLinePunct w:val="0"/>
              <w:bidi w:val="0"/>
              <w:spacing w:line="420" w:lineRule="exact"/>
              <w:ind w:left="105"/>
              <w:jc w:val="left"/>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本年</w:t>
            </w:r>
          </w:p>
          <w:p>
            <w:pPr>
              <w:pStyle w:val="14"/>
              <w:keepNext w:val="0"/>
              <w:keepLines w:val="0"/>
              <w:pageBreakBefore w:val="0"/>
              <w:wordWrap/>
              <w:overflowPunct/>
              <w:topLinePunct w:val="0"/>
              <w:bidi w:val="0"/>
              <w:spacing w:line="420" w:lineRule="exact"/>
              <w:ind w:left="105"/>
              <w:jc w:val="left"/>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度办</w:t>
            </w:r>
          </w:p>
          <w:p>
            <w:pPr>
              <w:pStyle w:val="14"/>
              <w:keepNext w:val="0"/>
              <w:keepLines w:val="0"/>
              <w:pageBreakBefore w:val="0"/>
              <w:wordWrap/>
              <w:overflowPunct/>
              <w:topLinePunct w:val="0"/>
              <w:bidi w:val="0"/>
              <w:spacing w:line="420" w:lineRule="exact"/>
              <w:ind w:left="105"/>
              <w:jc w:val="left"/>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理结</w:t>
            </w:r>
          </w:p>
          <w:p>
            <w:pPr>
              <w:pStyle w:val="14"/>
              <w:keepNext w:val="0"/>
              <w:keepLines w:val="0"/>
              <w:pageBreakBefore w:val="0"/>
              <w:wordWrap/>
              <w:overflowPunct/>
              <w:topLinePunct w:val="0"/>
              <w:bidi w:val="0"/>
              <w:spacing w:line="420" w:lineRule="exact"/>
              <w:ind w:left="225" w:leftChars="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sz w:val="21"/>
                <w:szCs w:val="21"/>
              </w:rPr>
              <w:t>果</w:t>
            </w:r>
          </w:p>
        </w:tc>
        <w:tc>
          <w:tcPr>
            <w:tcW w:w="3879" w:type="dxa"/>
            <w:gridSpan w:val="2"/>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(一)予以公开</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26"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3879" w:type="dxa"/>
            <w:gridSpan w:val="2"/>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105" w:firstLineChars="50"/>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(二)部分公开(区分处理的，只计这一情形，不计其他情形)</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36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36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36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36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36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36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36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restart"/>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rPr>
              <w:t>(三)不予公开</w:t>
            </w: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1.属于国家秘密</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2.其他法律行政法规禁止公开</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3.危及“三安全一稳定”</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4.保护第三方合法权益</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5.属于三类内部事务信息</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6.属于四类过程性信息</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7.属于行政执法案卷</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8.属于行政查询事项</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07"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restart"/>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rPr>
              <w:t>(四)无法提供</w:t>
            </w: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1.本机关不掌握相关政府信息</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7"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2.没有现成信息需要另行制作</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4"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left"/>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3.补正后申请内容仍不明确</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restart"/>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rPr>
              <w:t>(五)不予处理</w:t>
            </w: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both"/>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1.信访举报投诉类申请</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both"/>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2.重复申请</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both"/>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3.要求提供公开出版物</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52"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both"/>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4.无正当理由大量反复申请</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26"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both"/>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5.要求行政机关确认或重新出具已获取信息</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66"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restart"/>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both"/>
              <w:rPr>
                <w:rFonts w:hint="eastAsia" w:ascii="仿宋_GB2312" w:hAnsi="仿宋_GB2312" w:eastAsia="仿宋_GB2312" w:cs="仿宋_GB2312"/>
                <w:color w:val="000000"/>
                <w:sz w:val="20"/>
                <w:szCs w:val="20"/>
              </w:rPr>
            </w:pPr>
            <w:r>
              <w:rPr>
                <w:rFonts w:hint="eastAsia" w:ascii="仿宋_GB2312" w:hAnsi="仿宋_GB2312" w:eastAsia="仿宋_GB2312" w:cs="仿宋_GB2312"/>
              </w:rPr>
              <w:t>(六)其他处理</w:t>
            </w: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both"/>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1.申请人无正当理由逾期不补正、行政机关不再处理其政府信息公开申请</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08"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both"/>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2.申请人逾期未按收费通知要求缴纳费用、行政机关不再处理其政府信息公开申请</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lang w:val="en"/>
              </w:rPr>
            </w:pPr>
            <w:r>
              <w:rPr>
                <w:rFonts w:hint="default" w:ascii="仿宋_GB2312" w:hAnsi="仿宋_GB2312" w:eastAsia="仿宋_GB2312" w:cs="仿宋_GB2312"/>
                <w:color w:val="000000"/>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37"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762"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rPr>
                <w:rFonts w:hint="eastAsia" w:ascii="仿宋_GB2312" w:hAnsi="仿宋_GB2312" w:eastAsia="仿宋_GB2312" w:cs="仿宋_GB2312"/>
                <w:color w:val="000000"/>
                <w:sz w:val="20"/>
                <w:szCs w:val="20"/>
              </w:rPr>
            </w:pPr>
          </w:p>
        </w:tc>
        <w:tc>
          <w:tcPr>
            <w:tcW w:w="31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ind w:firstLine="105" w:firstLineChars="50"/>
              <w:jc w:val="both"/>
              <w:textAlignment w:val="baseline"/>
              <w:rPr>
                <w:rFonts w:hint="eastAsia" w:ascii="仿宋_GB2312" w:hAnsi="仿宋_GB2312" w:eastAsia="仿宋_GB2312" w:cs="仿宋_GB2312"/>
                <w:color w:val="000000"/>
                <w:sz w:val="20"/>
                <w:szCs w:val="20"/>
              </w:rPr>
            </w:pPr>
            <w:r>
              <w:rPr>
                <w:rFonts w:hint="eastAsia" w:ascii="仿宋_GB2312" w:hAnsi="仿宋_GB2312" w:eastAsia="仿宋_GB2312" w:cs="仿宋_GB2312"/>
              </w:rPr>
              <w:t>3.其他</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213" w:hRule="atLeast"/>
          <w:jc w:val="center"/>
        </w:trPr>
        <w:tc>
          <w:tcPr>
            <w:tcW w:w="748" w:type="dxa"/>
            <w:vMerge w:val="continue"/>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top"/>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p>
        </w:tc>
        <w:tc>
          <w:tcPr>
            <w:tcW w:w="3879" w:type="dxa"/>
            <w:gridSpan w:val="2"/>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rPr>
              <w:t>(七)总计</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2" w:hRule="atLeast"/>
          <w:jc w:val="center"/>
        </w:trPr>
        <w:tc>
          <w:tcPr>
            <w:tcW w:w="4627" w:type="dxa"/>
            <w:gridSpan w:val="3"/>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rPr>
              <w:t>四、结转下年度继续办理</w:t>
            </w:r>
          </w:p>
        </w:tc>
        <w:tc>
          <w:tcPr>
            <w:tcW w:w="57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50"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733"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634"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549"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c>
          <w:tcPr>
            <w:tcW w:w="417" w:type="dxa"/>
            <w:tcBorders>
              <w:top w:val="single" w:color="666666" w:sz="6" w:space="0"/>
              <w:left w:val="single" w:color="666666" w:sz="6" w:space="0"/>
              <w:bottom w:val="single" w:color="666666" w:sz="6" w:space="0"/>
              <w:right w:val="single" w:color="666666" w:sz="6" w:space="0"/>
            </w:tcBorders>
            <w:tcMar>
              <w:top w:w="30" w:type="dxa"/>
              <w:left w:w="75" w:type="dxa"/>
              <w:bottom w:w="30" w:type="dxa"/>
              <w:right w:w="75" w:type="dxa"/>
            </w:tcMar>
            <w:vAlign w:val="center"/>
          </w:tcPr>
          <w:p>
            <w:pPr>
              <w:keepNext w:val="0"/>
              <w:keepLines w:val="0"/>
              <w:pageBreakBefore w:val="0"/>
              <w:wordWrap/>
              <w:overflowPunct/>
              <w:topLinePunct w:val="0"/>
              <w:bidi w:val="0"/>
              <w:spacing w:line="420" w:lineRule="exact"/>
              <w:jc w:val="center"/>
              <w:rPr>
                <w:rFonts w:hint="default" w:ascii="仿宋_GB2312" w:hAnsi="仿宋_GB2312" w:eastAsia="仿宋_GB2312" w:cs="仿宋_GB2312"/>
                <w:color w:val="000000"/>
                <w:sz w:val="24"/>
                <w:szCs w:val="24"/>
                <w:lang w:val="en"/>
              </w:rPr>
            </w:pPr>
            <w:r>
              <w:rPr>
                <w:rFonts w:hint="default" w:ascii="仿宋_GB2312" w:hAnsi="仿宋_GB2312" w:eastAsia="仿宋_GB2312" w:cs="仿宋_GB2312"/>
                <w:color w:val="000000"/>
                <w:sz w:val="24"/>
                <w:szCs w:val="24"/>
                <w:lang w:val="en"/>
              </w:rPr>
              <w:t>0</w:t>
            </w:r>
          </w:p>
        </w:tc>
      </w:tr>
    </w:tbl>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sz w:val="32"/>
          <w:szCs w:val="32"/>
          <w:highlight w:val="none"/>
          <w:lang w:val="en" w:eastAsia="zh-CN"/>
        </w:rPr>
      </w:pPr>
      <w:r>
        <w:rPr>
          <w:rFonts w:hint="eastAsia" w:ascii="黑体" w:hAnsi="黑体" w:eastAsia="黑体" w:cs="黑体"/>
          <w:b w:val="0"/>
          <w:bCs/>
          <w:sz w:val="32"/>
          <w:szCs w:val="32"/>
          <w:highlight w:val="none"/>
          <w:lang w:val="en" w:eastAsia="zh-CN"/>
        </w:rPr>
        <w:t>四、政府信息公开行政复议、行政诉讼情况</w:t>
      </w:r>
    </w:p>
    <w:tbl>
      <w:tblPr>
        <w:tblStyle w:val="10"/>
        <w:tblW w:w="8887" w:type="dxa"/>
        <w:jc w:val="center"/>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45"/>
        <w:gridCol w:w="600"/>
        <w:gridCol w:w="600"/>
        <w:gridCol w:w="600"/>
        <w:gridCol w:w="601"/>
        <w:gridCol w:w="601"/>
        <w:gridCol w:w="601"/>
        <w:gridCol w:w="601"/>
        <w:gridCol w:w="602"/>
        <w:gridCol w:w="602"/>
        <w:gridCol w:w="601"/>
        <w:gridCol w:w="602"/>
        <w:gridCol w:w="603"/>
        <w:gridCol w:w="603"/>
        <w:gridCol w:w="5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16" w:hRule="atLeast"/>
          <w:jc w:val="center"/>
        </w:trPr>
        <w:tc>
          <w:tcPr>
            <w:tcW w:w="2946"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行政复议</w:t>
            </w:r>
          </w:p>
        </w:tc>
        <w:tc>
          <w:tcPr>
            <w:tcW w:w="5941" w:type="dxa"/>
            <w:gridSpan w:val="10"/>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70" w:hRule="atLeast"/>
          <w:jc w:val="center"/>
        </w:trPr>
        <w:tc>
          <w:tcPr>
            <w:tcW w:w="545" w:type="dxa"/>
            <w:vMerge w:val="restart"/>
            <w:tcBorders>
              <w:top w:val="nil"/>
              <w:left w:val="single" w:color="auto" w:sz="8" w:space="0"/>
              <w:bottom w:val="single" w:color="auto" w:sz="8"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结果维持</w:t>
            </w:r>
          </w:p>
        </w:tc>
        <w:tc>
          <w:tcPr>
            <w:tcW w:w="600" w:type="dxa"/>
            <w:vMerge w:val="restart"/>
            <w:tcBorders>
              <w:top w:val="nil"/>
              <w:left w:val="single" w:color="auto" w:sz="8" w:space="0"/>
              <w:bottom w:val="single" w:color="auto" w:sz="8"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结果纠正</w:t>
            </w:r>
          </w:p>
        </w:tc>
        <w:tc>
          <w:tcPr>
            <w:tcW w:w="600" w:type="dxa"/>
            <w:vMerge w:val="restart"/>
            <w:tcBorders>
              <w:top w:val="single" w:color="auto" w:sz="8" w:space="0"/>
              <w:left w:val="single" w:color="auto" w:sz="8" w:space="0"/>
              <w:bottom w:val="single" w:color="auto" w:sz="8"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其他结果</w:t>
            </w:r>
          </w:p>
        </w:tc>
        <w:tc>
          <w:tcPr>
            <w:tcW w:w="600" w:type="dxa"/>
            <w:vMerge w:val="restart"/>
            <w:tcBorders>
              <w:top w:val="single" w:color="auto" w:sz="8" w:space="0"/>
              <w:left w:val="single" w:color="auto" w:sz="8" w:space="0"/>
              <w:bottom w:val="single" w:color="auto" w:sz="8"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尚未审结</w:t>
            </w:r>
          </w:p>
        </w:tc>
        <w:tc>
          <w:tcPr>
            <w:tcW w:w="601" w:type="dxa"/>
            <w:vMerge w:val="restart"/>
            <w:tcBorders>
              <w:top w:val="single" w:color="auto" w:sz="8" w:space="0"/>
              <w:left w:val="single" w:color="auto" w:sz="8" w:space="0"/>
              <w:bottom w:val="single" w:color="auto" w:sz="8"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总计</w:t>
            </w:r>
          </w:p>
        </w:tc>
        <w:tc>
          <w:tcPr>
            <w:tcW w:w="3007"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未经复议直接起诉</w:t>
            </w:r>
          </w:p>
        </w:tc>
        <w:tc>
          <w:tcPr>
            <w:tcW w:w="2934"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1123" w:hRule="atLeast"/>
          <w:jc w:val="center"/>
        </w:trPr>
        <w:tc>
          <w:tcPr>
            <w:tcW w:w="545" w:type="dxa"/>
            <w:vMerge w:val="continue"/>
            <w:tcBorders>
              <w:top w:val="nil"/>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4"/>
                <w:szCs w:val="24"/>
              </w:rPr>
            </w:pPr>
          </w:p>
        </w:tc>
        <w:tc>
          <w:tcPr>
            <w:tcW w:w="600" w:type="dxa"/>
            <w:vMerge w:val="continue"/>
            <w:tcBorders>
              <w:top w:val="nil"/>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4"/>
                <w:szCs w:val="24"/>
              </w:rPr>
            </w:pPr>
          </w:p>
        </w:tc>
        <w:tc>
          <w:tcPr>
            <w:tcW w:w="600" w:type="dxa"/>
            <w:vMerge w:val="continue"/>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4"/>
                <w:szCs w:val="24"/>
              </w:rPr>
            </w:pPr>
          </w:p>
        </w:tc>
        <w:tc>
          <w:tcPr>
            <w:tcW w:w="600" w:type="dxa"/>
            <w:vMerge w:val="continue"/>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4"/>
                <w:szCs w:val="24"/>
              </w:rPr>
            </w:pPr>
          </w:p>
        </w:tc>
        <w:tc>
          <w:tcPr>
            <w:tcW w:w="601" w:type="dxa"/>
            <w:vMerge w:val="continue"/>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4"/>
                <w:szCs w:val="24"/>
              </w:rPr>
            </w:pPr>
          </w:p>
        </w:tc>
        <w:tc>
          <w:tcPr>
            <w:tcW w:w="601" w:type="dxa"/>
            <w:tcBorders>
              <w:top w:val="nil"/>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结果维持</w:t>
            </w:r>
          </w:p>
        </w:tc>
        <w:tc>
          <w:tcPr>
            <w:tcW w:w="601" w:type="dxa"/>
            <w:tcBorders>
              <w:top w:val="nil"/>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结果纠正</w:t>
            </w:r>
          </w:p>
        </w:tc>
        <w:tc>
          <w:tcPr>
            <w:tcW w:w="601" w:type="dxa"/>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其他结果</w:t>
            </w:r>
          </w:p>
        </w:tc>
        <w:tc>
          <w:tcPr>
            <w:tcW w:w="602" w:type="dxa"/>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尚未审结</w:t>
            </w:r>
          </w:p>
        </w:tc>
        <w:tc>
          <w:tcPr>
            <w:tcW w:w="602" w:type="dxa"/>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总计</w:t>
            </w:r>
          </w:p>
        </w:tc>
        <w:tc>
          <w:tcPr>
            <w:tcW w:w="601" w:type="dxa"/>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结果维持</w:t>
            </w:r>
          </w:p>
        </w:tc>
        <w:tc>
          <w:tcPr>
            <w:tcW w:w="602" w:type="dxa"/>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结果纠正</w:t>
            </w:r>
          </w:p>
        </w:tc>
        <w:tc>
          <w:tcPr>
            <w:tcW w:w="603" w:type="dxa"/>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其他结果</w:t>
            </w:r>
          </w:p>
        </w:tc>
        <w:tc>
          <w:tcPr>
            <w:tcW w:w="603" w:type="dxa"/>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尚未审结</w:t>
            </w:r>
          </w:p>
        </w:tc>
        <w:tc>
          <w:tcPr>
            <w:tcW w:w="525" w:type="dxa"/>
            <w:tcBorders>
              <w:top w:val="single" w:color="auto" w:sz="8" w:space="0"/>
              <w:left w:val="single" w:color="auto" w:sz="8" w:space="0"/>
              <w:bottom w:val="single" w:color="auto" w:sz="4" w:space="0"/>
              <w:right w:val="single" w:color="auto" w:sz="8" w:space="0"/>
            </w:tcBorders>
            <w:tcMar>
              <w:left w:w="108" w:type="dxa"/>
              <w:right w:w="108" w:type="dxa"/>
            </w:tcMar>
            <w:textDirection w:val="tbRlV"/>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701" w:hRule="atLeast"/>
          <w:jc w:val="center"/>
        </w:trPr>
        <w:tc>
          <w:tcPr>
            <w:tcW w:w="545"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2"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2"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2"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60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lang w:val="en"/>
              </w:rPr>
            </w:pPr>
            <w:r>
              <w:rPr>
                <w:rFonts w:hint="default" w:ascii="仿宋_GB2312" w:hAnsi="仿宋_GB2312" w:eastAsia="仿宋_GB2312" w:cs="仿宋_GB2312"/>
                <w:lang w:val="en"/>
              </w:rPr>
              <w:t>0</w:t>
            </w:r>
          </w:p>
        </w:tc>
        <w:tc>
          <w:tcPr>
            <w:tcW w:w="525"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4"/>
                <w:szCs w:val="24"/>
                <w:lang w:val="en"/>
              </w:rPr>
            </w:pPr>
            <w:r>
              <w:rPr>
                <w:rFonts w:hint="default" w:ascii="仿宋_GB2312" w:hAnsi="仿宋_GB2312" w:eastAsia="仿宋_GB2312" w:cs="仿宋_GB2312"/>
                <w:sz w:val="24"/>
                <w:szCs w:val="24"/>
                <w:lang w:val="en"/>
              </w:rPr>
              <w:t>0</w:t>
            </w:r>
          </w:p>
        </w:tc>
      </w:tr>
    </w:tbl>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五、存在的主要问题及改进情况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和田地区退役军人事务局</w:t>
      </w:r>
      <w:r>
        <w:rPr>
          <w:rFonts w:hint="eastAsia" w:ascii="仿宋_GB2312" w:hAnsi="仿宋_GB2312" w:eastAsia="仿宋_GB2312" w:cs="仿宋_GB2312"/>
          <w:sz w:val="32"/>
          <w:szCs w:val="32"/>
        </w:rPr>
        <w:t>政府政务公开工作扎实推进，</w:t>
      </w:r>
      <w:r>
        <w:rPr>
          <w:rFonts w:hint="eastAsia" w:ascii="仿宋_GB2312" w:hAnsi="仿宋_GB2312" w:eastAsia="仿宋_GB2312" w:cs="仿宋_GB2312"/>
          <w:sz w:val="32"/>
          <w:szCs w:val="32"/>
          <w:lang w:eastAsia="zh-CN"/>
        </w:rPr>
        <w:t>虽然</w:t>
      </w:r>
      <w:r>
        <w:rPr>
          <w:rFonts w:hint="eastAsia" w:ascii="仿宋_GB2312" w:hAnsi="仿宋_GB2312" w:eastAsia="仿宋_GB2312" w:cs="仿宋_GB2312"/>
          <w:sz w:val="32"/>
          <w:szCs w:val="32"/>
        </w:rPr>
        <w:t>取得了一定成效，但在落实过程中还存在一些问题：</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对信息公开政策掌握不够深入，信息公开形式单一，信息质量需要进一步提高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lang w:eastAsia="zh-CN"/>
        </w:rPr>
        <w:t>干部职工</w:t>
      </w:r>
      <w:r>
        <w:rPr>
          <w:rFonts w:hint="eastAsia" w:ascii="仿宋_GB2312" w:hAnsi="仿宋_GB2312" w:eastAsia="仿宋_GB2312" w:cs="仿宋_GB2312"/>
          <w:sz w:val="32"/>
          <w:szCs w:val="32"/>
        </w:rPr>
        <w:t>对政务公开的重要性认识不足，思想上没有引起足够重视，工作上缺乏主动性和积极性，不能及时进行政务信息公开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rPr>
        <w:t>对涉及</w:t>
      </w:r>
      <w:bookmarkStart w:id="0" w:name="_GoBack"/>
      <w:bookmarkEnd w:id="0"/>
      <w:r>
        <w:rPr>
          <w:rFonts w:hint="eastAsia" w:ascii="仿宋_GB2312" w:hAnsi="仿宋_GB2312" w:eastAsia="仿宋_GB2312" w:cs="仿宋_GB2312"/>
          <w:sz w:val="32"/>
          <w:szCs w:val="32"/>
        </w:rPr>
        <w:t>退役军人相关的优待政策</w:t>
      </w:r>
      <w:r>
        <w:rPr>
          <w:rFonts w:hint="eastAsia" w:ascii="仿宋_GB2312" w:hAnsi="仿宋_GB2312" w:eastAsia="仿宋_GB2312" w:cs="仿宋_GB2312"/>
          <w:sz w:val="32"/>
          <w:szCs w:val="32"/>
          <w:lang w:eastAsia="zh-CN"/>
        </w:rPr>
        <w:t>及法律</w:t>
      </w:r>
      <w:r>
        <w:rPr>
          <w:rFonts w:hint="eastAsia" w:ascii="仿宋_GB2312" w:hAnsi="仿宋_GB2312" w:eastAsia="仿宋_GB2312" w:cs="仿宋_GB2312"/>
          <w:sz w:val="32"/>
          <w:szCs w:val="32"/>
        </w:rPr>
        <w:t>法规宣传、解读工作力度不足，造成退役军人对最新消息政策文件了解不到位的问题，需及时利用政府门户网站进行宣传。</w:t>
      </w:r>
    </w:p>
    <w:p>
      <w:pPr>
        <w:pStyle w:val="7"/>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firstLine="630"/>
        <w:textAlignment w:val="auto"/>
        <w:rPr>
          <w:rFonts w:hint="eastAsia" w:ascii="仿宋_GB2312" w:hAnsi="Times New Roman" w:eastAsia="仿宋_GB2312" w:cs="仿宋_GB2312"/>
          <w:sz w:val="28"/>
          <w:szCs w:val="28"/>
          <w:lang w:val="en-US" w:eastAsia="zh-CN"/>
        </w:rPr>
      </w:pPr>
      <w:r>
        <w:rPr>
          <w:rFonts w:hint="eastAsia" w:ascii="仿宋_GB2312" w:hAnsi="仿宋_GB2312" w:eastAsia="仿宋_GB2312" w:cs="仿宋_GB2312"/>
          <w:kern w:val="2"/>
          <w:sz w:val="32"/>
          <w:szCs w:val="32"/>
          <w:lang w:val="en-US" w:eastAsia="zh-CN" w:bidi="ar-SA"/>
        </w:rPr>
        <w:t>下一步，我局将深入贯彻习近平总书记关于政务公开工作的重要指示批示精神，围绕地委、行署政府信息公开工作各项要求，进一步抓紧各项落实。</w:t>
      </w:r>
      <w:r>
        <w:rPr>
          <w:rFonts w:hint="eastAsia" w:ascii="仿宋_GB2312" w:hAnsi="仿宋_GB2312" w:eastAsia="仿宋_GB2312" w:cs="仿宋_GB2312"/>
          <w:b/>
          <w:bCs/>
          <w:kern w:val="2"/>
          <w:sz w:val="32"/>
          <w:szCs w:val="32"/>
          <w:lang w:val="en-US" w:eastAsia="zh-CN" w:bidi="ar-SA"/>
        </w:rPr>
        <w:t>一是</w:t>
      </w:r>
      <w:r>
        <w:rPr>
          <w:rFonts w:hint="eastAsia" w:ascii="仿宋_GB2312" w:hAnsi="仿宋_GB2312" w:eastAsia="仿宋_GB2312" w:cs="仿宋_GB2312"/>
          <w:kern w:val="2"/>
          <w:sz w:val="32"/>
          <w:szCs w:val="32"/>
          <w:lang w:val="en-US" w:eastAsia="zh-CN" w:bidi="ar-SA"/>
        </w:rPr>
        <w:t>强化组织领导，</w:t>
      </w:r>
      <w:r>
        <w:rPr>
          <w:rFonts w:hint="default" w:ascii="仿宋_GB2312" w:hAnsi="仿宋_GB2312" w:eastAsia="仿宋_GB2312" w:cs="仿宋_GB2312"/>
          <w:kern w:val="2"/>
          <w:sz w:val="32"/>
          <w:szCs w:val="32"/>
          <w:lang w:val="en-US" w:eastAsia="zh-CN" w:bidi="ar-SA"/>
        </w:rPr>
        <w:t>提高认识，将政务公开工作纳入重要议事日程，</w:t>
      </w:r>
      <w:r>
        <w:rPr>
          <w:rFonts w:hint="eastAsia" w:ascii="仿宋_GB2312" w:hAnsi="仿宋_GB2312" w:eastAsia="仿宋_GB2312" w:cs="仿宋_GB2312"/>
          <w:kern w:val="2"/>
          <w:sz w:val="32"/>
          <w:szCs w:val="32"/>
          <w:lang w:val="en-US" w:eastAsia="zh-CN" w:bidi="ar-SA"/>
        </w:rPr>
        <w:t>进一步加强信息报送工作力度，推动政务公开</w:t>
      </w:r>
      <w:r>
        <w:rPr>
          <w:rFonts w:hint="default" w:ascii="仿宋_GB2312" w:hAnsi="仿宋_GB2312" w:eastAsia="仿宋_GB2312" w:cs="仿宋_GB2312"/>
          <w:kern w:val="2"/>
          <w:sz w:val="32"/>
          <w:szCs w:val="32"/>
          <w:lang w:val="en-US" w:eastAsia="zh-CN" w:bidi="ar-SA"/>
        </w:rPr>
        <w:t>工作常态化</w:t>
      </w:r>
      <w:r>
        <w:rPr>
          <w:rFonts w:hint="eastAsia" w:ascii="仿宋_GB2312" w:hAnsi="仿宋_GB2312" w:eastAsia="仿宋_GB2312" w:cs="仿宋_GB2312"/>
          <w:kern w:val="2"/>
          <w:sz w:val="32"/>
          <w:szCs w:val="32"/>
          <w:lang w:val="en-US" w:eastAsia="zh-CN" w:bidi="ar-SA"/>
        </w:rPr>
        <w:t>、规范化进行，确保退役军人的知情权、参与权、表达权和监督权得到落实；</w:t>
      </w:r>
      <w:r>
        <w:rPr>
          <w:rFonts w:hint="eastAsia"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kern w:val="2"/>
          <w:sz w:val="32"/>
          <w:szCs w:val="32"/>
          <w:lang w:val="en-US" w:eastAsia="zh-CN" w:bidi="ar-SA"/>
        </w:rPr>
        <w:t>持续深化学习，</w:t>
      </w:r>
      <w:r>
        <w:rPr>
          <w:rFonts w:hint="default" w:ascii="仿宋_GB2312" w:hAnsi="仿宋_GB2312" w:eastAsia="仿宋_GB2312" w:cs="仿宋_GB2312"/>
          <w:kern w:val="2"/>
          <w:sz w:val="32"/>
          <w:szCs w:val="32"/>
          <w:lang w:val="en-US" w:eastAsia="zh-CN" w:bidi="ar-SA"/>
        </w:rPr>
        <w:t>认真</w:t>
      </w:r>
      <w:r>
        <w:rPr>
          <w:rFonts w:hint="eastAsia" w:ascii="仿宋_GB2312" w:hAnsi="仿宋_GB2312" w:eastAsia="仿宋_GB2312" w:cs="仿宋_GB2312"/>
          <w:kern w:val="2"/>
          <w:sz w:val="32"/>
          <w:szCs w:val="32"/>
          <w:lang w:val="en-US" w:eastAsia="zh-CN" w:bidi="ar-SA"/>
        </w:rPr>
        <w:t>组织干部职工</w:t>
      </w:r>
      <w:r>
        <w:rPr>
          <w:rFonts w:hint="default" w:ascii="仿宋_GB2312" w:hAnsi="仿宋_GB2312" w:eastAsia="仿宋_GB2312" w:cs="仿宋_GB2312"/>
          <w:kern w:val="2"/>
          <w:sz w:val="32"/>
          <w:szCs w:val="32"/>
          <w:lang w:val="en-US" w:eastAsia="zh-CN" w:bidi="ar-SA"/>
        </w:rPr>
        <w:t>学习《政府信息公开条例》《关于政府信息公开工作年度报告有关事项的通知》</w:t>
      </w:r>
      <w:r>
        <w:rPr>
          <w:rFonts w:hint="eastAsia" w:ascii="仿宋_GB2312" w:hAnsi="仿宋_GB2312" w:eastAsia="仿宋_GB2312" w:cs="仿宋_GB2312"/>
          <w:kern w:val="2"/>
          <w:sz w:val="32"/>
          <w:szCs w:val="32"/>
          <w:lang w:val="en-US" w:eastAsia="zh-CN" w:bidi="ar-SA"/>
        </w:rPr>
        <w:t>（国办公开办函〔2019〕60号）等</w:t>
      </w:r>
      <w:r>
        <w:rPr>
          <w:rFonts w:hint="default" w:ascii="仿宋_GB2312" w:hAnsi="仿宋_GB2312" w:eastAsia="仿宋_GB2312" w:cs="仿宋_GB2312"/>
          <w:kern w:val="2"/>
          <w:sz w:val="32"/>
          <w:szCs w:val="32"/>
          <w:lang w:val="en-US" w:eastAsia="zh-CN" w:bidi="ar-SA"/>
        </w:rPr>
        <w:t>政务</w:t>
      </w:r>
      <w:r>
        <w:rPr>
          <w:rFonts w:hint="eastAsia" w:ascii="仿宋_GB2312" w:hAnsi="仿宋_GB2312" w:eastAsia="仿宋_GB2312" w:cs="仿宋_GB2312"/>
          <w:kern w:val="2"/>
          <w:sz w:val="32"/>
          <w:szCs w:val="32"/>
          <w:lang w:val="en-US" w:eastAsia="zh-CN" w:bidi="ar-SA"/>
        </w:rPr>
        <w:t>信息</w:t>
      </w:r>
      <w:r>
        <w:rPr>
          <w:rFonts w:hint="default" w:ascii="仿宋_GB2312" w:hAnsi="仿宋_GB2312" w:eastAsia="仿宋_GB2312" w:cs="仿宋_GB2312"/>
          <w:kern w:val="2"/>
          <w:sz w:val="32"/>
          <w:szCs w:val="32"/>
          <w:lang w:val="en-US" w:eastAsia="zh-CN" w:bidi="ar-SA"/>
        </w:rPr>
        <w:t>公开</w:t>
      </w:r>
      <w:r>
        <w:rPr>
          <w:rFonts w:hint="eastAsia" w:ascii="仿宋_GB2312" w:hAnsi="仿宋_GB2312" w:eastAsia="仿宋_GB2312" w:cs="仿宋_GB2312"/>
          <w:kern w:val="2"/>
          <w:sz w:val="32"/>
          <w:szCs w:val="32"/>
          <w:lang w:val="en-US" w:eastAsia="zh-CN" w:bidi="ar-SA"/>
        </w:rPr>
        <w:t>业务知识</w:t>
      </w:r>
      <w:r>
        <w:rPr>
          <w:rFonts w:hint="default" w:ascii="仿宋_GB2312" w:hAnsi="仿宋_GB2312" w:eastAsia="仿宋_GB2312" w:cs="仿宋_GB2312"/>
          <w:kern w:val="2"/>
          <w:sz w:val="32"/>
          <w:szCs w:val="32"/>
          <w:lang w:val="en-US" w:eastAsia="zh-CN" w:bidi="ar-SA"/>
        </w:rPr>
        <w:t>，增强全局</w:t>
      </w:r>
      <w:r>
        <w:rPr>
          <w:rFonts w:hint="eastAsia" w:ascii="仿宋_GB2312" w:hAnsi="仿宋_GB2312" w:eastAsia="仿宋_GB2312" w:cs="仿宋_GB2312"/>
          <w:kern w:val="2"/>
          <w:sz w:val="32"/>
          <w:szCs w:val="32"/>
          <w:lang w:val="en-US" w:eastAsia="zh-CN" w:bidi="ar-SA"/>
        </w:rPr>
        <w:t>干部职工</w:t>
      </w:r>
      <w:r>
        <w:rPr>
          <w:rFonts w:hint="default" w:ascii="仿宋_GB2312" w:hAnsi="仿宋_GB2312" w:eastAsia="仿宋_GB2312" w:cs="仿宋_GB2312"/>
          <w:kern w:val="2"/>
          <w:sz w:val="32"/>
          <w:szCs w:val="32"/>
          <w:lang w:val="en-US" w:eastAsia="zh-CN" w:bidi="ar-SA"/>
        </w:rPr>
        <w:t>政务公开意识，</w:t>
      </w:r>
      <w:r>
        <w:rPr>
          <w:rFonts w:hint="eastAsia" w:ascii="仿宋_GB2312" w:hAnsi="仿宋_GB2312" w:eastAsia="仿宋_GB2312" w:cs="仿宋_GB2312"/>
          <w:kern w:val="2"/>
          <w:sz w:val="32"/>
          <w:szCs w:val="32"/>
          <w:lang w:val="en-US" w:eastAsia="zh-CN" w:bidi="ar-SA"/>
        </w:rPr>
        <w:t>提升信息公开业务能力，确保政务公开工作顺利进行；</w:t>
      </w:r>
      <w:r>
        <w:rPr>
          <w:rFonts w:hint="eastAsia" w:ascii="仿宋_GB2312" w:hAnsi="仿宋_GB2312" w:eastAsia="仿宋_GB2312" w:cs="仿宋_GB2312"/>
          <w:b/>
          <w:bCs/>
          <w:kern w:val="2"/>
          <w:sz w:val="32"/>
          <w:szCs w:val="32"/>
          <w:lang w:val="en-US" w:eastAsia="zh-CN" w:bidi="ar-SA"/>
        </w:rPr>
        <w:t>三是</w:t>
      </w:r>
      <w:r>
        <w:rPr>
          <w:rFonts w:hint="eastAsia" w:ascii="仿宋_GB2312" w:hAnsi="仿宋_GB2312" w:eastAsia="仿宋_GB2312" w:cs="仿宋_GB2312"/>
          <w:b w:val="0"/>
          <w:bCs w:val="0"/>
          <w:kern w:val="2"/>
          <w:sz w:val="32"/>
          <w:szCs w:val="32"/>
          <w:lang w:val="en-US" w:eastAsia="zh-CN" w:bidi="ar-SA"/>
        </w:rPr>
        <w:t>拓宽信息渠道，拓展利用</w:t>
      </w:r>
      <w:r>
        <w:rPr>
          <w:rFonts w:hint="eastAsia" w:ascii="仿宋_GB2312" w:eastAsia="仿宋_GB2312" w:cs="仿宋_GB2312"/>
          <w:sz w:val="31"/>
          <w:szCs w:val="31"/>
        </w:rPr>
        <w:t>常态化联系退役军人、</w:t>
      </w:r>
      <w:r>
        <w:rPr>
          <w:rFonts w:hint="eastAsia" w:ascii="仿宋_GB2312" w:hAnsi="仿宋_GB2312" w:eastAsia="仿宋_GB2312" w:cs="仿宋_GB2312"/>
          <w:b w:val="0"/>
          <w:i w:val="0"/>
          <w:caps w:val="0"/>
          <w:color w:val="auto"/>
          <w:spacing w:val="0"/>
          <w:sz w:val="32"/>
          <w:szCs w:val="32"/>
          <w:shd w:val="clear" w:color="auto" w:fill="FFFFFF"/>
          <w:lang w:val="en-US" w:eastAsia="zh-CN"/>
        </w:rPr>
        <w:t>“和田日报”</w:t>
      </w:r>
      <w:r>
        <w:rPr>
          <w:rFonts w:hint="eastAsia" w:ascii="仿宋_GB2312" w:eastAsia="仿宋_GB2312" w:cs="仿宋_GB2312"/>
          <w:sz w:val="31"/>
          <w:szCs w:val="31"/>
        </w:rPr>
        <w:t>微信公众号等渠道，</w:t>
      </w:r>
      <w:r>
        <w:rPr>
          <w:rFonts w:hint="eastAsia" w:ascii="仿宋_GB2312" w:hAnsi="仿宋_GB2312" w:eastAsia="仿宋_GB2312" w:cs="仿宋_GB2312"/>
          <w:b w:val="0"/>
          <w:i w:val="0"/>
          <w:caps w:val="0"/>
          <w:color w:val="auto"/>
          <w:spacing w:val="0"/>
          <w:sz w:val="32"/>
          <w:szCs w:val="32"/>
          <w:shd w:val="clear" w:color="auto" w:fill="FFFFFF"/>
          <w:lang w:val="en-US" w:eastAsia="zh-CN"/>
        </w:rPr>
        <w:t>多层次、全方位、</w:t>
      </w:r>
      <w:r>
        <w:rPr>
          <w:rFonts w:hint="eastAsia" w:ascii="仿宋_GB2312" w:hAnsi="仿宋_GB2312" w:eastAsia="仿宋_GB2312" w:cs="仿宋_GB2312"/>
          <w:kern w:val="2"/>
          <w:sz w:val="32"/>
          <w:szCs w:val="32"/>
          <w:lang w:val="en-US" w:eastAsia="zh-CN" w:bidi="ar-SA"/>
        </w:rPr>
        <w:t>高效率通报准确权威信息，加大信息公开宣传力度，做好正面引导。</w:t>
      </w:r>
      <w:r>
        <w:rPr>
          <w:rFonts w:hint="eastAsia" w:ascii="仿宋_GB2312" w:hAnsi="仿宋_GB2312" w:eastAsia="仿宋_GB2312" w:cs="仿宋_GB2312"/>
          <w:b w:val="0"/>
          <w:bCs w:val="0"/>
          <w:kern w:val="2"/>
          <w:sz w:val="32"/>
          <w:szCs w:val="32"/>
          <w:lang w:val="en-US" w:eastAsia="zh-CN" w:bidi="ar-SA"/>
        </w:rPr>
        <w:t>充分</w:t>
      </w:r>
      <w:r>
        <w:rPr>
          <w:rFonts w:hint="eastAsia" w:ascii="仿宋_GB2312" w:hAnsi="仿宋_GB2312" w:eastAsia="仿宋_GB2312" w:cs="仿宋_GB2312"/>
          <w:kern w:val="2"/>
          <w:sz w:val="32"/>
          <w:szCs w:val="32"/>
          <w:lang w:val="en-US" w:eastAsia="zh-CN" w:bidi="ar-SA"/>
        </w:rPr>
        <w:t>发挥退役军人服务中心（站）的作用，推进信息公开向农村、社区延伸，切实保障广大退役军人和群众的知情权、参与权、监督权。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Chars="0" w:right="0" w:rightChars="0" w:firstLine="640" w:firstLineChars="200"/>
        <w:jc w:val="left"/>
        <w:textAlignment w:val="auto"/>
        <w:rPr>
          <w:rFonts w:hint="eastAsia" w:ascii="黑体" w:hAnsi="黑体" w:eastAsia="黑体" w:cs="黑体"/>
          <w:b w:val="0"/>
          <w:bCs/>
          <w:kern w:val="0"/>
          <w:sz w:val="32"/>
          <w:szCs w:val="32"/>
          <w:highlight w:val="none"/>
          <w:lang w:val="en-US" w:eastAsia="zh-CN" w:bidi="ar"/>
        </w:rPr>
      </w:pPr>
      <w:r>
        <w:rPr>
          <w:rFonts w:hint="eastAsia" w:ascii="黑体" w:hAnsi="黑体" w:eastAsia="黑体" w:cs="黑体"/>
          <w:b w:val="0"/>
          <w:bCs/>
          <w:kern w:val="0"/>
          <w:sz w:val="32"/>
          <w:szCs w:val="32"/>
          <w:highlight w:val="none"/>
          <w:lang w:val="en-US" w:eastAsia="zh-CN" w:bidi="ar"/>
        </w:rPr>
        <w:t>六、其他需要报告的事项</w:t>
      </w:r>
    </w:p>
    <w:p>
      <w:pPr>
        <w:pStyle w:val="13"/>
        <w:keepNext w:val="0"/>
        <w:keepLines w:val="0"/>
        <w:pageBreakBefore w:val="0"/>
        <w:kinsoku/>
        <w:wordWrap/>
        <w:overflowPunct/>
        <w:topLinePunct w:val="0"/>
        <w:autoSpaceDE/>
        <w:autoSpaceDN/>
        <w:bidi w:val="0"/>
        <w:adjustRightInd/>
        <w:snapToGrid/>
        <w:spacing w:after="0" w:afterLines="0" w:line="560" w:lineRule="exact"/>
        <w:ind w:left="0" w:leftChars="0" w:firstLine="320" w:firstLineChars="1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val="en-US" w:eastAsia="zh-CN" w:bidi="ar"/>
        </w:rPr>
        <w:t>本机关按照《国务院办公厅关于印发〈政府信息公开信息处理费管理办法〉的通知》（国办函〔2020〕109号）规定的按件、按量收费标准，本年度没有产生信息公开处理费。</w:t>
      </w:r>
    </w:p>
    <w:p>
      <w:pPr>
        <w:pStyle w:val="13"/>
        <w:keepNext w:val="0"/>
        <w:keepLines w:val="0"/>
        <w:pageBreakBefore w:val="0"/>
        <w:kinsoku/>
        <w:wordWrap/>
        <w:overflowPunct/>
        <w:topLinePunct w:val="0"/>
        <w:autoSpaceDE/>
        <w:autoSpaceDN/>
        <w:bidi w:val="0"/>
        <w:adjustRightInd/>
        <w:snapToGrid/>
        <w:spacing w:after="0" w:afterLines="0" w:line="560" w:lineRule="exact"/>
        <w:ind w:left="0" w:leftChars="0" w:firstLine="0" w:firstLineChars="0"/>
        <w:textAlignment w:val="auto"/>
        <w:rPr>
          <w:rFonts w:hint="eastAsia" w:ascii="仿宋_GB2312" w:hAnsi="仿宋_GB2312" w:eastAsia="仿宋_GB2312" w:cs="仿宋_GB2312"/>
          <w:sz w:val="32"/>
          <w:szCs w:val="32"/>
          <w:lang w:eastAsia="zh-CN"/>
        </w:rPr>
      </w:pPr>
    </w:p>
    <w:p>
      <w:pPr>
        <w:pStyle w:val="13"/>
        <w:keepNext w:val="0"/>
        <w:keepLines w:val="0"/>
        <w:pageBreakBefore w:val="0"/>
        <w:kinsoku/>
        <w:wordWrap/>
        <w:overflowPunct/>
        <w:topLinePunct w:val="0"/>
        <w:autoSpaceDE/>
        <w:autoSpaceDN/>
        <w:bidi w:val="0"/>
        <w:adjustRightInd/>
        <w:snapToGrid/>
        <w:spacing w:after="0" w:afterLines="0" w:line="560" w:lineRule="exact"/>
        <w:ind w:left="0" w:leftChars="0" w:firstLine="0" w:firstLineChars="0"/>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3520" w:firstLineChars="11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和田地区退役军人事务局</w:t>
      </w:r>
    </w:p>
    <w:p>
      <w:pPr>
        <w:keepNext w:val="0"/>
        <w:keepLines w:val="0"/>
        <w:pageBreakBefore w:val="0"/>
        <w:kinsoku/>
        <w:wordWrap/>
        <w:overflowPunct/>
        <w:topLinePunct w:val="0"/>
        <w:autoSpaceDE/>
        <w:autoSpaceDN/>
        <w:bidi w:val="0"/>
        <w:adjustRightInd/>
        <w:snapToGrid/>
        <w:spacing w:line="560" w:lineRule="exact"/>
        <w:ind w:firstLine="4160" w:firstLineChars="13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202</w:t>
      </w:r>
      <w:r>
        <w:rPr>
          <w:rFonts w:hint="default" w:ascii="仿宋_GB2312" w:hAnsi="仿宋_GB2312" w:eastAsia="仿宋_GB2312" w:cs="仿宋_GB2312"/>
          <w:kern w:val="0"/>
          <w:sz w:val="32"/>
          <w:szCs w:val="32"/>
          <w:lang w:val="en" w:eastAsia="zh-CN" w:bidi="ar"/>
        </w:rPr>
        <w:t>4</w:t>
      </w:r>
      <w:r>
        <w:rPr>
          <w:rFonts w:hint="eastAsia" w:ascii="仿宋_GB2312" w:hAnsi="仿宋_GB2312" w:eastAsia="仿宋_GB2312" w:cs="仿宋_GB2312"/>
          <w:kern w:val="0"/>
          <w:sz w:val="32"/>
          <w:szCs w:val="32"/>
          <w:lang w:val="en-US" w:eastAsia="zh-CN" w:bidi="ar"/>
        </w:rPr>
        <w:t>年1月</w:t>
      </w:r>
      <w:r>
        <w:rPr>
          <w:rFonts w:hint="default" w:ascii="仿宋_GB2312" w:hAnsi="仿宋_GB2312" w:eastAsia="仿宋_GB2312" w:cs="仿宋_GB2312"/>
          <w:kern w:val="0"/>
          <w:sz w:val="32"/>
          <w:szCs w:val="32"/>
          <w:lang w:val="en" w:eastAsia="zh-CN" w:bidi="ar"/>
        </w:rPr>
        <w:t>11</w:t>
      </w:r>
      <w:r>
        <w:rPr>
          <w:rFonts w:hint="eastAsia" w:ascii="仿宋_GB2312" w:hAnsi="仿宋_GB2312" w:eastAsia="仿宋_GB2312" w:cs="仿宋_GB2312"/>
          <w:kern w:val="0"/>
          <w:sz w:val="32"/>
          <w:szCs w:val="32"/>
          <w:lang w:val="en-US" w:eastAsia="zh-CN" w:bidi="ar"/>
        </w:rPr>
        <w:t>日</w:t>
      </w:r>
    </w:p>
    <w:p>
      <w:pPr>
        <w:keepNext w:val="0"/>
        <w:keepLines w:val="0"/>
        <w:pageBreakBefore w:val="0"/>
        <w:kinsoku/>
        <w:wordWrap/>
        <w:overflowPunct/>
        <w:topLinePunct w:val="0"/>
        <w:autoSpaceDN/>
        <w:bidi w:val="0"/>
        <w:adjustRightInd/>
        <w:snapToGrid/>
        <w:spacing w:line="574" w:lineRule="exact"/>
        <w:textAlignment w:val="auto"/>
        <w:rPr>
          <w:rFonts w:hint="eastAsia" w:ascii="仿宋_GB2312" w:hAnsi="Times New Roman" w:eastAsia="仿宋_GB2312" w:cs="仿宋_GB2312"/>
          <w:sz w:val="28"/>
          <w:szCs w:val="28"/>
          <w:lang w:val="en-US" w:eastAsia="zh-CN"/>
        </w:rPr>
      </w:pPr>
      <w:r>
        <w:rPr>
          <w:spacing w:val="0"/>
          <w:shd w:val="clear" w:color="auto" w:fill="FFFFFF"/>
        </w:rPr>
        <w:t>     </w:t>
      </w:r>
    </w:p>
    <w:sectPr>
      <w:footerReference r:id="rId3" w:type="default"/>
      <w:pgSz w:w="11906" w:h="16838"/>
      <w:pgMar w:top="2098" w:right="1531" w:bottom="1984" w:left="1531" w:header="851" w:footer="113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jNjBjMjY5ODU5MDhhY2JmZDk0NjE5OTVjOGJkMmMifQ=="/>
  </w:docVars>
  <w:rsids>
    <w:rsidRoot w:val="FFF7651B"/>
    <w:rsid w:val="13FFDC58"/>
    <w:rsid w:val="340D47E0"/>
    <w:rsid w:val="3563D2F2"/>
    <w:rsid w:val="357F0DA2"/>
    <w:rsid w:val="39B56578"/>
    <w:rsid w:val="39BD81D4"/>
    <w:rsid w:val="39E66FD6"/>
    <w:rsid w:val="3AFBE324"/>
    <w:rsid w:val="3B5F3545"/>
    <w:rsid w:val="3E77F66A"/>
    <w:rsid w:val="53FE0BC0"/>
    <w:rsid w:val="57E66E78"/>
    <w:rsid w:val="57F7830C"/>
    <w:rsid w:val="5DEB01AD"/>
    <w:rsid w:val="5EB5BE61"/>
    <w:rsid w:val="5EFDFC24"/>
    <w:rsid w:val="5F5DE2C7"/>
    <w:rsid w:val="5FBBC88D"/>
    <w:rsid w:val="5FE7A8ED"/>
    <w:rsid w:val="677F71EE"/>
    <w:rsid w:val="6AE9C045"/>
    <w:rsid w:val="6FED408C"/>
    <w:rsid w:val="72DB1D39"/>
    <w:rsid w:val="77967AD9"/>
    <w:rsid w:val="7797522C"/>
    <w:rsid w:val="77FEE148"/>
    <w:rsid w:val="7BFC151E"/>
    <w:rsid w:val="7D7FD231"/>
    <w:rsid w:val="7DE79AC4"/>
    <w:rsid w:val="7DFF8D14"/>
    <w:rsid w:val="7E5D18AF"/>
    <w:rsid w:val="7EFEA040"/>
    <w:rsid w:val="7F7F7278"/>
    <w:rsid w:val="7F978770"/>
    <w:rsid w:val="7FBDF65A"/>
    <w:rsid w:val="7FDF0B3A"/>
    <w:rsid w:val="7FFC1973"/>
    <w:rsid w:val="A5E767DB"/>
    <w:rsid w:val="AC770466"/>
    <w:rsid w:val="B73D7262"/>
    <w:rsid w:val="BEF63FC4"/>
    <w:rsid w:val="BF752F51"/>
    <w:rsid w:val="BFC73E6C"/>
    <w:rsid w:val="D54F47C7"/>
    <w:rsid w:val="DBCD523C"/>
    <w:rsid w:val="DF371AF1"/>
    <w:rsid w:val="DFBE5B1B"/>
    <w:rsid w:val="EB1FFFC7"/>
    <w:rsid w:val="EB6C0B50"/>
    <w:rsid w:val="EBBDF8A5"/>
    <w:rsid w:val="EDFE6BED"/>
    <w:rsid w:val="EEDCFC6C"/>
    <w:rsid w:val="EFEBD7ED"/>
    <w:rsid w:val="EFFF6521"/>
    <w:rsid w:val="EFFF9CFF"/>
    <w:rsid w:val="F73CE7CF"/>
    <w:rsid w:val="FBFECFA5"/>
    <w:rsid w:val="FDBB0161"/>
    <w:rsid w:val="FF7EE65E"/>
    <w:rsid w:val="FF8FAE36"/>
    <w:rsid w:val="FFBFBE00"/>
    <w:rsid w:val="FFCD4A8A"/>
    <w:rsid w:val="FFDFEFBB"/>
    <w:rsid w:val="FFE30651"/>
    <w:rsid w:val="FFF7651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customStyle="1" w:styleId="2">
    <w:name w:val="样式1"/>
    <w:basedOn w:val="1"/>
    <w:qFormat/>
    <w:uiPriority w:val="0"/>
  </w:style>
  <w:style w:type="paragraph" w:styleId="3">
    <w:name w:val="Body Text First Indent"/>
    <w:basedOn w:val="4"/>
    <w:unhideWhenUsed/>
    <w:qFormat/>
    <w:uiPriority w:val="99"/>
    <w:pPr>
      <w:ind w:firstLine="420" w:firstLineChars="100"/>
    </w:pPr>
    <w:rPr>
      <w:rFonts w:ascii="Calibri" w:hAnsi="Calibri" w:eastAsia="宋体" w:cs="宋体"/>
      <w:szCs w:val="21"/>
    </w:rPr>
  </w:style>
  <w:style w:type="paragraph" w:styleId="4">
    <w:name w:val="Body Text"/>
    <w:basedOn w:val="1"/>
    <w:next w:val="3"/>
    <w:qFormat/>
    <w:uiPriority w:val="0"/>
    <w:pPr>
      <w:widowControl/>
      <w:spacing w:after="120" w:afterLines="0" w:line="357" w:lineRule="atLeast"/>
    </w:pPr>
    <w:rPr>
      <w:color w:val="000000"/>
      <w:kern w:val="0"/>
      <w:szCs w:val="20"/>
      <w:u w:val="none" w:color="00000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1">
    <w:name w:val="普通(网站)1"/>
    <w:basedOn w:val="1"/>
    <w:qFormat/>
    <w:uiPriority w:val="0"/>
    <w:pPr>
      <w:spacing w:before="0" w:beforeAutospacing="0" w:after="0" w:afterAutospacing="0"/>
      <w:ind w:left="0" w:right="0"/>
      <w:jc w:val="left"/>
    </w:pPr>
    <w:rPr>
      <w:kern w:val="0"/>
      <w:sz w:val="24"/>
      <w:lang w:val="en-US" w:eastAsia="zh-CN"/>
    </w:rPr>
  </w:style>
  <w:style w:type="table" w:customStyle="1" w:styleId="12">
    <w:name w:val="普通表格1"/>
    <w:semiHidden/>
    <w:qFormat/>
    <w:uiPriority w:val="0"/>
    <w:tblPr>
      <w:tblLayout w:type="fixed"/>
      <w:tblCellMar>
        <w:top w:w="0" w:type="dxa"/>
        <w:left w:w="108" w:type="dxa"/>
        <w:bottom w:w="0" w:type="dxa"/>
        <w:right w:w="108" w:type="dxa"/>
      </w:tblCellMar>
    </w:tblPr>
  </w:style>
  <w:style w:type="paragraph" w:customStyle="1" w:styleId="13">
    <w:name w:val="样式 正文文本 + 首行缩进:  2 字符"/>
    <w:basedOn w:val="4"/>
    <w:qFormat/>
    <w:uiPriority w:val="0"/>
    <w:pPr>
      <w:spacing w:after="120" w:afterLines="0" w:line="480" w:lineRule="exact"/>
      <w:ind w:firstLine="1041"/>
      <w:outlineLvl w:val="1"/>
    </w:pPr>
    <w:rPr>
      <w:rFonts w:ascii="Times New Roman" w:hAnsi="Times New Roman" w:eastAsia="方正仿宋_GBK" w:cs="宋体"/>
      <w:sz w:val="32"/>
      <w:szCs w:val="20"/>
    </w:rPr>
  </w:style>
  <w:style w:type="paragraph" w:customStyle="1" w:styleId="14">
    <w:name w:val="Table Text"/>
    <w:basedOn w:val="1"/>
    <w:semiHidden/>
    <w:qFormat/>
    <w:uiPriority w:val="0"/>
    <w:rPr>
      <w:rFonts w:ascii="宋体" w:hAnsi="宋体" w:eastAsia="宋体" w:cs="宋体"/>
      <w:sz w:val="24"/>
      <w:szCs w:val="24"/>
      <w:lang w:val="en-US" w:eastAsia="en-US" w:bidi="ar-SA"/>
    </w:rPr>
  </w:style>
  <w:style w:type="table" w:customStyle="1" w:styleId="15">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2023-04-13T04:20:00Z</dcterms:created>
  <dc:creator>user</dc:creator>
  <cp:lastModifiedBy>Administrator</cp:lastModifiedBy>
  <cp:lastPrinted>2024-01-12T11:45:00Z</cp:lastPrinted>
  <dcterms:modified xsi:type="dcterms:W3CDTF">2026-09-29T08:42:42Z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2F3FDA1F2B9547E0BF416D63DD9B3118_13</vt:lpwstr>
  </property>
</Properties>
</file>