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firstLineChars="0"/>
        <w:jc w:val="center"/>
        <w:textAlignment w:val="auto"/>
        <w:outlineLvl w:val="1"/>
        <w:rPr>
          <w:rFonts w:hint="eastAsia" w:ascii="方正小标宋_GBK" w:hAnsi="方正小标宋_GBK" w:eastAsia="方正小标宋_GBK" w:cs="Times New Roman"/>
          <w:b w:val="0"/>
          <w:bCs w:val="0"/>
          <w:i w:val="0"/>
          <w:iCs w:val="0"/>
          <w:caps w:val="0"/>
          <w:color w:val="auto"/>
          <w:spacing w:val="0"/>
          <w:sz w:val="44"/>
          <w:szCs w:val="44"/>
          <w:shd w:val="clear" w:color="auto" w:fill="FFFFFF"/>
        </w:rPr>
      </w:pPr>
      <w:r>
        <w:rPr>
          <w:rFonts w:hint="eastAsia" w:ascii="方正小标宋_GBK" w:hAnsi="方正小标宋_GBK" w:eastAsia="方正小标宋_GBK" w:cs="Times New Roman"/>
          <w:b w:val="0"/>
          <w:bCs w:val="0"/>
          <w:i w:val="0"/>
          <w:iCs w:val="0"/>
          <w:caps w:val="0"/>
          <w:color w:val="auto"/>
          <w:spacing w:val="0"/>
          <w:sz w:val="44"/>
          <w:szCs w:val="44"/>
          <w:shd w:val="clear" w:color="auto" w:fill="FFFFFF"/>
          <w:lang w:eastAsia="zh-CN"/>
        </w:rPr>
        <w:t>和田地区</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rPr>
        <w:t>审计</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lang w:eastAsia="zh-CN"/>
        </w:rPr>
        <w:t>局</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lang w:val="en-US" w:eastAsia="zh-CN"/>
        </w:rPr>
        <w:t>2023年度</w:t>
      </w:r>
      <w:bookmarkStart w:id="0" w:name="_GoBack"/>
      <w:bookmarkEnd w:id="0"/>
      <w:r>
        <w:rPr>
          <w:rFonts w:hint="eastAsia" w:ascii="方正小标宋_GBK" w:hAnsi="方正小标宋_GBK" w:eastAsia="方正小标宋_GBK" w:cs="Times New Roman"/>
          <w:b w:val="0"/>
          <w:bCs w:val="0"/>
          <w:i w:val="0"/>
          <w:iCs w:val="0"/>
          <w:caps w:val="0"/>
          <w:color w:val="auto"/>
          <w:spacing w:val="0"/>
          <w:sz w:val="44"/>
          <w:szCs w:val="44"/>
          <w:shd w:val="clear" w:color="auto" w:fill="FFFFFF"/>
        </w:rPr>
        <w:t>政</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lang w:val="en-US" w:eastAsia="zh-CN"/>
        </w:rPr>
        <w:t>府</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lang w:eastAsia="zh-CN"/>
        </w:rPr>
        <w:t>信息</w:t>
      </w:r>
      <w:r>
        <w:rPr>
          <w:rFonts w:hint="eastAsia" w:ascii="方正小标宋_GBK" w:hAnsi="方正小标宋_GBK" w:eastAsia="方正小标宋_GBK" w:cs="Times New Roman"/>
          <w:b w:val="0"/>
          <w:bCs w:val="0"/>
          <w:i w:val="0"/>
          <w:iCs w:val="0"/>
          <w:caps w:val="0"/>
          <w:color w:val="auto"/>
          <w:spacing w:val="0"/>
          <w:sz w:val="44"/>
          <w:szCs w:val="44"/>
          <w:shd w:val="clear" w:color="auto" w:fill="FFFFFF"/>
        </w:rPr>
        <w:t>公开工作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firstLineChars="0"/>
        <w:jc w:val="center"/>
        <w:textAlignment w:val="auto"/>
        <w:outlineLvl w:val="1"/>
        <w:rPr>
          <w:rFonts w:hint="eastAsia" w:ascii="方正小标宋_GBK" w:hAnsi="方正小标宋_GBK" w:eastAsia="方正小标宋_GBK" w:cs="Times New Roman"/>
          <w:b w:val="0"/>
          <w:bCs w:val="0"/>
          <w:color w:val="auto"/>
          <w:sz w:val="44"/>
          <w:szCs w:val="44"/>
        </w:rPr>
      </w:pPr>
      <w:r>
        <w:rPr>
          <w:rFonts w:hint="eastAsia" w:ascii="方正小标宋_GBK" w:hAnsi="方正小标宋_GBK" w:eastAsia="方正小标宋_GBK" w:cs="Times New Roman"/>
          <w:b w:val="0"/>
          <w:bCs w:val="0"/>
          <w:i w:val="0"/>
          <w:iCs w:val="0"/>
          <w:caps w:val="0"/>
          <w:color w:val="auto"/>
          <w:spacing w:val="0"/>
          <w:sz w:val="44"/>
          <w:szCs w:val="44"/>
          <w:shd w:val="clear" w:color="auto" w:fill="FFFFFF"/>
        </w:rPr>
        <w:t>年度报告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20" w:lineRule="exact"/>
        <w:ind w:left="0" w:right="0" w:firstLine="560" w:firstLineChars="200"/>
        <w:jc w:val="both"/>
        <w:textAlignment w:val="auto"/>
        <w:rPr>
          <w:rFonts w:hint="default" w:ascii="Times New Roman" w:hAnsi="Times New Roman" w:eastAsia="微软雅黑" w:cs="Times New Roman"/>
          <w:i w:val="0"/>
          <w:iCs w:val="0"/>
          <w:caps w:val="0"/>
          <w:color w:val="000000"/>
          <w:spacing w:val="0"/>
          <w:kern w:val="0"/>
          <w:sz w:val="28"/>
          <w:szCs w:val="28"/>
          <w:shd w:val="clear" w:color="auto" w:fill="FFFFFF"/>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根据《中华人民共和国政府信息公开条例》（以下简称《条例》）规定编制本报告。本报告所列数据统计期限为2023年1月1日至2023年12月31日。</w:t>
      </w:r>
    </w:p>
    <w:p>
      <w:pPr>
        <w:keepNext w:val="0"/>
        <w:keepLines w:val="0"/>
        <w:pageBreakBefore w:val="0"/>
        <w:kinsoku/>
        <w:wordWrap/>
        <w:overflowPunct/>
        <w:topLinePunct w:val="0"/>
        <w:autoSpaceDE/>
        <w:autoSpaceDN/>
        <w:bidi w:val="0"/>
        <w:adjustRightInd/>
        <w:snapToGrid/>
        <w:spacing w:line="520" w:lineRule="exact"/>
        <w:ind w:firstLine="632" w:firstLineChars="200"/>
        <w:textAlignment w:val="auto"/>
        <w:rPr>
          <w:rFonts w:hint="default" w:ascii="Times New Roman" w:hAnsi="Times New Roman" w:eastAsia="黑体" w:cs="Times New Roman"/>
          <w:b w:val="0"/>
          <w:bCs w:val="0"/>
          <w:spacing w:val="-2"/>
          <w:sz w:val="32"/>
          <w:szCs w:val="32"/>
        </w:rPr>
      </w:pPr>
      <w:r>
        <w:rPr>
          <w:rFonts w:hint="default" w:ascii="Times New Roman" w:hAnsi="Times New Roman" w:eastAsia="黑体" w:cs="Times New Roman"/>
          <w:b w:val="0"/>
          <w:bCs w:val="0"/>
          <w:spacing w:val="-2"/>
          <w:sz w:val="32"/>
          <w:szCs w:val="32"/>
          <w:lang w:val="en-US" w:eastAsia="zh-CN"/>
        </w:rPr>
        <w:t>一、总体情况</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pPr>
      <w:r>
        <w:rPr>
          <w:rFonts w:hint="default" w:ascii="Times New Roman" w:hAnsi="Times New Roman" w:eastAsia="楷体_GB2312" w:cs="Times New Roman"/>
          <w:i w:val="0"/>
          <w:iCs w:val="0"/>
          <w:caps w:val="0"/>
          <w:color w:val="000000"/>
          <w:spacing w:val="0"/>
          <w:kern w:val="0"/>
          <w:sz w:val="32"/>
          <w:szCs w:val="32"/>
          <w:shd w:val="clear" w:color="auto" w:fill="FFFFFF"/>
          <w:lang w:val="en-US" w:eastAsia="zh-CN" w:bidi="ar"/>
        </w:rPr>
        <w:t>（一）主动公开方面。</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坚持把推进政务公开作为加大审计监督力度、回应公众政务信息公开需求、主动接受社会监督的重要举措，及时更新组织机构职能职责等信息，保障社会公众的知情权、参与权、监督权。加强审计结果公告及整改情况公开，及时向被审计单位、行业主管部门公开审计结果，督促审计问题整改。认真梳理权力事项工作，更新权责事项并依法公开，接受社会全方位全过程监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pPr>
      <w:r>
        <w:rPr>
          <w:rFonts w:hint="default" w:ascii="Times New Roman" w:hAnsi="Times New Roman" w:eastAsia="楷体_GB2312" w:cs="Times New Roman"/>
          <w:i w:val="0"/>
          <w:iCs w:val="0"/>
          <w:caps w:val="0"/>
          <w:color w:val="000000"/>
          <w:spacing w:val="0"/>
          <w:kern w:val="0"/>
          <w:sz w:val="32"/>
          <w:szCs w:val="32"/>
          <w:shd w:val="clear" w:color="auto" w:fill="FFFFFF"/>
          <w:lang w:val="en-US" w:eastAsia="zh-CN" w:bidi="ar"/>
        </w:rPr>
        <w:t>（二）依申请公开方面。</w:t>
      </w:r>
      <w:r>
        <w:rPr>
          <w:rFonts w:hint="default" w:ascii="Times New Roman" w:hAnsi="Times New Roman" w:eastAsia="仿宋_GB2312" w:cs="Times New Roman"/>
          <w:i w:val="0"/>
          <w:iCs w:val="0"/>
          <w:caps w:val="0"/>
          <w:color w:val="auto"/>
          <w:spacing w:val="0"/>
          <w:kern w:val="0"/>
          <w:sz w:val="32"/>
          <w:szCs w:val="32"/>
          <w:shd w:val="clear" w:color="auto" w:fill="FFFFFF"/>
          <w:lang w:val="en-US" w:eastAsia="zh-CN" w:bidi="ar"/>
        </w:rPr>
        <w:t>严格按照《条例》规定要求，有效规范政府信息公开的范围、内容、程序和形式等，全面提升政府信息公开申请办理工作质量，缩短办理时限，依法依规做好依申请公开工作，提高效率，切实满足公众合理信息需求。2023年，和田地区审计局未收</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到政府信息公开申请。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pPr>
      <w:r>
        <w:rPr>
          <w:rFonts w:hint="default" w:ascii="Times New Roman" w:hAnsi="Times New Roman" w:eastAsia="楷体_GB2312" w:cs="Times New Roman"/>
          <w:i w:val="0"/>
          <w:iCs w:val="0"/>
          <w:caps w:val="0"/>
          <w:color w:val="000000"/>
          <w:spacing w:val="0"/>
          <w:kern w:val="0"/>
          <w:sz w:val="32"/>
          <w:szCs w:val="32"/>
          <w:shd w:val="clear" w:color="auto" w:fill="FFFFFF"/>
          <w:lang w:val="en-US" w:eastAsia="zh-CN" w:bidi="ar"/>
        </w:rPr>
        <w:t>（三）政府信息管理方面</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及时公布部门财政预决算报告等，以及转载与审计工作密切相关的法律、法规、规章、规范性文件，相关解读等信息，精准传达政策意图，推进行政权力公开透明运行。利用公众号、微博、公告栏等多元化形式，加大宣传力度，提高公众对政策的知晓度。做好政府信息安全管理，对公开发布的信息进行安全检查，切实维护国家信息安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pPr>
      <w:r>
        <w:rPr>
          <w:rFonts w:hint="default" w:ascii="Times New Roman" w:hAnsi="Times New Roman" w:eastAsia="楷体_GB2312" w:cs="Times New Roman"/>
          <w:i w:val="0"/>
          <w:iCs w:val="0"/>
          <w:caps w:val="0"/>
          <w:color w:val="000000"/>
          <w:spacing w:val="0"/>
          <w:kern w:val="0"/>
          <w:sz w:val="32"/>
          <w:szCs w:val="32"/>
          <w:shd w:val="clear" w:color="auto" w:fill="FFFFFF"/>
          <w:lang w:val="en-US" w:eastAsia="zh-CN" w:bidi="ar"/>
        </w:rPr>
        <w:t>（四）平台建设方面。</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依托和田政府网平台，更新政府信息公开指南，公开工作流程，不断提高效率、提升质量，拓宽和畅通公众参与渠道。2023年，和田地区审计局借助和田地区行政服务和公共资源交易中心负责管理的公共资源交易网平台主动发布采购社会审计服务招标信息。</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黑体" w:cs="Times New Roman"/>
          <w:b w:val="0"/>
          <w:bCs w:val="0"/>
          <w:spacing w:val="-2"/>
          <w:sz w:val="32"/>
          <w:szCs w:val="32"/>
          <w:lang w:val="en-US" w:eastAsia="zh-CN"/>
        </w:rPr>
      </w:pPr>
      <w:r>
        <w:rPr>
          <w:rFonts w:hint="default" w:ascii="Times New Roman" w:hAnsi="Times New Roman" w:eastAsia="楷体_GB2312" w:cs="Times New Roman"/>
          <w:i w:val="0"/>
          <w:iCs w:val="0"/>
          <w:caps w:val="0"/>
          <w:color w:val="000000"/>
          <w:spacing w:val="0"/>
          <w:kern w:val="0"/>
          <w:sz w:val="32"/>
          <w:szCs w:val="32"/>
          <w:shd w:val="clear" w:color="auto" w:fill="FFFFFF"/>
          <w:lang w:val="en-US" w:eastAsia="zh-CN" w:bidi="ar"/>
        </w:rPr>
        <w:t>（五）监督保障方面。</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调整政务公开工作领导小组，明确第一责任人责任，健全完善信息公开相关制度，制定2023年政务公开工作责任清单，确保政府信息公开工作有序进行。</w:t>
      </w:r>
    </w:p>
    <w:p>
      <w:pPr>
        <w:keepNext w:val="0"/>
        <w:keepLines w:val="0"/>
        <w:pageBreakBefore w:val="0"/>
        <w:kinsoku/>
        <w:wordWrap/>
        <w:overflowPunct/>
        <w:topLinePunct w:val="0"/>
        <w:autoSpaceDE/>
        <w:autoSpaceDN/>
        <w:bidi w:val="0"/>
        <w:adjustRightInd/>
        <w:snapToGrid/>
        <w:spacing w:line="520" w:lineRule="exact"/>
        <w:ind w:firstLine="632" w:firstLineChars="200"/>
        <w:textAlignment w:val="auto"/>
        <w:rPr>
          <w:rFonts w:hint="default" w:ascii="Times New Roman" w:hAnsi="Times New Roman" w:eastAsia="黑体" w:cs="Times New Roman"/>
          <w:b w:val="0"/>
          <w:bCs w:val="0"/>
          <w:spacing w:val="-2"/>
          <w:sz w:val="32"/>
          <w:szCs w:val="32"/>
        </w:rPr>
      </w:pPr>
      <w:r>
        <w:rPr>
          <w:rFonts w:hint="default" w:ascii="Times New Roman" w:hAnsi="Times New Roman" w:eastAsia="黑体" w:cs="Times New Roman"/>
          <w:b w:val="0"/>
          <w:bCs w:val="0"/>
          <w:spacing w:val="-2"/>
          <w:sz w:val="32"/>
          <w:szCs w:val="32"/>
        </w:rPr>
        <w:t>二、主动公开政府信息情况</w:t>
      </w:r>
    </w:p>
    <w:tbl>
      <w:tblPr>
        <w:tblStyle w:val="9"/>
        <w:tblW w:w="8430"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32"/>
        <w:gridCol w:w="1908"/>
        <w:gridCol w:w="1807"/>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8430" w:type="dxa"/>
            <w:gridSpan w:val="4"/>
            <w:vAlign w:val="center"/>
          </w:tcPr>
          <w:p>
            <w:pPr>
              <w:pStyle w:val="8"/>
              <w:spacing w:before="34"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第二十条第(一)项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61"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3"/>
                <w:sz w:val="21"/>
                <w:szCs w:val="21"/>
              </w:rPr>
              <w:t>信息内容</w:t>
            </w:r>
          </w:p>
        </w:tc>
        <w:tc>
          <w:tcPr>
            <w:tcW w:w="1908" w:type="dxa"/>
            <w:vAlign w:val="center"/>
          </w:tcPr>
          <w:p>
            <w:pPr>
              <w:pStyle w:val="8"/>
              <w:spacing w:before="29"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本年制发件数</w:t>
            </w:r>
          </w:p>
        </w:tc>
        <w:tc>
          <w:tcPr>
            <w:tcW w:w="1807" w:type="dxa"/>
            <w:vAlign w:val="center"/>
          </w:tcPr>
          <w:p>
            <w:pPr>
              <w:pStyle w:val="8"/>
              <w:spacing w:before="19"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本年废止件数</w:t>
            </w:r>
          </w:p>
        </w:tc>
        <w:tc>
          <w:tcPr>
            <w:tcW w:w="1883" w:type="dxa"/>
            <w:vAlign w:val="center"/>
          </w:tcPr>
          <w:p>
            <w:pPr>
              <w:pStyle w:val="8"/>
              <w:spacing w:before="41"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现行有效件数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50" w:line="219" w:lineRule="auto"/>
              <w:ind w:left="8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rPr>
              <w:t>规章</w:t>
            </w:r>
          </w:p>
        </w:tc>
        <w:tc>
          <w:tcPr>
            <w:tcW w:w="1908"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1807"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1883"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42" w:line="219" w:lineRule="auto"/>
              <w:ind w:left="8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规范性文件</w:t>
            </w:r>
          </w:p>
        </w:tc>
        <w:tc>
          <w:tcPr>
            <w:tcW w:w="1908"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1807"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1883"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8430" w:type="dxa"/>
            <w:gridSpan w:val="4"/>
            <w:vAlign w:val="center"/>
          </w:tcPr>
          <w:p>
            <w:pPr>
              <w:pStyle w:val="8"/>
              <w:spacing w:before="43"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第二十条第(五)项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43"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3"/>
                <w:sz w:val="21"/>
                <w:szCs w:val="21"/>
              </w:rPr>
              <w:t>信息内容</w:t>
            </w:r>
          </w:p>
        </w:tc>
        <w:tc>
          <w:tcPr>
            <w:tcW w:w="5598" w:type="dxa"/>
            <w:gridSpan w:val="3"/>
            <w:vAlign w:val="center"/>
          </w:tcPr>
          <w:p>
            <w:pPr>
              <w:pStyle w:val="8"/>
              <w:spacing w:before="72"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本年处理决定数量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45" w:line="220"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行政许可</w:t>
            </w:r>
          </w:p>
        </w:tc>
        <w:tc>
          <w:tcPr>
            <w:tcW w:w="5598" w:type="dxa"/>
            <w:gridSpan w:val="3"/>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8430" w:type="dxa"/>
            <w:gridSpan w:val="4"/>
            <w:vAlign w:val="center"/>
          </w:tcPr>
          <w:p>
            <w:pPr>
              <w:pStyle w:val="8"/>
              <w:spacing w:before="34"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第二十条第(六)项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66"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3"/>
                <w:sz w:val="21"/>
                <w:szCs w:val="21"/>
              </w:rPr>
              <w:t>信息内容</w:t>
            </w:r>
          </w:p>
        </w:tc>
        <w:tc>
          <w:tcPr>
            <w:tcW w:w="5598" w:type="dxa"/>
            <w:gridSpan w:val="3"/>
            <w:vAlign w:val="center"/>
          </w:tcPr>
          <w:p>
            <w:pPr>
              <w:pStyle w:val="8"/>
              <w:spacing w:before="64"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本年处理决定数量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77" w:line="220" w:lineRule="auto"/>
              <w:ind w:left="8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7"/>
                <w:sz w:val="21"/>
                <w:szCs w:val="21"/>
              </w:rPr>
              <w:t>行政处罚</w:t>
            </w:r>
          </w:p>
        </w:tc>
        <w:tc>
          <w:tcPr>
            <w:tcW w:w="5598" w:type="dxa"/>
            <w:gridSpan w:val="3"/>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78" w:line="220" w:lineRule="auto"/>
              <w:ind w:left="8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5"/>
                <w:sz w:val="21"/>
                <w:szCs w:val="21"/>
              </w:rPr>
              <w:t>行政强制</w:t>
            </w:r>
          </w:p>
        </w:tc>
        <w:tc>
          <w:tcPr>
            <w:tcW w:w="5598" w:type="dxa"/>
            <w:gridSpan w:val="3"/>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8430" w:type="dxa"/>
            <w:gridSpan w:val="4"/>
            <w:vAlign w:val="center"/>
          </w:tcPr>
          <w:p>
            <w:pPr>
              <w:pStyle w:val="8"/>
              <w:spacing w:before="78"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第二十条第(八)项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59"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3"/>
                <w:sz w:val="21"/>
                <w:szCs w:val="21"/>
              </w:rPr>
              <w:t>信息内容</w:t>
            </w:r>
          </w:p>
        </w:tc>
        <w:tc>
          <w:tcPr>
            <w:tcW w:w="5598" w:type="dxa"/>
            <w:gridSpan w:val="3"/>
            <w:vAlign w:val="center"/>
          </w:tcPr>
          <w:p>
            <w:pPr>
              <w:pStyle w:val="8"/>
              <w:spacing w:before="68" w:line="219"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4"/>
                <w:sz w:val="21"/>
                <w:szCs w:val="21"/>
              </w:rPr>
              <w:t>本年收费金额(单位：万元)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32" w:type="dxa"/>
            <w:vAlign w:val="center"/>
          </w:tcPr>
          <w:p>
            <w:pPr>
              <w:pStyle w:val="8"/>
              <w:spacing w:before="60" w:line="219" w:lineRule="auto"/>
              <w:ind w:left="8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行政事业性收费</w:t>
            </w:r>
          </w:p>
        </w:tc>
        <w:tc>
          <w:tcPr>
            <w:tcW w:w="5598" w:type="dxa"/>
            <w:gridSpan w:val="3"/>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bl>
    <w:p>
      <w:pPr>
        <w:keepNext w:val="0"/>
        <w:keepLines w:val="0"/>
        <w:pageBreakBefore w:val="0"/>
        <w:widowControl w:val="0"/>
        <w:kinsoku/>
        <w:wordWrap/>
        <w:overflowPunct/>
        <w:topLinePunct w:val="0"/>
        <w:autoSpaceDE/>
        <w:autoSpaceDN/>
        <w:bidi w:val="0"/>
        <w:adjustRightInd/>
        <w:snapToGrid/>
        <w:spacing w:line="520" w:lineRule="exact"/>
        <w:ind w:firstLine="632" w:firstLineChars="200"/>
        <w:textAlignment w:val="auto"/>
        <w:rPr>
          <w:rFonts w:hint="default" w:ascii="Times New Roman" w:hAnsi="Times New Roman" w:cs="Times New Roman"/>
          <w:sz w:val="2"/>
        </w:rPr>
      </w:pPr>
      <w:r>
        <w:rPr>
          <w:rFonts w:hint="default" w:ascii="Times New Roman" w:hAnsi="Times New Roman" w:eastAsia="黑体" w:cs="Times New Roman"/>
          <w:b w:val="0"/>
          <w:bCs w:val="0"/>
          <w:spacing w:val="-2"/>
          <w:sz w:val="32"/>
          <w:szCs w:val="32"/>
        </w:rPr>
        <w:t>三、收到和处理政府信息公开申请情况</w:t>
      </w:r>
    </w:p>
    <w:tbl>
      <w:tblPr>
        <w:tblStyle w:val="9"/>
        <w:tblW w:w="835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749"/>
        <w:gridCol w:w="2886"/>
        <w:gridCol w:w="460"/>
        <w:gridCol w:w="649"/>
        <w:gridCol w:w="649"/>
        <w:gridCol w:w="649"/>
        <w:gridCol w:w="659"/>
        <w:gridCol w:w="460"/>
        <w:gridCol w:w="4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4370" w:type="dxa"/>
            <w:gridSpan w:val="3"/>
            <w:vMerge w:val="restart"/>
            <w:tcBorders>
              <w:bottom w:val="nil"/>
            </w:tcBorders>
            <w:vAlign w:val="center"/>
          </w:tcPr>
          <w:p>
            <w:pPr>
              <w:pStyle w:val="8"/>
              <w:spacing w:before="75" w:line="206" w:lineRule="auto"/>
              <w:ind w:left="185" w:right="259" w:firstLine="109"/>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(本列数据的勾稽关系为：第一项加第</w:t>
            </w:r>
            <w:r>
              <w:rPr>
                <w:rFonts w:hint="default" w:ascii="Times New Roman" w:hAnsi="Times New Roman" w:eastAsia="仿宋_GB2312" w:cs="Times New Roman"/>
                <w:spacing w:val="2"/>
                <w:sz w:val="21"/>
                <w:szCs w:val="21"/>
              </w:rPr>
              <w:t>二项之和，等于第三项加第四项之和)</w:t>
            </w:r>
          </w:p>
        </w:tc>
        <w:tc>
          <w:tcPr>
            <w:tcW w:w="3980" w:type="dxa"/>
            <w:gridSpan w:val="7"/>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申请人情况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4370" w:type="dxa"/>
            <w:gridSpan w:val="3"/>
            <w:vMerge w:val="continue"/>
            <w:tcBorders>
              <w:top w:val="nil"/>
              <w:bottom w:val="nil"/>
            </w:tcBorders>
            <w:vAlign w:val="center"/>
          </w:tcPr>
          <w:p>
            <w:pPr>
              <w:jc w:val="center"/>
              <w:rPr>
                <w:rFonts w:hint="default" w:ascii="Times New Roman" w:hAnsi="Times New Roman" w:eastAsia="仿宋_GB2312" w:cs="Times New Roman"/>
                <w:sz w:val="21"/>
                <w:szCs w:val="21"/>
              </w:rPr>
            </w:pPr>
          </w:p>
        </w:tc>
        <w:tc>
          <w:tcPr>
            <w:tcW w:w="460" w:type="dxa"/>
            <w:vMerge w:val="restart"/>
            <w:tcBorders>
              <w:bottom w:val="nil"/>
            </w:tcBorders>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自然人</w:t>
            </w:r>
          </w:p>
        </w:tc>
        <w:tc>
          <w:tcPr>
            <w:tcW w:w="3066" w:type="dxa"/>
            <w:gridSpan w:val="5"/>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法人或其他组织</w:t>
            </w:r>
          </w:p>
        </w:tc>
        <w:tc>
          <w:tcPr>
            <w:tcW w:w="454" w:type="dxa"/>
            <w:vMerge w:val="restart"/>
            <w:tcBorders>
              <w:bottom w:val="nil"/>
            </w:tcBorders>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总计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04" w:hRule="atLeast"/>
        </w:trPr>
        <w:tc>
          <w:tcPr>
            <w:tcW w:w="4370" w:type="dxa"/>
            <w:gridSpan w:val="3"/>
            <w:vMerge w:val="continue"/>
            <w:tcBorders>
              <w:top w:val="nil"/>
            </w:tcBorders>
            <w:vAlign w:val="center"/>
          </w:tcPr>
          <w:p>
            <w:pPr>
              <w:jc w:val="center"/>
              <w:rPr>
                <w:rFonts w:hint="default" w:ascii="Times New Roman" w:hAnsi="Times New Roman" w:eastAsia="仿宋_GB2312" w:cs="Times New Roman"/>
                <w:sz w:val="21"/>
                <w:szCs w:val="21"/>
              </w:rPr>
            </w:pPr>
          </w:p>
        </w:tc>
        <w:tc>
          <w:tcPr>
            <w:tcW w:w="460" w:type="dxa"/>
            <w:vMerge w:val="continue"/>
            <w:tcBorders>
              <w:top w:val="nil"/>
            </w:tcBorders>
            <w:textDirection w:val="tbRlV"/>
            <w:vAlign w:val="center"/>
          </w:tcPr>
          <w:p>
            <w:pPr>
              <w:jc w:val="center"/>
              <w:rPr>
                <w:rFonts w:hint="default" w:ascii="Times New Roman" w:hAnsi="Times New Roman" w:eastAsia="仿宋_GB2312" w:cs="Times New Roman"/>
                <w:sz w:val="21"/>
                <w:szCs w:val="21"/>
              </w:rPr>
            </w:pPr>
          </w:p>
        </w:tc>
        <w:tc>
          <w:tcPr>
            <w:tcW w:w="649" w:type="dxa"/>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商业企业</w:t>
            </w:r>
          </w:p>
        </w:tc>
        <w:tc>
          <w:tcPr>
            <w:tcW w:w="649" w:type="dxa"/>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科研机构</w:t>
            </w:r>
          </w:p>
        </w:tc>
        <w:tc>
          <w:tcPr>
            <w:tcW w:w="649" w:type="dxa"/>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社会公益组织</w:t>
            </w:r>
          </w:p>
        </w:tc>
        <w:tc>
          <w:tcPr>
            <w:tcW w:w="659" w:type="dxa"/>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法律服务机构</w:t>
            </w:r>
          </w:p>
        </w:tc>
        <w:tc>
          <w:tcPr>
            <w:tcW w:w="460" w:type="dxa"/>
            <w:textDirection w:val="tbRlV"/>
            <w:vAlign w:val="center"/>
          </w:tcPr>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其他</w:t>
            </w:r>
          </w:p>
        </w:tc>
        <w:tc>
          <w:tcPr>
            <w:tcW w:w="454" w:type="dxa"/>
            <w:vMerge w:val="continue"/>
            <w:tcBorders>
              <w:top w:val="nil"/>
            </w:tcBorders>
            <w:textDirection w:val="tbRlV"/>
            <w:vAlign w:val="center"/>
          </w:tcPr>
          <w:p>
            <w:pPr>
              <w:jc w:val="center"/>
              <w:rPr>
                <w:rFonts w:hint="default" w:ascii="Times New Roman" w:hAnsi="Times New Roman" w:eastAsia="仿宋_GB2312" w:cs="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4370" w:type="dxa"/>
            <w:gridSpan w:val="3"/>
            <w:vAlign w:val="center"/>
          </w:tcPr>
          <w:p>
            <w:pPr>
              <w:pStyle w:val="8"/>
              <w:spacing w:before="75" w:line="219" w:lineRule="auto"/>
              <w:ind w:left="9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rPr>
              <w:t>一、本年新收政府信息公开申请数量</w:t>
            </w:r>
          </w:p>
        </w:tc>
        <w:tc>
          <w:tcPr>
            <w:tcW w:w="460"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4370" w:type="dxa"/>
            <w:gridSpan w:val="3"/>
            <w:vAlign w:val="center"/>
          </w:tcPr>
          <w:p>
            <w:pPr>
              <w:pStyle w:val="8"/>
              <w:spacing w:before="87" w:line="219" w:lineRule="auto"/>
              <w:ind w:left="9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二、上年结转政府信息公开申请数量</w:t>
            </w:r>
          </w:p>
        </w:tc>
        <w:tc>
          <w:tcPr>
            <w:tcW w:w="460"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restart"/>
            <w:tcBorders>
              <w:bottom w:val="nil"/>
            </w:tcBorders>
            <w:vAlign w:val="center"/>
          </w:tcPr>
          <w:p>
            <w:pPr>
              <w:pStyle w:val="8"/>
              <w:spacing w:before="75" w:line="180" w:lineRule="auto"/>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22"/>
                <w:sz w:val="21"/>
                <w:szCs w:val="21"/>
              </w:rPr>
              <w:t>三、</w:t>
            </w:r>
          </w:p>
          <w:p>
            <w:pPr>
              <w:pStyle w:val="8"/>
              <w:spacing w:line="197" w:lineRule="auto"/>
              <w:ind w:left="10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3"/>
                <w:sz w:val="21"/>
                <w:szCs w:val="21"/>
              </w:rPr>
              <w:t>本年</w:t>
            </w:r>
          </w:p>
          <w:p>
            <w:pPr>
              <w:pStyle w:val="8"/>
              <w:spacing w:line="210" w:lineRule="auto"/>
              <w:ind w:left="10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6"/>
                <w:sz w:val="21"/>
                <w:szCs w:val="21"/>
              </w:rPr>
              <w:t>度办</w:t>
            </w:r>
          </w:p>
          <w:p>
            <w:pPr>
              <w:pStyle w:val="8"/>
              <w:spacing w:line="208" w:lineRule="auto"/>
              <w:ind w:left="10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pacing w:val="6"/>
                <w:sz w:val="21"/>
                <w:szCs w:val="21"/>
              </w:rPr>
              <w:t>理结</w:t>
            </w:r>
          </w:p>
          <w:p>
            <w:pPr>
              <w:pStyle w:val="8"/>
              <w:spacing w:line="220" w:lineRule="auto"/>
              <w:ind w:left="225"/>
              <w:jc w:val="cente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果</w:t>
            </w:r>
          </w:p>
        </w:tc>
        <w:tc>
          <w:tcPr>
            <w:tcW w:w="3635" w:type="dxa"/>
            <w:gridSpan w:val="2"/>
            <w:vAlign w:val="top"/>
          </w:tcPr>
          <w:p>
            <w:pPr>
              <w:keepNext w:val="0"/>
              <w:keepLines w:val="0"/>
              <w:pageBreakBefore w:val="0"/>
              <w:widowControl/>
              <w:kinsoku w:val="0"/>
              <w:wordWrap/>
              <w:overflowPunct/>
              <w:topLinePunct w:val="0"/>
              <w:autoSpaceDE w:val="0"/>
              <w:autoSpaceDN w:val="0"/>
              <w:bidi w:val="0"/>
              <w:adjustRightInd w:val="0"/>
              <w:snapToGrid w:val="0"/>
              <w:ind w:firstLine="105" w:firstLineChars="50"/>
              <w:textAlignment w:val="baseline"/>
              <w:rPr>
                <w:rFonts w:hint="default" w:ascii="Times New Roman" w:hAnsi="Times New Roman" w:eastAsia="仿宋_GB2312" w:cs="Times New Roman"/>
              </w:rPr>
            </w:pPr>
            <w:r>
              <w:rPr>
                <w:rFonts w:hint="default" w:ascii="Times New Roman" w:hAnsi="Times New Roman" w:eastAsia="仿宋_GB2312" w:cs="Times New Roman"/>
              </w:rPr>
              <w:t>(</w:t>
            </w:r>
            <w:r>
              <w:rPr>
                <w:rFonts w:hint="default" w:ascii="Times New Roman" w:hAnsi="Times New Roman" w:eastAsia="仿宋_GB2312" w:cs="Times New Roman"/>
                <w:spacing w:val="-1"/>
                <w:kern w:val="2"/>
                <w:sz w:val="21"/>
                <w:szCs w:val="21"/>
                <w:lang w:val="en-US" w:eastAsia="en-US" w:bidi="ar-SA"/>
              </w:rPr>
              <w:t>一)予以公开</w:t>
            </w:r>
          </w:p>
        </w:tc>
        <w:tc>
          <w:tcPr>
            <w:tcW w:w="460"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3635" w:type="dxa"/>
            <w:gridSpan w:val="2"/>
            <w:vAlign w:val="top"/>
          </w:tcPr>
          <w:p>
            <w:pPr>
              <w:keepNext w:val="0"/>
              <w:keepLines w:val="0"/>
              <w:pageBreakBefore w:val="0"/>
              <w:widowControl/>
              <w:kinsoku w:val="0"/>
              <w:wordWrap/>
              <w:overflowPunct/>
              <w:topLinePunct w:val="0"/>
              <w:autoSpaceDE w:val="0"/>
              <w:autoSpaceDN w:val="0"/>
              <w:bidi w:val="0"/>
              <w:adjustRightInd w:val="0"/>
              <w:snapToGrid w:val="0"/>
              <w:ind w:firstLine="105" w:firstLineChars="50"/>
              <w:textAlignment w:val="baseline"/>
              <w:rPr>
                <w:rFonts w:hint="default" w:ascii="Times New Roman" w:hAnsi="Times New Roman" w:eastAsia="仿宋_GB2312" w:cs="Times New Roman"/>
              </w:rPr>
            </w:pPr>
            <w:r>
              <w:rPr>
                <w:rFonts w:hint="default" w:ascii="Times New Roman" w:hAnsi="Times New Roman" w:eastAsia="仿宋_GB2312" w:cs="Times New Roman"/>
              </w:rPr>
              <w:t>(二)部分公开(区分处理的，只计这一情形，不计其他情形)</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restart"/>
            <w:tcBorders>
              <w:bottom w:val="nil"/>
            </w:tcBorders>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(三)不予公开</w:t>
            </w: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1.属于国家秘密</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2.其他法律行政法规禁止公开</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3.危及“三安全一稳定”</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4.保护第三方合法权益</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5.属于三类内部事务信息</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6.属于四类过程性信息</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7.属于行政执法案卷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8.属于行政查询事项</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restart"/>
            <w:tcBorders>
              <w:bottom w:val="nil"/>
            </w:tcBorders>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(四)无法提供</w:t>
            </w: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1.本机关不掌握相关政府信息</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2.没有现成信息需要另行制作</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left"/>
              <w:textAlignment w:val="baseline"/>
              <w:rPr>
                <w:rFonts w:hint="default" w:ascii="Times New Roman" w:hAnsi="Times New Roman" w:eastAsia="仿宋_GB2312" w:cs="Times New Roman"/>
              </w:rPr>
            </w:pPr>
            <w:r>
              <w:rPr>
                <w:rFonts w:hint="default" w:ascii="Times New Roman" w:hAnsi="Times New Roman" w:eastAsia="仿宋_GB2312" w:cs="Times New Roman"/>
              </w:rPr>
              <w:t>3.补正后申请内容仍不明确</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restart"/>
            <w:tcBorders>
              <w:bottom w:val="nil"/>
            </w:tcBorders>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(五)不予处理</w:t>
            </w: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1.信访举报投诉类申请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2.重复申请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3.要求提供公开出版物</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4.无正当理由大量反复申请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tcBorders>
            <w:vAlign w:val="center"/>
          </w:tcPr>
          <w:p>
            <w:pPr>
              <w:jc w:val="cente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5.要求行政机关确认或重新出具已获取信息</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restart"/>
            <w:tcBorders>
              <w:bottom w:val="nil"/>
            </w:tcBorders>
            <w:vAlign w:val="center"/>
          </w:tcPr>
          <w:p>
            <w:pPr>
              <w:jc w:val="both"/>
              <w:rPr>
                <w:rFonts w:hint="default" w:ascii="Times New Roman" w:hAnsi="Times New Roman" w:eastAsia="仿宋_GB2312" w:cs="Times New Roman"/>
              </w:rPr>
            </w:pPr>
            <w:r>
              <w:rPr>
                <w:rFonts w:hint="default" w:ascii="Times New Roman" w:hAnsi="Times New Roman" w:eastAsia="仿宋_GB2312" w:cs="Times New Roman"/>
              </w:rPr>
              <w:t>(六)其他处理</w:t>
            </w: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1.申请人无正当理由逾期不补正、行政机关不再处理其政府信息公开申请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bottom w:val="nil"/>
            </w:tcBorders>
            <w:vAlign w:val="top"/>
          </w:tcPr>
          <w:p>
            <w:pP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2.申请人逾期未按收费通知要求缴纳费用、行政机关不再处理其政府信息公开申请</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bottom w:val="nil"/>
            </w:tcBorders>
            <w:vAlign w:val="top"/>
          </w:tcPr>
          <w:p>
            <w:pPr>
              <w:rPr>
                <w:rFonts w:hint="default" w:ascii="Times New Roman" w:hAnsi="Times New Roman" w:eastAsia="仿宋_GB2312" w:cs="Times New Roman"/>
                <w:sz w:val="21"/>
                <w:szCs w:val="21"/>
              </w:rPr>
            </w:pPr>
          </w:p>
        </w:tc>
        <w:tc>
          <w:tcPr>
            <w:tcW w:w="749" w:type="dxa"/>
            <w:vMerge w:val="continue"/>
            <w:tcBorders>
              <w:top w:val="nil"/>
            </w:tcBorders>
            <w:vAlign w:val="top"/>
          </w:tcPr>
          <w:p>
            <w:pPr>
              <w:rPr>
                <w:rFonts w:hint="default" w:ascii="Times New Roman" w:hAnsi="Times New Roman" w:eastAsia="仿宋_GB2312" w:cs="Times New Roman"/>
              </w:rPr>
            </w:pPr>
          </w:p>
        </w:tc>
        <w:tc>
          <w:tcPr>
            <w:tcW w:w="2886" w:type="dxa"/>
            <w:vAlign w:val="center"/>
          </w:tcPr>
          <w:p>
            <w:pPr>
              <w:keepNext w:val="0"/>
              <w:keepLines w:val="0"/>
              <w:pageBreakBefore w:val="0"/>
              <w:widowControl/>
              <w:kinsoku w:val="0"/>
              <w:wordWrap/>
              <w:overflowPunct/>
              <w:topLinePunct w:val="0"/>
              <w:autoSpaceDE w:val="0"/>
              <w:autoSpaceDN w:val="0"/>
              <w:bidi w:val="0"/>
              <w:adjustRightInd w:val="0"/>
              <w:snapToGrid w:val="0"/>
              <w:ind w:firstLine="105" w:firstLineChars="50"/>
              <w:jc w:val="both"/>
              <w:textAlignment w:val="baseline"/>
              <w:rPr>
                <w:rFonts w:hint="default" w:ascii="Times New Roman" w:hAnsi="Times New Roman" w:eastAsia="仿宋_GB2312" w:cs="Times New Roman"/>
              </w:rPr>
            </w:pPr>
            <w:r>
              <w:rPr>
                <w:rFonts w:hint="default" w:ascii="Times New Roman" w:hAnsi="Times New Roman" w:eastAsia="仿宋_GB2312" w:cs="Times New Roman"/>
              </w:rPr>
              <w:t>3.其他</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735" w:type="dxa"/>
            <w:vMerge w:val="continue"/>
            <w:tcBorders>
              <w:top w:val="nil"/>
            </w:tcBorders>
            <w:vAlign w:val="top"/>
          </w:tcPr>
          <w:p>
            <w:pPr>
              <w:jc w:val="center"/>
              <w:rPr>
                <w:rFonts w:hint="default" w:ascii="Times New Roman" w:hAnsi="Times New Roman" w:eastAsia="仿宋_GB2312" w:cs="Times New Roman"/>
                <w:sz w:val="21"/>
                <w:szCs w:val="21"/>
              </w:rPr>
            </w:pPr>
          </w:p>
        </w:tc>
        <w:tc>
          <w:tcPr>
            <w:tcW w:w="3635" w:type="dxa"/>
            <w:gridSpan w:val="2"/>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(七)总计</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atLeast"/>
        </w:trPr>
        <w:tc>
          <w:tcPr>
            <w:tcW w:w="4370" w:type="dxa"/>
            <w:gridSpan w:val="3"/>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四、结转下年度继续办理</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4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659"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60"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454"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bl>
    <w:p>
      <w:pPr>
        <w:keepNext w:val="0"/>
        <w:keepLines w:val="0"/>
        <w:pageBreakBefore w:val="0"/>
        <w:kinsoku/>
        <w:wordWrap/>
        <w:overflowPunct/>
        <w:topLinePunct w:val="0"/>
        <w:autoSpaceDE/>
        <w:autoSpaceDN/>
        <w:bidi w:val="0"/>
        <w:adjustRightInd/>
        <w:snapToGrid/>
        <w:spacing w:line="520" w:lineRule="exact"/>
        <w:ind w:firstLine="632" w:firstLineChars="200"/>
        <w:textAlignment w:val="auto"/>
        <w:rPr>
          <w:rFonts w:hint="default" w:ascii="Times New Roman" w:hAnsi="Times New Roman" w:eastAsia="黑体" w:cs="Times New Roman"/>
          <w:b w:val="0"/>
          <w:bCs w:val="0"/>
          <w:spacing w:val="-2"/>
          <w:sz w:val="32"/>
          <w:szCs w:val="32"/>
        </w:rPr>
      </w:pPr>
      <w:r>
        <w:rPr>
          <w:rFonts w:hint="default" w:ascii="Times New Roman" w:hAnsi="Times New Roman" w:eastAsia="黑体" w:cs="Times New Roman"/>
          <w:b w:val="0"/>
          <w:bCs w:val="0"/>
          <w:spacing w:val="-2"/>
          <w:sz w:val="32"/>
          <w:szCs w:val="32"/>
        </w:rPr>
        <w:t>四、政府信息公开行政复议、行政诉讼情况</w:t>
      </w:r>
    </w:p>
    <w:tbl>
      <w:tblPr>
        <w:tblStyle w:val="9"/>
        <w:tblW w:w="84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565"/>
        <w:gridCol w:w="565"/>
        <w:gridCol w:w="565"/>
        <w:gridCol w:w="565"/>
        <w:gridCol w:w="565"/>
        <w:gridCol w:w="565"/>
        <w:gridCol w:w="565"/>
        <w:gridCol w:w="565"/>
        <w:gridCol w:w="565"/>
        <w:gridCol w:w="565"/>
        <w:gridCol w:w="566"/>
        <w:gridCol w:w="566"/>
        <w:gridCol w:w="566"/>
        <w:gridCol w:w="5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2825" w:type="dxa"/>
            <w:gridSpan w:val="5"/>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行政复议</w:t>
            </w:r>
          </w:p>
        </w:tc>
        <w:tc>
          <w:tcPr>
            <w:tcW w:w="5654" w:type="dxa"/>
            <w:gridSpan w:val="10"/>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行政诉讼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0" w:hRule="atLeast"/>
        </w:trPr>
        <w:tc>
          <w:tcPr>
            <w:tcW w:w="565" w:type="dxa"/>
            <w:vMerge w:val="restart"/>
            <w:tcBorders>
              <w:bottom w:val="nil"/>
            </w:tcBorders>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结果维持</w:t>
            </w:r>
          </w:p>
        </w:tc>
        <w:tc>
          <w:tcPr>
            <w:tcW w:w="565" w:type="dxa"/>
            <w:vMerge w:val="restart"/>
            <w:tcBorders>
              <w:bottom w:val="nil"/>
            </w:tcBorders>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结果纠正</w:t>
            </w:r>
          </w:p>
        </w:tc>
        <w:tc>
          <w:tcPr>
            <w:tcW w:w="565" w:type="dxa"/>
            <w:vMerge w:val="restart"/>
            <w:tcBorders>
              <w:bottom w:val="nil"/>
            </w:tcBorders>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其他结果</w:t>
            </w:r>
          </w:p>
        </w:tc>
        <w:tc>
          <w:tcPr>
            <w:tcW w:w="565" w:type="dxa"/>
            <w:vMerge w:val="restart"/>
            <w:tcBorders>
              <w:bottom w:val="nil"/>
            </w:tcBorders>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尚未审结</w:t>
            </w:r>
          </w:p>
        </w:tc>
        <w:tc>
          <w:tcPr>
            <w:tcW w:w="565" w:type="dxa"/>
            <w:vMerge w:val="restart"/>
            <w:tcBorders>
              <w:bottom w:val="nil"/>
            </w:tcBorders>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总计</w:t>
            </w:r>
          </w:p>
        </w:tc>
        <w:tc>
          <w:tcPr>
            <w:tcW w:w="2825" w:type="dxa"/>
            <w:gridSpan w:val="5"/>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未经复议直接起诉</w:t>
            </w:r>
          </w:p>
        </w:tc>
        <w:tc>
          <w:tcPr>
            <w:tcW w:w="2829" w:type="dxa"/>
            <w:gridSpan w:val="5"/>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复议后起诉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25" w:hRule="atLeast"/>
        </w:trPr>
        <w:tc>
          <w:tcPr>
            <w:tcW w:w="565" w:type="dxa"/>
            <w:vMerge w:val="continue"/>
            <w:tcBorders>
              <w:top w:val="nil"/>
            </w:tcBorders>
            <w:textDirection w:val="tbRlV"/>
            <w:vAlign w:val="center"/>
          </w:tcPr>
          <w:p>
            <w:pPr>
              <w:jc w:val="center"/>
              <w:rPr>
                <w:rFonts w:hint="default" w:ascii="Times New Roman" w:hAnsi="Times New Roman" w:eastAsia="仿宋_GB2312" w:cs="Times New Roman"/>
              </w:rPr>
            </w:pPr>
          </w:p>
        </w:tc>
        <w:tc>
          <w:tcPr>
            <w:tcW w:w="565" w:type="dxa"/>
            <w:vMerge w:val="continue"/>
            <w:tcBorders>
              <w:top w:val="nil"/>
            </w:tcBorders>
            <w:textDirection w:val="tbRlV"/>
            <w:vAlign w:val="center"/>
          </w:tcPr>
          <w:p>
            <w:pPr>
              <w:jc w:val="center"/>
              <w:rPr>
                <w:rFonts w:hint="default" w:ascii="Times New Roman" w:hAnsi="Times New Roman" w:eastAsia="仿宋_GB2312" w:cs="Times New Roman"/>
              </w:rPr>
            </w:pPr>
          </w:p>
        </w:tc>
        <w:tc>
          <w:tcPr>
            <w:tcW w:w="565" w:type="dxa"/>
            <w:vMerge w:val="continue"/>
            <w:tcBorders>
              <w:top w:val="nil"/>
            </w:tcBorders>
            <w:textDirection w:val="tbRlV"/>
            <w:vAlign w:val="center"/>
          </w:tcPr>
          <w:p>
            <w:pPr>
              <w:jc w:val="center"/>
              <w:rPr>
                <w:rFonts w:hint="default" w:ascii="Times New Roman" w:hAnsi="Times New Roman" w:eastAsia="仿宋_GB2312" w:cs="Times New Roman"/>
              </w:rPr>
            </w:pPr>
          </w:p>
        </w:tc>
        <w:tc>
          <w:tcPr>
            <w:tcW w:w="565" w:type="dxa"/>
            <w:vMerge w:val="continue"/>
            <w:tcBorders>
              <w:top w:val="nil"/>
            </w:tcBorders>
            <w:textDirection w:val="tbRlV"/>
            <w:vAlign w:val="center"/>
          </w:tcPr>
          <w:p>
            <w:pPr>
              <w:jc w:val="center"/>
              <w:rPr>
                <w:rFonts w:hint="default" w:ascii="Times New Roman" w:hAnsi="Times New Roman" w:eastAsia="仿宋_GB2312" w:cs="Times New Roman"/>
              </w:rPr>
            </w:pPr>
          </w:p>
        </w:tc>
        <w:tc>
          <w:tcPr>
            <w:tcW w:w="565" w:type="dxa"/>
            <w:vMerge w:val="continue"/>
            <w:tcBorders>
              <w:top w:val="nil"/>
            </w:tcBorders>
            <w:textDirection w:val="tbRlV"/>
            <w:vAlign w:val="center"/>
          </w:tcPr>
          <w:p>
            <w:pPr>
              <w:jc w:val="center"/>
              <w:rPr>
                <w:rFonts w:hint="default" w:ascii="Times New Roman" w:hAnsi="Times New Roman" w:eastAsia="仿宋_GB2312" w:cs="Times New Roman"/>
              </w:rPr>
            </w:pP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结果维持</w:t>
            </w: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结果纠正</w:t>
            </w: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其他结果</w:t>
            </w: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尚未审结</w:t>
            </w: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总计</w:t>
            </w:r>
          </w:p>
        </w:tc>
        <w:tc>
          <w:tcPr>
            <w:tcW w:w="565"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结果维持</w:t>
            </w:r>
          </w:p>
        </w:tc>
        <w:tc>
          <w:tcPr>
            <w:tcW w:w="566"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结果纠正</w:t>
            </w:r>
          </w:p>
        </w:tc>
        <w:tc>
          <w:tcPr>
            <w:tcW w:w="566"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其他结果</w:t>
            </w:r>
          </w:p>
        </w:tc>
        <w:tc>
          <w:tcPr>
            <w:tcW w:w="566"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尚未审结</w:t>
            </w:r>
          </w:p>
        </w:tc>
        <w:tc>
          <w:tcPr>
            <w:tcW w:w="566" w:type="dxa"/>
            <w:textDirection w:val="tbRlV"/>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rPr>
              <w:t>总计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22" w:hRule="atLeast"/>
        </w:trPr>
        <w:tc>
          <w:tcPr>
            <w:tcW w:w="565" w:type="dxa"/>
            <w:vAlign w:val="center"/>
          </w:tcPr>
          <w:p>
            <w:pPr>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5"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6"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6"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6"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c>
          <w:tcPr>
            <w:tcW w:w="566" w:type="dxa"/>
            <w:vAlign w:val="center"/>
          </w:tcPr>
          <w:p>
            <w:pPr>
              <w:jc w:val="center"/>
              <w:rPr>
                <w:rFonts w:hint="default" w:ascii="Times New Roman" w:hAnsi="Times New Roman" w:eastAsia="仿宋_GB2312" w:cs="Times New Roman"/>
              </w:rPr>
            </w:pPr>
            <w:r>
              <w:rPr>
                <w:rFonts w:hint="default" w:ascii="Times New Roman" w:hAnsi="Times New Roman" w:eastAsia="仿宋_GB2312" w:cs="Times New Roman"/>
                <w:sz w:val="21"/>
                <w:szCs w:val="21"/>
                <w:lang w:val="en-US" w:eastAsia="zh-CN"/>
              </w:rPr>
              <w:t>0</w:t>
            </w:r>
          </w:p>
        </w:tc>
      </w:tr>
    </w:tbl>
    <w:p>
      <w:pPr>
        <w:keepNext w:val="0"/>
        <w:keepLines w:val="0"/>
        <w:pageBreakBefore w:val="0"/>
        <w:kinsoku/>
        <w:wordWrap/>
        <w:overflowPunct/>
        <w:topLinePunct w:val="0"/>
        <w:autoSpaceDE/>
        <w:autoSpaceDN/>
        <w:bidi w:val="0"/>
        <w:adjustRightInd/>
        <w:snapToGrid/>
        <w:spacing w:line="520" w:lineRule="exact"/>
        <w:ind w:firstLine="632" w:firstLineChars="200"/>
        <w:jc w:val="both"/>
        <w:textAlignment w:val="auto"/>
        <w:rPr>
          <w:rFonts w:hint="default" w:ascii="Times New Roman" w:hAnsi="Times New Roman" w:eastAsia="黑体" w:cs="Times New Roman"/>
          <w:b w:val="0"/>
          <w:bCs w:val="0"/>
          <w:spacing w:val="-2"/>
          <w:sz w:val="32"/>
          <w:szCs w:val="32"/>
        </w:rPr>
      </w:pPr>
      <w:r>
        <w:rPr>
          <w:rFonts w:hint="default" w:ascii="Times New Roman" w:hAnsi="Times New Roman" w:eastAsia="黑体" w:cs="Times New Roman"/>
          <w:b w:val="0"/>
          <w:bCs w:val="0"/>
          <w:spacing w:val="-2"/>
          <w:sz w:val="32"/>
          <w:szCs w:val="32"/>
        </w:rPr>
        <w:t>五、存在的主要问题及改进情况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i w:val="0"/>
          <w:iCs w:val="0"/>
          <w:caps w:val="0"/>
          <w:color w:val="000000"/>
          <w:spacing w:val="0"/>
          <w:sz w:val="32"/>
          <w:szCs w:val="32"/>
          <w:shd w:val="clear" w:color="auto" w:fill="FFFFFF"/>
          <w:lang w:val="en-US" w:eastAsia="zh-CN"/>
        </w:rPr>
      </w:pP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2023年，在</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和田地区行政公署办公室的大力指导下，</w:t>
      </w: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和田地区审计局在推动政务公开方面</w:t>
      </w:r>
      <w:r>
        <w:rPr>
          <w:rFonts w:hint="default" w:ascii="Times New Roman" w:hAnsi="Times New Roman" w:eastAsia="仿宋_GB2312" w:cs="Times New Roman"/>
          <w:i w:val="0"/>
          <w:iCs w:val="0"/>
          <w:caps w:val="0"/>
          <w:color w:val="000000"/>
          <w:spacing w:val="0"/>
          <w:sz w:val="32"/>
          <w:szCs w:val="32"/>
          <w:shd w:val="clear" w:color="auto" w:fill="FFFFFF"/>
        </w:rPr>
        <w:t>取得了明显成效</w:t>
      </w:r>
      <w:r>
        <w:rPr>
          <w:rFonts w:hint="default" w:ascii="Times New Roman" w:hAnsi="Times New Roman" w:eastAsia="仿宋_GB2312" w:cs="Times New Roman"/>
          <w:i w:val="0"/>
          <w:iCs w:val="0"/>
          <w:caps w:val="0"/>
          <w:color w:val="000000"/>
          <w:spacing w:val="0"/>
          <w:sz w:val="32"/>
          <w:szCs w:val="32"/>
          <w:shd w:val="clear" w:color="auto" w:fill="FFFFFF"/>
          <w:lang w:eastAsia="zh-CN"/>
        </w:rPr>
        <w:t>，但也</w:t>
      </w: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存在着公开的内容和质量有待丰富和提高。针对上述问题，2024年将做好以下工作。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3" w:firstLineChars="200"/>
        <w:jc w:val="both"/>
        <w:textAlignment w:val="auto"/>
        <w:outlineLvl w:val="9"/>
        <w:rPr>
          <w:rFonts w:hint="default" w:ascii="Times New Roman" w:hAnsi="Times New Roman" w:eastAsia="仿宋_GB2312" w:cs="Times New Roman"/>
          <w:i w:val="0"/>
          <w:iCs w:val="0"/>
          <w:caps w:val="0"/>
          <w:color w:val="000000"/>
          <w:spacing w:val="0"/>
          <w:sz w:val="32"/>
          <w:szCs w:val="32"/>
          <w:shd w:val="clear" w:color="auto" w:fill="FFFFFF"/>
          <w:lang w:val="en-US" w:eastAsia="zh-CN"/>
        </w:rPr>
      </w:pPr>
      <w:r>
        <w:rPr>
          <w:rFonts w:hint="default" w:ascii="Times New Roman" w:hAnsi="Times New Roman" w:eastAsia="仿宋_GB2312" w:cs="Times New Roman"/>
          <w:b/>
          <w:bCs/>
          <w:i w:val="0"/>
          <w:iCs w:val="0"/>
          <w:caps w:val="0"/>
          <w:color w:val="000000"/>
          <w:spacing w:val="0"/>
          <w:sz w:val="32"/>
          <w:szCs w:val="32"/>
          <w:shd w:val="clear" w:color="auto" w:fill="FFFFFF"/>
          <w:lang w:val="en-US" w:eastAsia="zh-CN"/>
        </w:rPr>
        <w:t>一是</w:t>
      </w: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认真执行政务公开规定，以和田政府信息网站为依托，坚持以公开为常态，不公开为例外，加大网上公开范围，做到应公开尽公开，确保方向不偏、焦点不散。</w:t>
      </w:r>
      <w:r>
        <w:rPr>
          <w:rFonts w:hint="default" w:ascii="Times New Roman" w:hAnsi="Times New Roman" w:eastAsia="仿宋_GB2312" w:cs="Times New Roman"/>
          <w:b/>
          <w:bCs/>
          <w:i w:val="0"/>
          <w:iCs w:val="0"/>
          <w:caps w:val="0"/>
          <w:color w:val="000000"/>
          <w:spacing w:val="0"/>
          <w:sz w:val="32"/>
          <w:szCs w:val="32"/>
          <w:shd w:val="clear" w:color="auto" w:fill="FFFFFF"/>
          <w:lang w:val="en-US" w:eastAsia="zh-CN"/>
        </w:rPr>
        <w:t>二是</w:t>
      </w: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聚焦重点政务信息，逐步增加政府信息公开内容，丰富内容、注重质量，扩大审计的宣传力和影响力，力促政务公开优质高效。</w:t>
      </w:r>
    </w:p>
    <w:p>
      <w:pPr>
        <w:keepNext w:val="0"/>
        <w:keepLines w:val="0"/>
        <w:pageBreakBefore w:val="0"/>
        <w:kinsoku/>
        <w:wordWrap/>
        <w:overflowPunct/>
        <w:topLinePunct w:val="0"/>
        <w:autoSpaceDE/>
        <w:autoSpaceDN/>
        <w:bidi w:val="0"/>
        <w:adjustRightInd/>
        <w:snapToGrid/>
        <w:spacing w:line="520" w:lineRule="exact"/>
        <w:ind w:firstLine="632" w:firstLineChars="200"/>
        <w:jc w:val="both"/>
        <w:textAlignment w:val="auto"/>
        <w:rPr>
          <w:rFonts w:hint="default" w:ascii="Times New Roman" w:hAnsi="Times New Roman" w:eastAsia="黑体" w:cs="Times New Roman"/>
          <w:b w:val="0"/>
          <w:bCs w:val="0"/>
          <w:spacing w:val="-2"/>
          <w:sz w:val="32"/>
          <w:szCs w:val="32"/>
        </w:rPr>
      </w:pPr>
      <w:r>
        <w:rPr>
          <w:rFonts w:hint="default" w:ascii="Times New Roman" w:hAnsi="Times New Roman" w:eastAsia="黑体" w:cs="Times New Roman"/>
          <w:b w:val="0"/>
          <w:bCs w:val="0"/>
          <w:spacing w:val="-2"/>
          <w:sz w:val="32"/>
          <w:szCs w:val="32"/>
        </w:rPr>
        <w:t>六、其他需要报告的事项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outlineLvl w:val="9"/>
        <w:rPr>
          <w:rFonts w:hint="default" w:ascii="Times New Roman" w:hAnsi="Times New Roman" w:eastAsia="仿宋_GB2312" w:cs="Times New Roman"/>
          <w:i w:val="0"/>
          <w:iCs w:val="0"/>
          <w:caps w:val="0"/>
          <w:color w:val="000000"/>
          <w:spacing w:val="0"/>
          <w:sz w:val="32"/>
          <w:szCs w:val="32"/>
          <w:shd w:val="clear" w:color="auto" w:fill="FFFFFF"/>
          <w:lang w:val="en-US" w:eastAsia="zh-CN"/>
        </w:rPr>
      </w:pP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本机关按照《国务院办公厅关于印发&lt;政府信息公开信息处理费管理办法&gt;的通知》（国办函〔2020〕109号）规定的按件、按量收费标准，本年度未产生信息公开处理费。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480" w:firstLineChars="1400"/>
        <w:jc w:val="both"/>
        <w:textAlignment w:val="auto"/>
        <w:outlineLvl w:val="9"/>
        <w:rPr>
          <w:rFonts w:hint="default" w:ascii="Times New Roman" w:hAnsi="Times New Roman" w:eastAsia="仿宋_GB2312" w:cs="Times New Roman"/>
          <w:i w:val="0"/>
          <w:iCs w:val="0"/>
          <w:caps w:val="0"/>
          <w:color w:val="000000"/>
          <w:spacing w:val="0"/>
          <w:sz w:val="32"/>
          <w:szCs w:val="32"/>
          <w:shd w:val="clear" w:color="auto" w:fill="FFFFFF"/>
          <w:lang w:eastAsia="zh-C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2320" w:firstLineChars="725"/>
        <w:jc w:val="center"/>
        <w:textAlignment w:val="auto"/>
        <w:outlineLvl w:val="9"/>
        <w:rPr>
          <w:rFonts w:hint="default" w:ascii="Times New Roman" w:hAnsi="Times New Roman" w:eastAsia="仿宋_GB2312" w:cs="Times New Roman"/>
          <w:i w:val="0"/>
          <w:iCs w:val="0"/>
          <w:caps w:val="0"/>
          <w:color w:val="000000"/>
          <w:spacing w:val="0"/>
          <w:sz w:val="32"/>
          <w:szCs w:val="32"/>
          <w:shd w:val="clear" w:color="auto" w:fill="FFFFFF"/>
          <w:lang w:eastAsia="zh-CN"/>
        </w:rPr>
      </w:pPr>
      <w:r>
        <w:rPr>
          <w:rFonts w:hint="default" w:ascii="Times New Roman" w:hAnsi="Times New Roman" w:eastAsia="仿宋_GB2312" w:cs="Times New Roman"/>
          <w:i w:val="0"/>
          <w:iCs w:val="0"/>
          <w:caps w:val="0"/>
          <w:color w:val="000000"/>
          <w:spacing w:val="0"/>
          <w:sz w:val="32"/>
          <w:szCs w:val="32"/>
          <w:shd w:val="clear" w:color="auto" w:fill="FFFFFF"/>
          <w:lang w:eastAsia="zh-CN"/>
        </w:rPr>
        <w:t>和田地区审计局</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2320" w:firstLineChars="725"/>
        <w:jc w:val="center"/>
        <w:textAlignment w:val="auto"/>
        <w:outlineLvl w:val="9"/>
        <w:rPr>
          <w:rFonts w:hint="default" w:ascii="Times New Roman" w:hAnsi="Times New Roman" w:cs="Times New Roman"/>
        </w:rPr>
      </w:pPr>
      <w:r>
        <w:rPr>
          <w:rFonts w:hint="default" w:ascii="Times New Roman" w:hAnsi="Times New Roman" w:eastAsia="仿宋_GB2312" w:cs="Times New Roman"/>
          <w:i w:val="0"/>
          <w:iCs w:val="0"/>
          <w:caps w:val="0"/>
          <w:color w:val="000000"/>
          <w:spacing w:val="0"/>
          <w:sz w:val="32"/>
          <w:szCs w:val="32"/>
          <w:shd w:val="clear" w:color="auto" w:fill="FFFFFF"/>
          <w:lang w:val="en-US" w:eastAsia="zh-CN"/>
        </w:rPr>
        <w:t>2024年1月9日</w:t>
      </w:r>
    </w:p>
    <w:sectPr>
      <w:footerReference r:id="rId3" w:type="default"/>
      <w:pgSz w:w="11906" w:h="16838"/>
      <w:pgMar w:top="1440" w:right="1689" w:bottom="1440" w:left="1746"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o6nIZAgAAIQ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ArqOpyGQIAACEEAAAOAAAA&#10;AAAAAAEAIAAAAB8BAABkcnMvZTJvRG9jLnhtbFBLBQYAAAAABgAGAFkBAACq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FCA53"/>
    <w:rsid w:val="19417543"/>
    <w:rsid w:val="311A3399"/>
    <w:rsid w:val="59FBBA9D"/>
    <w:rsid w:val="5E792EA7"/>
    <w:rsid w:val="61FFC953"/>
    <w:rsid w:val="659F80AB"/>
    <w:rsid w:val="6FD5E238"/>
    <w:rsid w:val="72F73E94"/>
    <w:rsid w:val="73EF544F"/>
    <w:rsid w:val="7BEFAC31"/>
    <w:rsid w:val="7CF0A602"/>
    <w:rsid w:val="7FDF1EB1"/>
    <w:rsid w:val="9BEB3A45"/>
    <w:rsid w:val="9BEFD420"/>
    <w:rsid w:val="C7DE0092"/>
    <w:rsid w:val="CBFEC043"/>
    <w:rsid w:val="DECF6BFF"/>
    <w:rsid w:val="EFCD5ABC"/>
    <w:rsid w:val="F5FD5E7C"/>
    <w:rsid w:val="F7BF0C07"/>
    <w:rsid w:val="F7C786FA"/>
    <w:rsid w:val="FF6FDDE5"/>
    <w:rsid w:val="FFFFCA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5"/>
      <w:szCs w:val="35"/>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Table Text"/>
    <w:basedOn w:val="1"/>
    <w:semiHidden/>
    <w:qFormat/>
    <w:uiPriority w:val="0"/>
    <w:rPr>
      <w:rFonts w:ascii="宋体" w:hAnsi="宋体" w:eastAsia="宋体" w:cs="宋体"/>
      <w:sz w:val="24"/>
      <w:szCs w:val="24"/>
      <w:lang w:val="en-US" w:eastAsia="en-US" w:bidi="ar-SA"/>
    </w:rPr>
  </w:style>
  <w:style w:type="table" w:customStyle="1" w:styleId="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60</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2024-01-10T18:12:00Z</dcterms:created>
  <dc:creator>user</dc:creator>
  <cp:lastModifiedBy>Administrator</cp:lastModifiedBy>
  <cp:lastPrinted>2024-01-11T01:42:00Z</cp:lastPrinted>
  <dcterms:modified xsi:type="dcterms:W3CDTF">2026-08-25T04:33:09Z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203B4033D32A4A96A63ED9EB579DC569_13</vt:lpwstr>
  </property>
</Properties>
</file>