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B9B725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/>
        <w:jc w:val="center"/>
        <w:textAlignment w:val="auto"/>
        <w:outlineLvl w:val="9"/>
        <w:rPr>
          <w:rFonts w:hint="eastAsia" w:ascii="仿宋" w:hAnsi="仿宋" w:eastAsia="仿宋" w:cs="仿宋"/>
          <w:b w:val="0"/>
          <w:bCs w:val="0"/>
          <w:i w:val="0"/>
          <w:caps w:val="0"/>
          <w:color w:val="333333"/>
          <w:spacing w:val="0"/>
          <w:sz w:val="40"/>
          <w:szCs w:val="40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333333"/>
          <w:spacing w:val="0"/>
          <w:sz w:val="40"/>
          <w:szCs w:val="40"/>
          <w:highlight w:val="none"/>
          <w:lang w:val="en-US" w:eastAsia="zh-CN"/>
        </w:rPr>
        <w:t>关于</w:t>
      </w:r>
      <w:bookmarkStart w:id="0" w:name="OLE_LINK24"/>
      <w:r>
        <w:rPr>
          <w:rFonts w:hint="eastAsia" w:ascii="仿宋" w:hAnsi="仿宋" w:eastAsia="仿宋" w:cs="仿宋"/>
          <w:b w:val="0"/>
          <w:bCs w:val="0"/>
          <w:i w:val="0"/>
          <w:caps w:val="0"/>
          <w:color w:val="333333"/>
          <w:spacing w:val="0"/>
          <w:sz w:val="40"/>
          <w:szCs w:val="40"/>
          <w:highlight w:val="none"/>
          <w:lang w:val="en-US" w:eastAsia="zh-CN"/>
        </w:rPr>
        <w:t>制定和田地区普惠托育服务机构</w:t>
      </w:r>
    </w:p>
    <w:p w14:paraId="62BE8A49"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rightChars="0"/>
        <w:jc w:val="center"/>
        <w:textAlignment w:val="auto"/>
        <w:rPr>
          <w:rFonts w:hint="eastAsia" w:ascii="仿宋" w:hAnsi="仿宋" w:eastAsia="仿宋" w:cs="仿宋"/>
          <w:b w:val="0"/>
          <w:bCs w:val="0"/>
          <w:i w:val="0"/>
          <w:caps w:val="0"/>
          <w:color w:val="333333"/>
          <w:spacing w:val="0"/>
          <w:sz w:val="40"/>
          <w:szCs w:val="40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333333"/>
          <w:spacing w:val="0"/>
          <w:sz w:val="40"/>
          <w:szCs w:val="40"/>
          <w:highlight w:val="none"/>
          <w:lang w:val="en-US" w:eastAsia="zh-CN"/>
        </w:rPr>
        <w:t>保育费收费标准</w:t>
      </w:r>
      <w:bookmarkEnd w:id="0"/>
      <w:r>
        <w:rPr>
          <w:rFonts w:hint="eastAsia" w:ascii="仿宋" w:hAnsi="仿宋" w:eastAsia="仿宋" w:cs="仿宋"/>
          <w:b w:val="0"/>
          <w:bCs w:val="0"/>
          <w:i w:val="0"/>
          <w:caps w:val="0"/>
          <w:color w:val="333333"/>
          <w:spacing w:val="0"/>
          <w:sz w:val="40"/>
          <w:szCs w:val="40"/>
          <w:highlight w:val="none"/>
          <w:lang w:val="en-US" w:eastAsia="zh-CN"/>
        </w:rPr>
        <w:t>的通知</w:t>
      </w:r>
    </w:p>
    <w:p w14:paraId="5307DB36">
      <w:pPr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4929367D">
      <w:pPr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和发改规〔20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1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号</w:t>
      </w:r>
    </w:p>
    <w:p w14:paraId="14BDFBB3">
      <w:pPr>
        <w:pStyle w:val="2"/>
        <w:rPr>
          <w:rFonts w:hint="eastAsia" w:ascii="仿宋" w:hAnsi="仿宋" w:eastAsia="仿宋" w:cs="仿宋"/>
          <w:lang w:val="en-US" w:eastAsia="zh-CN"/>
        </w:rPr>
      </w:pPr>
    </w:p>
    <w:p w14:paraId="06DC63E4"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rightChars="0"/>
        <w:jc w:val="center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6"/>
          <w:sz w:val="40"/>
          <w:szCs w:val="40"/>
          <w:highlight w:val="none"/>
          <w:lang w:val="en-US" w:eastAsia="zh-CN"/>
        </w:rPr>
      </w:pPr>
    </w:p>
    <w:p w14:paraId="6DB59D45"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both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各县市发展改革委、卫生健康委，相关托育机构及幼儿园：</w:t>
      </w:r>
    </w:p>
    <w:p w14:paraId="0EC8C3D9">
      <w:pPr>
        <w:pStyle w:val="1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0"/>
          <w:sz w:val="32"/>
          <w:szCs w:val="32"/>
          <w:highlight w:val="none"/>
          <w:lang w:val="en-US" w:eastAsia="zh-CN"/>
        </w:rPr>
        <w:t>为加强托育服务收费管理，规范收费行为，促进我地区托育服务事业健康有序发展，根据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《新疆维吾尔自治区学前教育与托育服务收费管理办法》等相关规定，</w:t>
      </w:r>
      <w:r>
        <w:rPr>
          <w:rFonts w:hint="eastAsia" w:ascii="仿宋" w:hAnsi="仿宋" w:eastAsia="仿宋" w:cs="仿宋"/>
          <w:spacing w:val="6"/>
          <w:sz w:val="32"/>
          <w:szCs w:val="32"/>
          <w:highlight w:val="none"/>
          <w:lang w:val="en-US" w:eastAsia="zh-CN"/>
        </w:rPr>
        <w:t>地区发展改革委依法履行政府制定价格相关程序，并经行署常务会研究</w:t>
      </w:r>
      <w:r>
        <w:rPr>
          <w:rFonts w:hint="eastAsia" w:ascii="仿宋" w:hAnsi="仿宋" w:eastAsia="仿宋" w:cs="仿宋"/>
          <w:b w:val="0"/>
          <w:bCs w:val="0"/>
          <w:color w:val="000000"/>
          <w:spacing w:val="0"/>
          <w:sz w:val="32"/>
          <w:szCs w:val="32"/>
          <w:highlight w:val="none"/>
          <w:lang w:val="en-US" w:eastAsia="zh-CN"/>
        </w:rPr>
        <w:t>同意，</w:t>
      </w:r>
      <w:r>
        <w:rPr>
          <w:rFonts w:hint="eastAsia" w:ascii="仿宋" w:hAnsi="仿宋" w:eastAsia="仿宋" w:cs="仿宋"/>
          <w:b w:val="0"/>
          <w:bCs w:val="0"/>
          <w:color w:val="000000"/>
          <w:spacing w:val="0"/>
          <w:sz w:val="32"/>
          <w:szCs w:val="32"/>
          <w:highlight w:val="none"/>
          <w:lang w:val="en-US" w:eastAsia="zh-CN"/>
        </w:rPr>
        <w:t>现将</w:t>
      </w:r>
      <w:r>
        <w:rPr>
          <w:rFonts w:hint="eastAsia" w:ascii="仿宋" w:hAnsi="仿宋" w:eastAsia="仿宋" w:cs="仿宋"/>
          <w:b w:val="0"/>
          <w:bCs w:val="0"/>
          <w:color w:val="000000"/>
          <w:spacing w:val="0"/>
          <w:sz w:val="32"/>
          <w:szCs w:val="32"/>
          <w:highlight w:val="none"/>
          <w:lang w:val="en-US" w:eastAsia="zh-CN"/>
        </w:rPr>
        <w:t>和田</w:t>
      </w:r>
      <w:r>
        <w:rPr>
          <w:rFonts w:hint="eastAsia" w:ascii="仿宋" w:hAnsi="仿宋" w:eastAsia="仿宋" w:cs="仿宋"/>
          <w:b w:val="0"/>
          <w:bCs w:val="0"/>
          <w:color w:val="000000"/>
          <w:spacing w:val="0"/>
          <w:sz w:val="32"/>
          <w:szCs w:val="32"/>
          <w:highlight w:val="none"/>
          <w:lang w:val="en-US" w:eastAsia="zh-CN"/>
        </w:rPr>
        <w:t>地区普惠性托育服务机构保育费收费标准有关事项通知如下：</w:t>
      </w:r>
    </w:p>
    <w:p w14:paraId="30C8B1A9">
      <w:pPr>
        <w:pStyle w:val="13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64" w:firstLineChars="200"/>
        <w:jc w:val="both"/>
        <w:textAlignment w:val="auto"/>
        <w:outlineLvl w:val="0"/>
        <w:rPr>
          <w:rFonts w:hint="eastAsia" w:ascii="仿宋" w:hAnsi="仿宋" w:eastAsia="仿宋" w:cs="仿宋"/>
          <w:b w:val="0"/>
          <w:bCs w:val="0"/>
          <w:color w:val="auto"/>
          <w:spacing w:val="6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spacing w:val="6"/>
          <w:kern w:val="2"/>
          <w:sz w:val="32"/>
          <w:szCs w:val="32"/>
          <w:highlight w:val="none"/>
          <w:u w:val="none"/>
          <w:lang w:val="en-US" w:eastAsia="zh-CN" w:bidi="ar-SA"/>
        </w:rPr>
        <w:t>适用范围</w:t>
      </w:r>
    </w:p>
    <w:p w14:paraId="2B8A7FCE"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保育费收费标准适用于全地区范围内经地县卫健委备案认定，面向3周岁以下婴幼儿提供照护服务的普惠托育服务机构，包括公办托育服务机构、社会办普惠托育服务机构，公办幼儿园、普惠性民办幼儿园开设的托班。托育机构按规定划分乳儿班、托小班、混合班、托大班四种班型，其中乳儿班服务对象为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6—12个月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婴幼儿，托小班服务对象为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12—24个月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婴幼儿，混合班服务对象为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18个月以上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婴幼儿，托大班服务对象为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24—36个月婴幼儿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。公办幼儿园、普惠性民办幼儿园开设托班服务对象为2-3岁幼儿。</w:t>
      </w:r>
    </w:p>
    <w:p w14:paraId="28AE27A6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64" w:firstLineChars="200"/>
        <w:jc w:val="both"/>
        <w:textAlignment w:val="auto"/>
        <w:outlineLvl w:val="0"/>
        <w:rPr>
          <w:rFonts w:hint="eastAsia" w:ascii="仿宋" w:hAnsi="仿宋" w:eastAsia="仿宋" w:cs="仿宋"/>
          <w:b w:val="0"/>
          <w:bCs w:val="0"/>
          <w:color w:val="auto"/>
          <w:spacing w:val="6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spacing w:val="6"/>
          <w:kern w:val="2"/>
          <w:sz w:val="32"/>
          <w:szCs w:val="32"/>
          <w:highlight w:val="none"/>
          <w:u w:val="none"/>
          <w:lang w:val="en-US" w:eastAsia="zh-CN" w:bidi="ar-SA"/>
        </w:rPr>
        <w:t>二、收费标准</w:t>
      </w:r>
    </w:p>
    <w:p w14:paraId="792E547D"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3" w:firstLineChars="200"/>
        <w:jc w:val="both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lang w:val="en-US" w:eastAsia="zh-CN" w:bidi="ar-SA"/>
        </w:rPr>
        <w:t>1.公办托育机构：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乳儿班600元/人·月、托小班500元/人·月、混合班500元/人·月、托大班400元/人·月。</w:t>
      </w:r>
    </w:p>
    <w:p w14:paraId="53D53612"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43" w:firstLineChars="200"/>
        <w:jc w:val="both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lang w:val="en-US" w:eastAsia="zh-CN" w:bidi="ar-SA"/>
        </w:rPr>
        <w:t>2.社会办普惠托育机构：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 xml:space="preserve">乳儿班1000元/人·月、托小班850元/人·月、混合班850元/人·月、托大班750元/人·月。  </w:t>
      </w:r>
    </w:p>
    <w:p w14:paraId="07B581B6"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43" w:firstLineChars="200"/>
        <w:jc w:val="both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lang w:val="en-US" w:eastAsia="zh-CN" w:bidi="ar-SA"/>
        </w:rPr>
        <w:t>3.公办幼儿园托班：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400元/人·月。</w:t>
      </w:r>
    </w:p>
    <w:p w14:paraId="492A342F"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firstLine="643" w:firstLineChars="200"/>
        <w:jc w:val="both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lang w:val="en-US" w:eastAsia="zh-CN" w:bidi="ar-SA"/>
        </w:rPr>
        <w:t>4.普惠性民办幼儿园托班：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750元/人·月。</w:t>
      </w:r>
    </w:p>
    <w:p w14:paraId="22532CA7"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普惠托育服务机构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保育费实行政府指导价管理，以核定基准收费标准为基础，托育机构可根据自身经营状况，在基准价基础上最高上浮不超过20%，下浮幅度不限。托育机构调整执行浮动收费标准的，须将具体执行标准报送地区发改委、卫健委备案。</w:t>
      </w:r>
    </w:p>
    <w:p w14:paraId="332B69AF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64" w:firstLineChars="200"/>
        <w:jc w:val="both"/>
        <w:textAlignment w:val="auto"/>
        <w:outlineLvl w:val="0"/>
        <w:rPr>
          <w:rFonts w:hint="eastAsia" w:ascii="仿宋" w:hAnsi="仿宋" w:eastAsia="仿宋" w:cs="仿宋"/>
          <w:b w:val="0"/>
          <w:bCs w:val="0"/>
          <w:color w:val="auto"/>
          <w:spacing w:val="6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spacing w:val="6"/>
          <w:kern w:val="2"/>
          <w:sz w:val="32"/>
          <w:szCs w:val="32"/>
          <w:highlight w:val="none"/>
          <w:u w:val="none"/>
          <w:lang w:val="en-US" w:eastAsia="zh-CN" w:bidi="ar-SA"/>
        </w:rPr>
        <w:t>三、相关要求</w:t>
      </w:r>
    </w:p>
    <w:p w14:paraId="0A52AC7D"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50" w:lineRule="exact"/>
        <w:ind w:left="0" w:right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（一）严格规范结算方式。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根据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自治区发展改革委等五部门关于印发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《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新疆维吾尔自治区学前教育与托育服务收费管理办法的通知》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（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新发改规〔2025〕4号）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文件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规定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，保育费应按月收取，不得跨月预收，当婴幼儿当月在托实际时间不足4天（含0天和4天），按缴费额的80%退还；超过4天但不足当月法定工作日数一半（含一半），按缴费额的50%退还；超过当月法定工作日数一半的，不退还所缴保育费。婴幼儿入托后因故退托的，应根据已发生的实际保育费成本情况退还相应预收费用；因幼儿园和托育服务机构原因造成停课的，幼儿园和托育服务机构应按实际天数退还保育费。托育机构全日托时间为法定工作日，一般不低于8小时/日，接送时间原则上与当地上下班时间一致。托育机构可根据需求提供不同时长的延时托管服务，延时收费计费规则，由托育机构、家长双方协议约定。提供半日托、计时托等非全日托服务的收费标准，可参照对应全日托保育费标准按小时折算，具体由双方协议约定执行。</w:t>
      </w:r>
    </w:p>
    <w:p w14:paraId="68B9D35A"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（二）建立目录清单制度。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托育机构应建立保育费和其他服务费目录清单，在经营场所显著位置公示，并通过门户网站、微信公众号、招生简章、公示栏等多种形式向社会公开。目录清单包含单位（机构）性质、收费项目、收费标准、服务内容、收费依据和举报电话等内容，实现所有收费项目一张清单全覆盖，清单之外一律不得收费。未按规定公示或公示内容与政策不符的，不得收费。地县卫健部门要结合实际，将本地区、本县市收费目录清单在统一平台进行集中公示并及时更新，接受社会监督。</w:t>
      </w:r>
    </w:p>
    <w:p w14:paraId="2726AA53"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（三）落实支持政策。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各县市供水、供电、供气、供热企业要严格落实《国家发展改革委 国家卫生健康委关于进一步完善价格形成机制、支持普惠托育服务体系建设的通知》（发改价格〔2024〕1477号）相关支持政策，托育机构用水、用电、用气、用热按照居民生活类价格执行。</w:t>
      </w:r>
    </w:p>
    <w:p w14:paraId="06D17517"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（四）严格监督管理。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地县发改、卫健、市场监管等相关部门要密切配合，依据职责加强监督检查，认真受理托育服务收费及支持政策落实情况等投诉或举报，严肃查处各类收费及水电气暖支持政策不落实等违法违规行为，对性质恶劣、情节严重的典型案件公开曝光。</w:t>
      </w:r>
    </w:p>
    <w:p w14:paraId="69E41037"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仿宋" w:hAnsi="仿宋" w:eastAsia="仿宋" w:cs="仿宋"/>
          <w:spacing w:val="6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kern w:val="2"/>
          <w:sz w:val="32"/>
          <w:szCs w:val="32"/>
          <w:lang w:val="en-US" w:eastAsia="zh-CN" w:bidi="ar-SA"/>
        </w:rPr>
        <w:t>本通知自2026年12月1日起执行</w:t>
      </w:r>
      <w:r>
        <w:rPr>
          <w:rFonts w:hint="eastAsia" w:ascii="仿宋" w:hAnsi="仿宋" w:eastAsia="仿宋" w:cs="仿宋"/>
          <w:b w:val="0"/>
          <w:bCs/>
          <w:color w:val="auto"/>
          <w:spacing w:val="-11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仿宋" w:hAnsi="仿宋" w:eastAsia="仿宋" w:cs="仿宋"/>
          <w:spacing w:val="-11"/>
          <w:sz w:val="32"/>
          <w:szCs w:val="32"/>
          <w:lang w:val="en-US" w:eastAsia="zh-CN"/>
        </w:rPr>
        <w:t>有效期至</w:t>
      </w:r>
      <w:r>
        <w:rPr>
          <w:rFonts w:hint="eastAsia" w:ascii="仿宋" w:hAnsi="仿宋" w:eastAsia="仿宋" w:cs="仿宋"/>
          <w:b w:val="0"/>
          <w:bCs/>
          <w:color w:val="auto"/>
          <w:spacing w:val="-11"/>
          <w:kern w:val="2"/>
          <w:sz w:val="32"/>
          <w:szCs w:val="32"/>
          <w:lang w:val="en-US" w:eastAsia="zh-CN" w:bidi="ar-SA"/>
        </w:rPr>
        <w:t>2031</w:t>
      </w:r>
      <w:r>
        <w:rPr>
          <w:rFonts w:hint="eastAsia" w:ascii="仿宋" w:hAnsi="仿宋" w:eastAsia="仿宋" w:cs="仿宋"/>
          <w:spacing w:val="-11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b w:val="0"/>
          <w:bCs/>
          <w:color w:val="auto"/>
          <w:spacing w:val="-11"/>
          <w:kern w:val="2"/>
          <w:sz w:val="32"/>
          <w:szCs w:val="32"/>
          <w:lang w:val="en-US" w:eastAsia="zh-CN" w:bidi="ar-SA"/>
        </w:rPr>
        <w:t>11</w:t>
      </w:r>
      <w:r>
        <w:rPr>
          <w:rFonts w:hint="eastAsia" w:ascii="仿宋" w:hAnsi="仿宋" w:eastAsia="仿宋" w:cs="仿宋"/>
          <w:spacing w:val="-11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b w:val="0"/>
          <w:bCs/>
          <w:color w:val="auto"/>
          <w:spacing w:val="-11"/>
          <w:kern w:val="2"/>
          <w:sz w:val="32"/>
          <w:szCs w:val="32"/>
          <w:lang w:val="en-US" w:eastAsia="zh-CN" w:bidi="ar-SA"/>
        </w:rPr>
        <w:t>30</w:t>
      </w:r>
      <w:r>
        <w:rPr>
          <w:rFonts w:hint="eastAsia" w:ascii="仿宋" w:hAnsi="仿宋" w:eastAsia="仿宋" w:cs="仿宋"/>
          <w:spacing w:val="-11"/>
          <w:sz w:val="32"/>
          <w:szCs w:val="32"/>
          <w:lang w:val="en-US" w:eastAsia="zh-CN"/>
        </w:rPr>
        <w:t>日</w:t>
      </w:r>
      <w:r>
        <w:rPr>
          <w:rFonts w:hint="eastAsia" w:ascii="仿宋" w:hAnsi="仿宋" w:eastAsia="仿宋" w:cs="仿宋"/>
          <w:b w:val="0"/>
          <w:bCs/>
          <w:color w:val="auto"/>
          <w:spacing w:val="-11"/>
          <w:kern w:val="2"/>
          <w:sz w:val="32"/>
          <w:szCs w:val="32"/>
          <w:lang w:val="en-US" w:eastAsia="zh-CN" w:bidi="ar-SA"/>
        </w:rPr>
        <w:t>。</w:t>
      </w:r>
      <w:r>
        <w:rPr>
          <w:rFonts w:hint="eastAsia" w:ascii="仿宋" w:hAnsi="仿宋" w:eastAsia="仿宋" w:cs="仿宋"/>
          <w:spacing w:val="6"/>
          <w:sz w:val="32"/>
          <w:szCs w:val="32"/>
          <w:highlight w:val="none"/>
          <w:lang w:val="en-US" w:eastAsia="zh-CN"/>
        </w:rPr>
        <w:t>由地区发展改革委负责解释。执行期间如遇国家、自治区政策调整，从其规定。</w:t>
      </w:r>
      <w:bookmarkStart w:id="1" w:name="_GoBack"/>
      <w:bookmarkEnd w:id="1"/>
    </w:p>
    <w:p w14:paraId="1C7FA645"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64" w:firstLineChars="200"/>
        <w:jc w:val="left"/>
        <w:textAlignment w:val="auto"/>
        <w:rPr>
          <w:rFonts w:hint="eastAsia" w:ascii="仿宋" w:hAnsi="仿宋" w:eastAsia="仿宋" w:cs="仿宋"/>
          <w:i w:val="0"/>
          <w:caps w:val="0"/>
          <w:color w:val="333333"/>
          <w:spacing w:val="6"/>
          <w:sz w:val="32"/>
          <w:szCs w:val="32"/>
          <w:highlight w:val="none"/>
          <w:lang w:val="en-US" w:eastAsia="zh-CN"/>
        </w:rPr>
      </w:pPr>
    </w:p>
    <w:p w14:paraId="3C58A96B"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64" w:firstLineChars="200"/>
        <w:jc w:val="left"/>
        <w:textAlignment w:val="auto"/>
        <w:rPr>
          <w:rFonts w:hint="eastAsia" w:ascii="仿宋" w:hAnsi="仿宋" w:eastAsia="仿宋" w:cs="仿宋"/>
          <w:spacing w:val="6"/>
          <w:sz w:val="32"/>
          <w:szCs w:val="32"/>
          <w:highlight w:val="none"/>
          <w:lang w:val="en-US" w:eastAsia="zh-CN"/>
        </w:rPr>
      </w:pPr>
    </w:p>
    <w:p w14:paraId="4FB0877E"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rightChars="0" w:firstLine="664" w:firstLineChars="200"/>
        <w:jc w:val="left"/>
        <w:textAlignment w:val="auto"/>
        <w:rPr>
          <w:rFonts w:hint="eastAsia" w:ascii="仿宋" w:hAnsi="仿宋" w:eastAsia="仿宋" w:cs="仿宋"/>
          <w:spacing w:val="6"/>
          <w:sz w:val="32"/>
          <w:szCs w:val="32"/>
          <w:highlight w:val="none"/>
          <w:lang w:val="en-US" w:eastAsia="zh-CN"/>
        </w:rPr>
      </w:pPr>
    </w:p>
    <w:p w14:paraId="188CD53A"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rightChars="0" w:firstLine="664" w:firstLineChars="200"/>
        <w:jc w:val="left"/>
        <w:textAlignment w:val="auto"/>
        <w:rPr>
          <w:rFonts w:hint="eastAsia" w:ascii="仿宋" w:hAnsi="仿宋" w:eastAsia="仿宋" w:cs="仿宋"/>
          <w:spacing w:val="6"/>
          <w:sz w:val="32"/>
          <w:szCs w:val="32"/>
          <w:highlight w:val="none"/>
          <w:lang w:val="en-US" w:eastAsia="zh-CN"/>
        </w:rPr>
      </w:pPr>
    </w:p>
    <w:p w14:paraId="7DCA5C35"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rightChars="0" w:firstLine="664" w:firstLineChars="200"/>
        <w:jc w:val="left"/>
        <w:textAlignment w:val="auto"/>
        <w:rPr>
          <w:rFonts w:hint="eastAsia" w:ascii="仿宋" w:hAnsi="仿宋" w:eastAsia="仿宋" w:cs="仿宋"/>
          <w:spacing w:val="6"/>
          <w:sz w:val="32"/>
          <w:szCs w:val="32"/>
          <w:highlight w:val="none"/>
          <w:lang w:val="en-US" w:eastAsia="zh-CN"/>
        </w:rPr>
      </w:pPr>
    </w:p>
    <w:p w14:paraId="405263E2"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rightChars="0"/>
        <w:jc w:val="both"/>
        <w:textAlignment w:val="auto"/>
        <w:rPr>
          <w:rFonts w:hint="eastAsia" w:ascii="仿宋" w:hAnsi="仿宋" w:eastAsia="仿宋" w:cs="仿宋"/>
          <w:spacing w:val="6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pacing w:val="6"/>
          <w:sz w:val="32"/>
          <w:szCs w:val="32"/>
          <w:highlight w:val="none"/>
          <w:lang w:val="en-US" w:eastAsia="zh-CN"/>
        </w:rPr>
        <w:t>和田地区发展和改革委员会   和田地区卫生健康委员会</w:t>
      </w:r>
    </w:p>
    <w:p w14:paraId="57D2F53C"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rightChars="0" w:firstLine="664" w:firstLineChars="200"/>
        <w:jc w:val="center"/>
        <w:textAlignment w:val="auto"/>
        <w:rPr>
          <w:rFonts w:hint="eastAsia" w:ascii="仿宋" w:hAnsi="仿宋" w:eastAsia="仿宋" w:cs="仿宋"/>
          <w:spacing w:val="6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pacing w:val="6"/>
          <w:sz w:val="32"/>
          <w:szCs w:val="32"/>
          <w:highlight w:val="none"/>
          <w:lang w:val="en-US" w:eastAsia="zh-CN"/>
        </w:rPr>
        <w:t xml:space="preserve">                    2026年10 月25日 </w:t>
      </w:r>
    </w:p>
    <w:p w14:paraId="6D36F196"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rightChars="0" w:firstLine="664" w:firstLineChars="200"/>
        <w:jc w:val="center"/>
        <w:textAlignment w:val="auto"/>
        <w:rPr>
          <w:rFonts w:hint="eastAsia" w:ascii="仿宋" w:hAnsi="仿宋" w:eastAsia="仿宋" w:cs="仿宋"/>
          <w:spacing w:val="6"/>
          <w:sz w:val="32"/>
          <w:szCs w:val="32"/>
          <w:highlight w:val="none"/>
          <w:lang w:val="en-US" w:eastAsia="zh-CN"/>
        </w:rPr>
      </w:pPr>
    </w:p>
    <w:p w14:paraId="27CECDA7"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rightChars="0" w:firstLine="664" w:firstLineChars="200"/>
        <w:jc w:val="center"/>
        <w:textAlignment w:val="auto"/>
        <w:rPr>
          <w:rFonts w:hint="eastAsia" w:ascii="仿宋" w:hAnsi="仿宋" w:eastAsia="仿宋" w:cs="仿宋"/>
          <w:spacing w:val="6"/>
          <w:sz w:val="32"/>
          <w:szCs w:val="32"/>
          <w:highlight w:val="none"/>
          <w:lang w:val="en-US" w:eastAsia="zh-CN"/>
        </w:rPr>
      </w:pPr>
    </w:p>
    <w:p w14:paraId="0E15B1F7"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rightChars="0" w:firstLine="664" w:firstLineChars="200"/>
        <w:jc w:val="center"/>
        <w:textAlignment w:val="auto"/>
        <w:rPr>
          <w:rFonts w:hint="eastAsia" w:ascii="仿宋" w:hAnsi="仿宋" w:eastAsia="仿宋" w:cs="仿宋"/>
          <w:spacing w:val="6"/>
          <w:sz w:val="32"/>
          <w:szCs w:val="32"/>
          <w:highlight w:val="none"/>
          <w:lang w:val="en-US" w:eastAsia="zh-CN"/>
        </w:rPr>
      </w:pPr>
    </w:p>
    <w:p w14:paraId="3782FFCD">
      <w:pPr>
        <w:pStyle w:val="1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rightChars="0" w:firstLine="664" w:firstLineChars="200"/>
        <w:jc w:val="center"/>
        <w:textAlignment w:val="auto"/>
        <w:rPr>
          <w:rFonts w:hint="eastAsia" w:ascii="仿宋" w:hAnsi="仿宋" w:eastAsia="仿宋" w:cs="仿宋"/>
          <w:spacing w:val="6"/>
          <w:sz w:val="32"/>
          <w:szCs w:val="32"/>
          <w:highlight w:val="none"/>
          <w:lang w:val="en-US" w:eastAsia="zh-CN"/>
        </w:rPr>
      </w:pPr>
    </w:p>
    <w:p w14:paraId="4E25346B">
      <w:pPr>
        <w:pStyle w:val="12"/>
        <w:ind w:left="0" w:leftChars="0" w:firstLine="0" w:firstLineChars="0"/>
        <w:rPr>
          <w:rFonts w:hint="eastAsia" w:ascii="仿宋" w:hAnsi="仿宋" w:eastAsia="仿宋" w:cs="仿宋"/>
          <w:lang w:eastAsia="zh-CN"/>
        </w:rPr>
      </w:pPr>
    </w:p>
    <w:p w14:paraId="684B063A">
      <w:pPr>
        <w:pStyle w:val="12"/>
        <w:ind w:left="0" w:leftChars="0" w:firstLine="0" w:firstLineChars="0"/>
        <w:rPr>
          <w:rFonts w:hint="eastAsia" w:ascii="仿宋" w:hAnsi="仿宋" w:eastAsia="仿宋" w:cs="仿宋"/>
          <w:lang w:eastAsia="zh-CN"/>
        </w:rPr>
      </w:pPr>
    </w:p>
    <w:p w14:paraId="7B3BE830">
      <w:pPr>
        <w:pStyle w:val="12"/>
        <w:ind w:left="0" w:leftChars="0" w:firstLine="0" w:firstLineChars="0"/>
        <w:rPr>
          <w:rFonts w:hint="eastAsia" w:ascii="仿宋" w:hAnsi="仿宋" w:eastAsia="仿宋" w:cs="仿宋"/>
          <w:lang w:val="en-US" w:eastAsia="zh-CN"/>
        </w:rPr>
      </w:pPr>
    </w:p>
    <w:sectPr>
      <w:footerReference r:id="rId3" w:type="default"/>
      <w:pgSz w:w="11906" w:h="16838"/>
      <w:pgMar w:top="1984" w:right="1531" w:bottom="1701" w:left="153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00000" w:csb1="00000000"/>
  </w:font>
  <w:font w:name="Nimbus Roman No9 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59BC4E"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1DA884">
                          <w:pPr>
                            <w:pStyle w:val="1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D1DA884">
                    <w:pPr>
                      <w:pStyle w:val="1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CD0039"/>
    <w:multiLevelType w:val="singleLevel"/>
    <w:tmpl w:val="FFCD003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2075D9"/>
    <w:rsid w:val="007959D2"/>
    <w:rsid w:val="01334C91"/>
    <w:rsid w:val="04AC562C"/>
    <w:rsid w:val="0729038A"/>
    <w:rsid w:val="077D1200"/>
    <w:rsid w:val="08674845"/>
    <w:rsid w:val="09A410AB"/>
    <w:rsid w:val="0BBE2B29"/>
    <w:rsid w:val="0C944C3D"/>
    <w:rsid w:val="0CA95244"/>
    <w:rsid w:val="0DB5314F"/>
    <w:rsid w:val="0F1B3466"/>
    <w:rsid w:val="10EF39F9"/>
    <w:rsid w:val="128E015F"/>
    <w:rsid w:val="169817E2"/>
    <w:rsid w:val="18FD3EAE"/>
    <w:rsid w:val="1D4E7055"/>
    <w:rsid w:val="1D897571"/>
    <w:rsid w:val="1EF2208F"/>
    <w:rsid w:val="1F1E2DD2"/>
    <w:rsid w:val="1FDBCE52"/>
    <w:rsid w:val="200971F5"/>
    <w:rsid w:val="21C173D5"/>
    <w:rsid w:val="21F53A28"/>
    <w:rsid w:val="233C5DF6"/>
    <w:rsid w:val="23D02F2E"/>
    <w:rsid w:val="274C5AFA"/>
    <w:rsid w:val="289F1A7B"/>
    <w:rsid w:val="2A396A77"/>
    <w:rsid w:val="2BBB021A"/>
    <w:rsid w:val="2E3B510E"/>
    <w:rsid w:val="2E43000E"/>
    <w:rsid w:val="2F5F4366"/>
    <w:rsid w:val="3263121C"/>
    <w:rsid w:val="34FE6673"/>
    <w:rsid w:val="369A628C"/>
    <w:rsid w:val="37C43CC6"/>
    <w:rsid w:val="38CA19C5"/>
    <w:rsid w:val="396A5A45"/>
    <w:rsid w:val="39C34F0E"/>
    <w:rsid w:val="3AE37D06"/>
    <w:rsid w:val="3B7DD87C"/>
    <w:rsid w:val="3B8778B2"/>
    <w:rsid w:val="3BC9C0B1"/>
    <w:rsid w:val="3BFA7C6C"/>
    <w:rsid w:val="3CD217D7"/>
    <w:rsid w:val="3DDFE154"/>
    <w:rsid w:val="3DE07402"/>
    <w:rsid w:val="3E3B22A9"/>
    <w:rsid w:val="3F55223A"/>
    <w:rsid w:val="3F9D4210"/>
    <w:rsid w:val="3FDF3184"/>
    <w:rsid w:val="3FEB7E5D"/>
    <w:rsid w:val="3FFB8817"/>
    <w:rsid w:val="4044354A"/>
    <w:rsid w:val="428453F0"/>
    <w:rsid w:val="42ED5653"/>
    <w:rsid w:val="43305D7C"/>
    <w:rsid w:val="45852A6A"/>
    <w:rsid w:val="458B5A15"/>
    <w:rsid w:val="45B554F0"/>
    <w:rsid w:val="45B77298"/>
    <w:rsid w:val="48382138"/>
    <w:rsid w:val="49F10634"/>
    <w:rsid w:val="4AC72BC1"/>
    <w:rsid w:val="4BB43AC7"/>
    <w:rsid w:val="4C2851E1"/>
    <w:rsid w:val="4C4F1EF3"/>
    <w:rsid w:val="4CE43E7A"/>
    <w:rsid w:val="4EA76876"/>
    <w:rsid w:val="4F2523B9"/>
    <w:rsid w:val="522D0E90"/>
    <w:rsid w:val="567DF980"/>
    <w:rsid w:val="56BDBD02"/>
    <w:rsid w:val="56F36097"/>
    <w:rsid w:val="58D44CA4"/>
    <w:rsid w:val="58DF798F"/>
    <w:rsid w:val="592F77D0"/>
    <w:rsid w:val="5AA84F28"/>
    <w:rsid w:val="5AAC1A55"/>
    <w:rsid w:val="5AB33F2F"/>
    <w:rsid w:val="5C5711FC"/>
    <w:rsid w:val="5D472CE3"/>
    <w:rsid w:val="5DDA7A7A"/>
    <w:rsid w:val="5EEA6003"/>
    <w:rsid w:val="5F7F1ACE"/>
    <w:rsid w:val="5F90059B"/>
    <w:rsid w:val="5F933286"/>
    <w:rsid w:val="5FD9EF44"/>
    <w:rsid w:val="5FEBC6A8"/>
    <w:rsid w:val="5FED7A1A"/>
    <w:rsid w:val="61442049"/>
    <w:rsid w:val="619A345B"/>
    <w:rsid w:val="623850B0"/>
    <w:rsid w:val="625D3187"/>
    <w:rsid w:val="63F71CB6"/>
    <w:rsid w:val="65703450"/>
    <w:rsid w:val="65ED6E62"/>
    <w:rsid w:val="679A5DE5"/>
    <w:rsid w:val="68DC29B5"/>
    <w:rsid w:val="69083984"/>
    <w:rsid w:val="69465B0E"/>
    <w:rsid w:val="695C13F4"/>
    <w:rsid w:val="6AC76AB2"/>
    <w:rsid w:val="6BFFC1CF"/>
    <w:rsid w:val="6C72451A"/>
    <w:rsid w:val="6D3F0D0D"/>
    <w:rsid w:val="6D7671E4"/>
    <w:rsid w:val="6D9FB412"/>
    <w:rsid w:val="6DB8561A"/>
    <w:rsid w:val="6DEEF87F"/>
    <w:rsid w:val="6EFD5A12"/>
    <w:rsid w:val="6FD7B379"/>
    <w:rsid w:val="6FF702B1"/>
    <w:rsid w:val="70073957"/>
    <w:rsid w:val="71BB33EE"/>
    <w:rsid w:val="74A40563"/>
    <w:rsid w:val="74AB5EDC"/>
    <w:rsid w:val="76F0088B"/>
    <w:rsid w:val="775F1AAA"/>
    <w:rsid w:val="79DF079E"/>
    <w:rsid w:val="7A0C1F44"/>
    <w:rsid w:val="7B72775A"/>
    <w:rsid w:val="7BAC37FD"/>
    <w:rsid w:val="7BED85B6"/>
    <w:rsid w:val="7BFA3064"/>
    <w:rsid w:val="7C3374EA"/>
    <w:rsid w:val="7D7FD751"/>
    <w:rsid w:val="7DC43221"/>
    <w:rsid w:val="7DDF7E48"/>
    <w:rsid w:val="7DF46809"/>
    <w:rsid w:val="7E7FDD26"/>
    <w:rsid w:val="7EDFE513"/>
    <w:rsid w:val="7EF4B440"/>
    <w:rsid w:val="7EF9288C"/>
    <w:rsid w:val="7F045FB9"/>
    <w:rsid w:val="7F7E24BF"/>
    <w:rsid w:val="7FA700CF"/>
    <w:rsid w:val="7FA84349"/>
    <w:rsid w:val="7FDFE26A"/>
    <w:rsid w:val="7FFB1F44"/>
    <w:rsid w:val="ACE67EC0"/>
    <w:rsid w:val="B7F9E39B"/>
    <w:rsid w:val="BEFF7D8A"/>
    <w:rsid w:val="BFDC10CC"/>
    <w:rsid w:val="BFDFB86A"/>
    <w:rsid w:val="CFEF2E81"/>
    <w:rsid w:val="D2DF4F64"/>
    <w:rsid w:val="D6CEC491"/>
    <w:rsid w:val="D8DF956D"/>
    <w:rsid w:val="DCED6345"/>
    <w:rsid w:val="DEAB234F"/>
    <w:rsid w:val="DEED4F07"/>
    <w:rsid w:val="DF7D97D3"/>
    <w:rsid w:val="EAFB81FE"/>
    <w:rsid w:val="ED0F2769"/>
    <w:rsid w:val="EEFF83AE"/>
    <w:rsid w:val="F732FB12"/>
    <w:rsid w:val="F7FAD223"/>
    <w:rsid w:val="F9B65638"/>
    <w:rsid w:val="F9FF5C4B"/>
    <w:rsid w:val="FAEE0A23"/>
    <w:rsid w:val="FBF6514A"/>
    <w:rsid w:val="FBFB0DED"/>
    <w:rsid w:val="FC836472"/>
    <w:rsid w:val="FDBD1AFB"/>
    <w:rsid w:val="FDDCE355"/>
    <w:rsid w:val="FDEF4C39"/>
    <w:rsid w:val="FDF91EBC"/>
    <w:rsid w:val="FEFE2A2F"/>
    <w:rsid w:val="FFB7FA10"/>
    <w:rsid w:val="FFD7ADE9"/>
    <w:rsid w:val="FFDFA65A"/>
    <w:rsid w:val="FFE7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spacing w:line="0" w:lineRule="atLeast"/>
      <w:ind w:firstLine="21" w:firstLineChars="200"/>
      <w:jc w:val="center"/>
      <w:outlineLvl w:val="1"/>
    </w:pPr>
    <w:rPr>
      <w:kern w:val="0"/>
      <w:szCs w:val="20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5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0"/>
      <w:szCs w:val="20"/>
      <w:lang w:val="en-US" w:eastAsia="zh-CN" w:bidi="ar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</w:style>
  <w:style w:type="paragraph" w:styleId="6">
    <w:name w:val="Normal Indent"/>
    <w:basedOn w:val="1"/>
    <w:next w:val="1"/>
    <w:qFormat/>
    <w:uiPriority w:val="0"/>
    <w:pPr>
      <w:ind w:firstLine="420" w:firstLineChars="200"/>
    </w:pPr>
  </w:style>
  <w:style w:type="paragraph" w:styleId="7">
    <w:name w:val="Body Text Indent"/>
    <w:basedOn w:val="1"/>
    <w:next w:val="8"/>
    <w:qFormat/>
    <w:uiPriority w:val="0"/>
    <w:pPr>
      <w:spacing w:after="120"/>
      <w:ind w:left="420" w:leftChars="200"/>
    </w:pPr>
  </w:style>
  <w:style w:type="paragraph" w:styleId="8">
    <w:name w:val="header"/>
    <w:basedOn w:val="1"/>
    <w:next w:val="9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9">
    <w:name w:val="样式5"/>
    <w:basedOn w:val="10"/>
    <w:qFormat/>
    <w:uiPriority w:val="0"/>
    <w:pPr>
      <w:snapToGrid w:val="0"/>
      <w:spacing w:before="62" w:beforeLines="20" w:after="62" w:afterLines="20" w:line="480" w:lineRule="exact"/>
      <w:ind w:firstLine="523" w:firstLineChars="218"/>
      <w:jc w:val="both"/>
    </w:pPr>
    <w:rPr>
      <w:i/>
      <w:iCs/>
      <w:kern w:val="2"/>
      <w:sz w:val="24"/>
      <w:szCs w:val="20"/>
    </w:rPr>
  </w:style>
  <w:style w:type="paragraph" w:customStyle="1" w:styleId="10">
    <w:name w:val="正文1"/>
    <w:basedOn w:val="6"/>
    <w:next w:val="1"/>
    <w:qFormat/>
    <w:uiPriority w:val="0"/>
    <w:pPr>
      <w:widowControl w:val="0"/>
      <w:adjustRightInd w:val="0"/>
      <w:jc w:val="both"/>
    </w:pPr>
    <w:rPr>
      <w:rFonts w:ascii="Times New Roman" w:hAnsi="Times New Roman" w:eastAsia="楷体_GB2312" w:cs="Times New Roman"/>
      <w:kern w:val="2"/>
      <w:szCs w:val="20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List"/>
    <w:basedOn w:val="1"/>
    <w:qFormat/>
    <w:uiPriority w:val="0"/>
    <w:pPr>
      <w:spacing w:line="240" w:lineRule="auto"/>
      <w:ind w:left="200" w:hanging="200" w:hangingChars="200"/>
      <w:textAlignment w:val="auto"/>
    </w:pPr>
    <w:rPr>
      <w:rFonts w:ascii="Arial" w:hAnsi="Arial"/>
      <w:sz w:val="21"/>
    </w:rPr>
  </w:style>
  <w:style w:type="paragraph" w:styleId="13">
    <w:name w:val="Normal (Web)"/>
    <w:basedOn w:val="1"/>
    <w:next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4">
    <w:name w:val="Body Text First Indent 2"/>
    <w:basedOn w:val="7"/>
    <w:next w:val="1"/>
    <w:unhideWhenUsed/>
    <w:qFormat/>
    <w:uiPriority w:val="0"/>
    <w:pPr>
      <w:ind w:firstLine="420" w:firstLineChars="200"/>
    </w:pPr>
    <w:rPr>
      <w:rFonts w:eastAsia="宋体"/>
      <w:sz w:val="21"/>
      <w:szCs w:val="24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0"/>
    <w:rPr>
      <w:b/>
    </w:rPr>
  </w:style>
  <w:style w:type="character" w:styleId="19">
    <w:name w:val="Emphasis"/>
    <w:basedOn w:val="17"/>
    <w:qFormat/>
    <w:uiPriority w:val="0"/>
    <w:rPr>
      <w:i/>
    </w:rPr>
  </w:style>
  <w:style w:type="paragraph" w:customStyle="1" w:styleId="20">
    <w:name w:val="Default"/>
    <w:basedOn w:val="21"/>
    <w:next w:val="14"/>
    <w:qFormat/>
    <w:uiPriority w:val="0"/>
    <w:pPr>
      <w:keepNext w:val="0"/>
      <w:keepLines w:val="0"/>
      <w:widowControl w:val="0"/>
      <w:suppressLineNumbers w:val="0"/>
      <w:autoSpaceDE w:val="0"/>
      <w:autoSpaceDN w:val="0"/>
      <w:spacing w:before="0" w:beforeAutospacing="0" w:after="0" w:afterAutospacing="0"/>
      <w:ind w:left="0" w:right="0"/>
      <w:jc w:val="left"/>
    </w:pPr>
    <w:rPr>
      <w:rFonts w:hint="eastAsia" w:ascii="宋体" w:hAnsi="Times New Roman" w:eastAsia="宋体" w:cs="宋体"/>
      <w:color w:val="000000"/>
      <w:kern w:val="0"/>
      <w:sz w:val="24"/>
      <w:szCs w:val="24"/>
      <w:lang w:val="en-US" w:eastAsia="zh-CN" w:bidi="ar"/>
    </w:rPr>
  </w:style>
  <w:style w:type="paragraph" w:customStyle="1" w:styleId="21">
    <w:name w:val="纯文本1"/>
    <w:basedOn w:val="1"/>
    <w:qFormat/>
    <w:uiPriority w:val="0"/>
    <w:pPr>
      <w:widowControl w:val="0"/>
      <w:adjustRightInd w:val="0"/>
      <w:jc w:val="both"/>
    </w:pPr>
    <w:rPr>
      <w:rFonts w:hAnsi="Courier New" w:cs="Times New Roman"/>
      <w:kern w:val="2"/>
      <w:sz w:val="21"/>
      <w:szCs w:val="20"/>
    </w:rPr>
  </w:style>
  <w:style w:type="paragraph" w:styleId="2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3542</Words>
  <Characters>3631</Characters>
  <Lines>0</Lines>
  <Paragraphs>0</Paragraphs>
  <TotalTime>4</TotalTime>
  <ScaleCrop>false</ScaleCrop>
  <LinksUpToDate>false</LinksUpToDate>
  <CharactersWithSpaces>3676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2023-05-29T13:52:00Z</dcterms:created>
  <dc:creator>39600</dc:creator>
  <cp:lastModifiedBy>Administrator</cp:lastModifiedBy>
  <cp:lastPrinted>2026-10-28T18:32:00Z</cp:lastPrinted>
  <dcterms:modified xsi:type="dcterms:W3CDTF">2026-10-31T09:34:47Z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205522744AEE403A978B4080858078C1_12</vt:lpwstr>
  </property>
</Properties>
</file>