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52"/>
          <w:u w:val="none"/>
          <w:lang w:val="en-US" w:eastAsia="zh-CN"/>
        </w:rPr>
      </w:pPr>
      <w:r>
        <w:rPr>
          <w:rFonts w:hint="eastAsia" w:ascii="方正小标宋简体" w:hAnsi="方正小标宋简体" w:eastAsia="方正小标宋简体" w:cs="方正小标宋简体"/>
          <w:color w:val="auto"/>
          <w:sz w:val="44"/>
          <w:szCs w:val="52"/>
          <w:u w:val="none"/>
          <w:lang w:val="en-US" w:eastAsia="zh-CN"/>
        </w:rPr>
        <w:t>关于进一步促进和田地区房建市政领域市场健康发展的通知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仿宋_GB2312" w:cs="Times New Roman"/>
          <w:b w:val="0"/>
          <w:bCs w:val="0"/>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b w:val="0"/>
          <w:bCs w:val="0"/>
          <w:color w:val="auto"/>
          <w:kern w:val="2"/>
          <w:sz w:val="32"/>
          <w:szCs w:val="32"/>
          <w:u w:val="none"/>
          <w:lang w:val="en-US" w:eastAsia="zh-CN" w:bidi="ar-SA"/>
        </w:rPr>
        <w:t>和地建规〔2025〕1号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olor w:val="auto"/>
          <w:u w:val="none"/>
          <w:lang w:val="en-US" w:eastAsia="zh-CN"/>
        </w:rPr>
      </w:pPr>
      <w:r>
        <w:rPr>
          <w:rFonts w:hint="eastAsia" w:ascii="Times New Roman" w:hAnsi="Times New Roman" w:eastAsia="仿宋_GB2312" w:cs="Times New Roman"/>
          <w:color w:val="auto"/>
          <w:kern w:val="2"/>
          <w:sz w:val="32"/>
          <w:szCs w:val="32"/>
          <w:u w:val="none"/>
          <w:lang w:val="en-US" w:eastAsia="zh-CN" w:bidi="ar-SA"/>
        </w:rPr>
        <w:t>各县（市）住房和城乡建设局：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val="0"/>
          <w:bCs w:val="0"/>
          <w:color w:val="auto"/>
          <w:kern w:val="2"/>
          <w:sz w:val="32"/>
          <w:szCs w:val="32"/>
          <w:u w:val="none"/>
          <w:lang w:val="en-US" w:eastAsia="zh-CN" w:bidi="ar-SA"/>
        </w:rPr>
        <w:t>为进一步</w:t>
      </w:r>
      <w:r>
        <w:rPr>
          <w:rFonts w:hint="eastAsia" w:ascii="Times New Roman" w:hAnsi="Times New Roman" w:eastAsia="仿宋_GB2312" w:cs="Times New Roman"/>
          <w:color w:val="auto"/>
          <w:kern w:val="2"/>
          <w:sz w:val="32"/>
          <w:szCs w:val="32"/>
          <w:u w:val="none"/>
          <w:lang w:val="en-US" w:eastAsia="zh-CN" w:bidi="ar-SA"/>
        </w:rPr>
        <w:t>加快建筑业转型升级，增强建筑业企业竞争力，推动和田地区建筑业高质量发展，结合和田地区实际，现就进一步促进和田地区房建市政领域建筑市场健康发展有关要求通知如下：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trike/>
          <w:dstrike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一、大力推行新型建造方式。</w:t>
      </w:r>
      <w:r>
        <w:rPr>
          <w:rFonts w:hint="eastAsia" w:ascii="Times New Roman" w:hAnsi="Times New Roman" w:eastAsia="仿宋_GB2312" w:cs="Times New Roman"/>
          <w:b w:val="0"/>
          <w:bCs w:val="0"/>
          <w:color w:val="auto"/>
          <w:kern w:val="2"/>
          <w:sz w:val="32"/>
          <w:szCs w:val="32"/>
          <w:u w:val="none"/>
          <w:lang w:val="en-US" w:eastAsia="zh-CN" w:bidi="ar-SA"/>
        </w:rPr>
        <w:t>持续推广装配式建造方式，大力发展装配式建筑，推广装配化装修，积极推行绿色建造。住建部门要加大与投资审批部门的沟通协作，落实装配式建筑占新建建筑面积的比例不少于30%要求。在工程总承包项目中推进BIM（建筑信息模型）技术应用，不断推动建筑业工业化、数字化发展。项目建设单位要按照新建民用建筑全面推行绿色建筑的具体要求进行项目建设，在进行项目咨询、设计招标或者委托设计时，应当明确绿色建筑的等级以及相关指标要求，城镇新建民用建筑星级绿色建筑占比不少于30%。鼓励有条件的县市用好和田光照资源禀赋，在工业建筑、公共建筑、民用建筑、市政基础设施等项目申报光伏建筑一体化（BIPV建筑），推动城乡建设绿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二、着力优化市场营商环境。</w:t>
      </w:r>
      <w:r>
        <w:rPr>
          <w:rFonts w:hint="eastAsia" w:ascii="Times New Roman" w:hAnsi="Times New Roman" w:eastAsia="仿宋_GB2312" w:cs="Times New Roman"/>
          <w:color w:val="auto"/>
          <w:kern w:val="2"/>
          <w:sz w:val="32"/>
          <w:szCs w:val="32"/>
          <w:u w:val="none"/>
          <w:lang w:val="en-US" w:eastAsia="zh-CN" w:bidi="ar-SA"/>
        </w:rPr>
        <w:t>积极推动融入全国统一大市场建设，动态清除无法律规定的招投标市场准入条件及审批、备案、审查等事项和要素。</w:t>
      </w:r>
      <w:r>
        <w:rPr>
          <w:rFonts w:hint="eastAsia" w:ascii="仿宋_GB2312" w:hAnsi="仿宋_GB2312" w:eastAsia="仿宋_GB2312" w:cs="仿宋_GB2312"/>
          <w:color w:val="auto"/>
          <w:kern w:val="0"/>
          <w:sz w:val="32"/>
          <w:szCs w:val="32"/>
          <w:u w:val="none"/>
          <w:lang w:val="en-US" w:eastAsia="zh-CN" w:bidi="ar"/>
        </w:rPr>
        <w:t>持续推进审批事项管理标准化规范化，</w:t>
      </w:r>
      <w:r>
        <w:rPr>
          <w:rFonts w:hint="eastAsia" w:ascii="Times New Roman" w:hAnsi="Times New Roman" w:eastAsia="仿宋_GB2312" w:cs="Times New Roman"/>
          <w:b w:val="0"/>
          <w:bCs w:val="0"/>
          <w:color w:val="auto"/>
          <w:kern w:val="2"/>
          <w:sz w:val="32"/>
          <w:szCs w:val="32"/>
          <w:u w:val="none"/>
          <w:lang w:val="en-US" w:eastAsia="zh-CN" w:bidi="ar-SA"/>
        </w:rPr>
        <w:t>全力助推“高效办成一件事”，加快工程建设项目审批移动APP建设，为企业提供更加便捷、高效、贴心的住建政务服务环境。全面推行“告知承诺+容缺办理”审批模式，适时推动“分阶段核发施工许可证”“分段分期联合验收”工作，最大限度促进项目早落地、早建设、早投产。坚持以严的基调，以问题为导向，以目标为引领，以服务为宗旨，以管理为基础，以执法为警示，依托信用结果实行差别化管理，</w:t>
      </w:r>
      <w:r>
        <w:rPr>
          <w:rFonts w:hint="eastAsia" w:ascii="仿宋_GB2312" w:hAnsi="仿宋_GB2312" w:eastAsia="仿宋_GB2312" w:cs="仿宋_GB2312"/>
          <w:color w:val="auto"/>
          <w:sz w:val="32"/>
          <w:szCs w:val="40"/>
          <w:u w:val="none"/>
          <w:lang w:val="en-US" w:eastAsia="zh-CN"/>
        </w:rPr>
        <w:t>构建可感可见的（N+“服务+监管”）</w:t>
      </w:r>
      <w:r>
        <w:rPr>
          <w:rFonts w:hint="eastAsia" w:ascii="Times New Roman" w:hAnsi="Times New Roman" w:eastAsia="仿宋_GB2312" w:cs="Times New Roman"/>
          <w:b w:val="0"/>
          <w:bCs w:val="0"/>
          <w:color w:val="auto"/>
          <w:kern w:val="2"/>
          <w:sz w:val="32"/>
          <w:szCs w:val="32"/>
          <w:u w:val="none"/>
          <w:lang w:val="en-US" w:eastAsia="zh-CN" w:bidi="ar-SA"/>
        </w:rPr>
        <w:t>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b w:val="0"/>
          <w:bCs w:val="0"/>
          <w:color w:val="auto"/>
          <w:kern w:val="2"/>
          <w:sz w:val="32"/>
          <w:szCs w:val="32"/>
          <w:u w:val="none"/>
          <w:lang w:val="en-US" w:eastAsia="zh-CN" w:bidi="ar-SA"/>
        </w:rPr>
        <w:t>三、激发市场活力提振信心。</w:t>
      </w:r>
      <w:r>
        <w:rPr>
          <w:rFonts w:hint="eastAsia" w:ascii="Times New Roman" w:hAnsi="Times New Roman" w:eastAsia="仿宋_GB2312" w:cs="Times New Roman"/>
          <w:color w:val="auto"/>
          <w:kern w:val="2"/>
          <w:sz w:val="32"/>
          <w:szCs w:val="32"/>
          <w:u w:val="none"/>
          <w:lang w:val="en-US" w:eastAsia="zh-CN" w:bidi="ar-SA"/>
        </w:rPr>
        <w:t>施工总承包工程招标控制价小于2000万元、专业承包工程招标控制价小于800万元的项目采用经评审的最低投标价法，不审查业绩、信用评价结果等因素指标。招标人应当以符合项目具体特点和实际审慎设置资质、业绩、信用等资格条件和指标，在</w:t>
      </w:r>
      <w:r>
        <w:rPr>
          <w:rFonts w:hint="eastAsia" w:ascii="Times New Roman" w:hAnsi="Times New Roman" w:eastAsia="仿宋_GB2312" w:cs="Times New Roman"/>
          <w:b w:val="0"/>
          <w:bCs w:val="0"/>
          <w:color w:val="auto"/>
          <w:kern w:val="2"/>
          <w:sz w:val="32"/>
          <w:szCs w:val="32"/>
          <w:u w:val="none"/>
          <w:lang w:val="en-US" w:eastAsia="zh-CN" w:bidi="ar-SA"/>
        </w:rPr>
        <w:t>设计招标或者委托设计、施工图审查业务时，明确设计单位、审图机构要结合项目特点及复杂系数，注明是否属于简单、通用建筑工程。鼓励招标人制定招标文件时对简单、通用的建筑工程项目不设业绩指标</w:t>
      </w:r>
      <w:r>
        <w:rPr>
          <w:rFonts w:hint="eastAsia" w:ascii="Times New Roman" w:hAnsi="Times New Roman" w:eastAsia="仿宋_GB2312" w:cs="Times New Roman"/>
          <w:color w:val="auto"/>
          <w:kern w:val="2"/>
          <w:sz w:val="32"/>
          <w:szCs w:val="32"/>
          <w:u w:val="none"/>
          <w:lang w:val="en-US" w:eastAsia="zh-CN" w:bidi="ar-SA"/>
        </w:rPr>
        <w:t>和业绩加分项（简单、通用的建筑工程项目参考范围详见附件）。</w:t>
      </w:r>
      <w:bookmarkStart w:id="0" w:name="_GoBack"/>
      <w:bookmarkEnd w:id="0"/>
      <w:r>
        <w:rPr>
          <w:rFonts w:hint="eastAsia" w:ascii="Times New Roman" w:hAnsi="Times New Roman" w:eastAsia="仿宋_GB2312" w:cs="Times New Roman"/>
          <w:color w:val="auto"/>
          <w:kern w:val="2"/>
          <w:sz w:val="32"/>
          <w:szCs w:val="32"/>
          <w:u w:val="none"/>
          <w:lang w:val="en-US" w:eastAsia="zh-CN" w:bidi="ar-SA"/>
        </w:rPr>
        <w:t>对400万元以下的工程项目鼓励发包人在同等条件下选择自有建筑工人占比大的企业。招标人可以在招标文件中设置接受联合体投标、允许专业分包，用好</w:t>
      </w:r>
      <w:r>
        <w:rPr>
          <w:rFonts w:hint="eastAsia" w:ascii="仿宋_GB2312" w:hAnsi="仿宋_GB2312" w:eastAsia="仿宋_GB2312" w:cs="仿宋_GB2312"/>
          <w:color w:val="auto"/>
          <w:sz w:val="32"/>
          <w:szCs w:val="32"/>
          <w:u w:val="none"/>
          <w:lang w:val="en-US" w:eastAsia="zh-CN"/>
        </w:rPr>
        <w:t>中小企业与大型企业合作平台，鼓励区域间、企业间建立合作关系，支持央企国企与民营企业“结对”参与投标，优势互补共赢。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方正黑体_GBK" w:hAnsi="方正黑体_GBK" w:eastAsia="方正黑体_GBK" w:cs="方正黑体_GBK"/>
          <w:b w:val="0"/>
          <w:bCs w:val="0"/>
          <w:color w:val="auto"/>
          <w:kern w:val="2"/>
          <w:sz w:val="32"/>
          <w:szCs w:val="32"/>
          <w:u w:val="none"/>
          <w:lang w:val="en-US" w:eastAsia="zh-CN" w:bidi="ar-SA"/>
        </w:rPr>
        <w:t>四、加大招投标信息公开力度。</w:t>
      </w:r>
      <w:r>
        <w:rPr>
          <w:rFonts w:hint="eastAsia" w:ascii="Times New Roman" w:hAnsi="Times New Roman" w:eastAsia="仿宋_GB2312" w:cs="Times New Roman"/>
          <w:color w:val="auto"/>
          <w:kern w:val="2"/>
          <w:sz w:val="32"/>
          <w:szCs w:val="32"/>
          <w:u w:val="none"/>
          <w:lang w:val="en-US" w:eastAsia="zh-CN" w:bidi="ar-SA"/>
        </w:rPr>
        <w:t>全面推进招标计划、评标情况、扣分理由、否决理由，以及中标候选人拟派项目班组管理人员信息公开，推动投标业绩、合同订立信息、合同履行情况、变更原因公开，加大推进工程建设期间形成的不良行为记录信息公开力度。住建部门要及时公开评标专家考核结果，以及暂停或者取消评标专家资格等情况，公开招投标活动投诉处理结果；要及时公开具有一定社会影响的行政处罚决定，并推送至全国信用信息共享平台、全国建筑市场监管公共服务平台（四库一平台）和“信用中国”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五、强化标前中后监督管理。</w:t>
      </w:r>
      <w:r>
        <w:rPr>
          <w:rFonts w:hint="eastAsia" w:ascii="Times New Roman" w:hAnsi="Times New Roman" w:eastAsia="仿宋_GB2312" w:cs="Times New Roman"/>
          <w:color w:val="auto"/>
          <w:kern w:val="2"/>
          <w:sz w:val="32"/>
          <w:szCs w:val="32"/>
          <w:u w:val="none"/>
          <w:lang w:val="en-US" w:eastAsia="zh-CN" w:bidi="ar-SA"/>
        </w:rPr>
        <w:t>招标人（发包人）应在公告、招标（发包）文件、合同中明确投标人必须严格按照自治区有关施工现场从业人员配备标准组建项目管理机构。拟派的项目负责人、技术负责人、质量员、施工员、安全员、资料员及总监理工程师、专业监理工程师、现场监理员等关键岗位人员，除法律、法规、行业标准规范规定外，不得在其他在建项目担任岗位。投标人中标后，投标文件中拟派的管理机构人员必须按规定到岗履职，原则上不得变更，且履职时间不得低于建筑工人实名制平台最低时间要求。招标人应加强对标后中标企业及管理班子人员履约情况的监督，如因离职、死亡等不可抗力因素变更的，变更后的人员不得低于原投标人员所具有的资格和条件。对设有投标业绩的项目，招标人应在招标文件中明确业绩证明材料，业绩证明材料需包含中标通知书、施工合同、竣工验收报告及全国建筑市场监管公共服务平台或省级住建部门平台业绩查询截图（对省级及以上平台无法查询的业绩，投标人需提供投标业绩发生地住建部门业绩属实文件）。招标投标活动中全面推行使用信用报告，加大投标人不良行为的审查力度，鼓励招标人在招标文件中评审投标人因</w:t>
      </w:r>
      <w:r>
        <w:rPr>
          <w:rFonts w:hint="default" w:ascii="Times New Roman" w:hAnsi="Times New Roman" w:eastAsia="仿宋_GB2312" w:cs="Times New Roman"/>
          <w:color w:val="auto"/>
          <w:kern w:val="2"/>
          <w:sz w:val="32"/>
          <w:szCs w:val="32"/>
          <w:u w:val="none"/>
          <w:lang w:val="en-US" w:eastAsia="zh-CN" w:bidi="ar-SA"/>
        </w:rPr>
        <w:t>违反</w:t>
      </w:r>
      <w:r>
        <w:rPr>
          <w:rFonts w:hint="eastAsia" w:ascii="Times New Roman" w:hAnsi="Times New Roman" w:eastAsia="仿宋_GB2312" w:cs="Times New Roman"/>
          <w:color w:val="auto"/>
          <w:kern w:val="2"/>
          <w:sz w:val="32"/>
          <w:szCs w:val="32"/>
          <w:u w:val="none"/>
          <w:lang w:val="en-US" w:eastAsia="zh-CN" w:bidi="ar-SA"/>
        </w:rPr>
        <w:t>住建领域</w:t>
      </w:r>
      <w:r>
        <w:rPr>
          <w:rFonts w:hint="default" w:ascii="Times New Roman" w:hAnsi="Times New Roman" w:eastAsia="仿宋_GB2312" w:cs="Times New Roman"/>
          <w:color w:val="auto"/>
          <w:kern w:val="2"/>
          <w:sz w:val="32"/>
          <w:szCs w:val="32"/>
          <w:u w:val="none"/>
          <w:lang w:val="en-US" w:eastAsia="zh-CN" w:bidi="ar-SA"/>
        </w:rPr>
        <w:t>有关工程建设的法律、法规、规章或强制性标准和执业行为规范，</w:t>
      </w:r>
      <w:r>
        <w:rPr>
          <w:rFonts w:hint="eastAsia" w:ascii="Times New Roman" w:hAnsi="Times New Roman" w:eastAsia="仿宋_GB2312" w:cs="Times New Roman"/>
          <w:color w:val="auto"/>
          <w:kern w:val="2"/>
          <w:sz w:val="32"/>
          <w:szCs w:val="32"/>
          <w:u w:val="none"/>
          <w:lang w:val="en-US" w:eastAsia="zh-CN" w:bidi="ar-SA"/>
        </w:rPr>
        <w:t>拖欠农民工工资等行为受到政府主管部门</w:t>
      </w:r>
      <w:r>
        <w:rPr>
          <w:rFonts w:hint="default" w:ascii="Times New Roman" w:hAnsi="Times New Roman" w:eastAsia="仿宋_GB2312" w:cs="Times New Roman"/>
          <w:color w:val="auto"/>
          <w:kern w:val="2"/>
          <w:sz w:val="32"/>
          <w:szCs w:val="32"/>
          <w:u w:val="none"/>
          <w:lang w:val="en-US" w:eastAsia="zh-CN" w:bidi="ar-SA"/>
        </w:rPr>
        <w:t>行政处罚形成的不良行为记录</w:t>
      </w:r>
      <w:r>
        <w:rPr>
          <w:rFonts w:hint="eastAsia" w:ascii="Times New Roman" w:hAnsi="Times New Roman" w:eastAsia="仿宋_GB2312" w:cs="Times New Roman"/>
          <w:color w:val="auto"/>
          <w:kern w:val="2"/>
          <w:sz w:val="32"/>
          <w:szCs w:val="32"/>
          <w:u w:val="none"/>
          <w:lang w:val="en-US" w:eastAsia="zh-CN" w:bidi="ar-SA"/>
        </w:rPr>
        <w:t>且在“信用中国”网站公示期内的，可否决其参与招投标活动。住建部门要加大对代理机构、招标人、投标人招投标活动的监督，畅通投诉举报渠道。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六、实施欠薪失信主体惩戒。</w:t>
      </w:r>
      <w:r>
        <w:rPr>
          <w:rFonts w:hint="eastAsia" w:ascii="Times New Roman" w:hAnsi="Times New Roman" w:eastAsia="仿宋_GB2312" w:cs="Times New Roman"/>
          <w:color w:val="auto"/>
          <w:kern w:val="2"/>
          <w:sz w:val="32"/>
          <w:szCs w:val="32"/>
          <w:u w:val="none"/>
          <w:lang w:val="en-US" w:eastAsia="zh-CN" w:bidi="ar-SA"/>
        </w:rPr>
        <w:t>根据《保障农民工工资支付条例》《国家发展改革委办公厅 人力资源社会保障部办公厅关于加强拖欠农民工工资失信联合惩戒对象名单管理有关工作的通知》等相关文件要求，被各级人力资源和社会保障部门公布失信联合惩戒名单的建筑企业，惩戒期内限制进入建筑市场。对因拖欠分包工程款或农民工工资拒不整改，受到行业主管部门通报或行政处理的扣除信用分20分/次。经法院判决或仲裁机构裁决，认定为拖欠工程款和农民工工资，且拒不履行生效法律文书确定的义务的直接认定为C级。在工程建设活动中因构成《新疆维吾尔自治区建筑市场信用评价管理办法》不良行为记录（第九条、第十条中严重失信行为），且仍在公示期内的企业，招标人可以限制参与投标。有欠薪不良行为记录且在公示期的企业，其承揽的项目不得参与房建市政类的评先选优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七、依法保障承包单位权益。</w:t>
      </w:r>
      <w:r>
        <w:rPr>
          <w:rFonts w:hint="eastAsia" w:ascii="Times New Roman" w:hAnsi="Times New Roman" w:eastAsia="仿宋_GB2312" w:cs="Times New Roman"/>
          <w:color w:val="auto"/>
          <w:kern w:val="2"/>
          <w:sz w:val="32"/>
          <w:szCs w:val="32"/>
          <w:u w:val="none"/>
          <w:lang w:val="en-US" w:eastAsia="zh-CN" w:bidi="ar-SA"/>
        </w:rPr>
        <w:t>全面推行工程款支付担保，建设单位应向施工单位提供与履约同等额度的支付担保，政府投资项目可凭财政部门出具的项目资金到位证明替代。未按规定落实工程款支付担保的项目发生工程款拨付或欠薪问题的，承包单位可向担保人主张工程款，担保人应在收到诉求通知后7日内履行支付责任。对工程总承包合同工期一年及以上项目全面推行施工过程结算制度。将未按规定提供工程款支付担保、施工工程结算的单位列入重点监管对象，导致拖欠工程款和农民工工资的，将依法予以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八、加大实名制管理制度落实。</w:t>
      </w:r>
      <w:r>
        <w:rPr>
          <w:rFonts w:hint="eastAsia" w:ascii="Times New Roman" w:hAnsi="Times New Roman" w:eastAsia="仿宋_GB2312" w:cs="Times New Roman"/>
          <w:color w:val="auto"/>
          <w:kern w:val="2"/>
          <w:sz w:val="32"/>
          <w:szCs w:val="32"/>
          <w:highlight w:val="none"/>
          <w:u w:val="none"/>
          <w:lang w:val="en-US" w:eastAsia="zh-CN" w:bidi="ar-SA"/>
        </w:rPr>
        <w:t>施工现场生活区、施工区、办公区应相对独立，实名制通道一般应设置在进入施工区的入口处。持续推进房建市政在建项目</w:t>
      </w:r>
      <w:r>
        <w:rPr>
          <w:rFonts w:hint="eastAsia" w:ascii="仿宋_GB2312" w:hAnsi="仿宋_GB2312" w:eastAsia="仿宋_GB2312" w:cs="仿宋_GB2312"/>
          <w:color w:val="auto"/>
          <w:sz w:val="32"/>
          <w:szCs w:val="32"/>
          <w:u w:val="none"/>
          <w:lang w:val="en-US" w:eastAsia="zh-CN"/>
        </w:rPr>
        <w:t>实名制管理“全覆盖”、从业人员考勤“全覆盖”</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b w:val="0"/>
          <w:color w:val="auto"/>
          <w:kern w:val="2"/>
          <w:sz w:val="32"/>
          <w:szCs w:val="32"/>
          <w:u w:val="none"/>
          <w:lang w:val="en-US" w:eastAsia="zh-CN" w:bidi="ar-SA"/>
        </w:rPr>
        <w:t>进入施工</w:t>
      </w:r>
      <w:r>
        <w:rPr>
          <w:rFonts w:hint="eastAsia" w:ascii="Times New Roman" w:hAnsi="Times New Roman" w:eastAsia="仿宋_GB2312" w:cs="Times New Roman"/>
          <w:b w:val="0"/>
          <w:color w:val="auto"/>
          <w:kern w:val="2"/>
          <w:sz w:val="32"/>
          <w:szCs w:val="32"/>
          <w:u w:val="none"/>
          <w:lang w:val="en-US" w:eastAsia="zh-CN" w:bidi="ar-SA"/>
        </w:rPr>
        <w:t>作业区</w:t>
      </w:r>
      <w:r>
        <w:rPr>
          <w:rFonts w:hint="default" w:ascii="Times New Roman" w:hAnsi="Times New Roman" w:eastAsia="仿宋_GB2312" w:cs="Times New Roman"/>
          <w:b w:val="0"/>
          <w:color w:val="auto"/>
          <w:kern w:val="2"/>
          <w:sz w:val="32"/>
          <w:szCs w:val="32"/>
          <w:u w:val="none"/>
          <w:lang w:val="en-US" w:eastAsia="zh-CN" w:bidi="ar-SA"/>
        </w:rPr>
        <w:t>的建设、施工、监理</w:t>
      </w:r>
      <w:r>
        <w:rPr>
          <w:rFonts w:hint="eastAsia" w:ascii="Times New Roman" w:hAnsi="Times New Roman" w:eastAsia="仿宋_GB2312" w:cs="Times New Roman"/>
          <w:b w:val="0"/>
          <w:color w:val="auto"/>
          <w:kern w:val="2"/>
          <w:sz w:val="32"/>
          <w:szCs w:val="32"/>
          <w:u w:val="none"/>
          <w:lang w:val="en-US" w:eastAsia="zh-CN" w:bidi="ar-SA"/>
        </w:rPr>
        <w:t>、专业承包、劳务分包</w:t>
      </w:r>
      <w:r>
        <w:rPr>
          <w:rFonts w:hint="default" w:ascii="Times New Roman" w:hAnsi="Times New Roman" w:eastAsia="仿宋_GB2312" w:cs="Times New Roman"/>
          <w:b w:val="0"/>
          <w:color w:val="auto"/>
          <w:kern w:val="2"/>
          <w:sz w:val="32"/>
          <w:szCs w:val="32"/>
          <w:u w:val="none"/>
          <w:lang w:val="en-US" w:eastAsia="zh-CN" w:bidi="ar-SA"/>
        </w:rPr>
        <w:t>等单位的项目管理人员及从事施工作业的劳务人员，均应纳入建筑工人实名制管理范畴</w:t>
      </w:r>
      <w:r>
        <w:rPr>
          <w:rFonts w:hint="eastAsia" w:ascii="Times New Roman" w:hAnsi="Times New Roman" w:eastAsia="仿宋_GB2312" w:cs="Times New Roman"/>
          <w:b w:val="0"/>
          <w:color w:val="auto"/>
          <w:kern w:val="2"/>
          <w:sz w:val="32"/>
          <w:szCs w:val="32"/>
          <w:u w:val="none"/>
          <w:lang w:val="en-US" w:eastAsia="zh-CN" w:bidi="ar-SA"/>
        </w:rPr>
        <w:t>，全量采集实名制信息，应考勤尽考勤。关键岗位人员出勤履职时间不得低于自治区相关规定，未达到相关考勤时限要求的，建设单位、住建部门依照有关规定进行处理。</w:t>
      </w:r>
      <w:r>
        <w:rPr>
          <w:rFonts w:hint="eastAsia" w:ascii="仿宋_GB2312" w:hAnsi="仿宋_GB2312" w:eastAsia="仿宋_GB2312" w:cs="仿宋_GB2312"/>
          <w:color w:val="auto"/>
          <w:sz w:val="32"/>
          <w:szCs w:val="32"/>
          <w:u w:val="none"/>
          <w:lang w:val="en-US" w:eastAsia="zh-CN"/>
        </w:rPr>
        <w:t>施工企业在建项目实名制考勤更新</w:t>
      </w:r>
      <w:r>
        <w:rPr>
          <w:rFonts w:hint="eastAsia" w:ascii="Times New Roman" w:hAnsi="Times New Roman" w:eastAsia="仿宋_GB2312" w:cs="Times New Roman"/>
          <w:color w:val="auto"/>
          <w:kern w:val="2"/>
          <w:sz w:val="32"/>
          <w:szCs w:val="32"/>
          <w:u w:val="none"/>
          <w:lang w:val="en-US" w:eastAsia="zh-CN" w:bidi="ar-SA"/>
        </w:rPr>
        <w:t>率不得低于90%。非总承包或专业分包单位管理人员不得向农民工、材料商出具有关工程量确认及账款的书面材料，类似材料须承包单位现场管理人员实名签字并加盖总承包或专业分包单位公章。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九、鼓励奖项申报和正向激励。</w:t>
      </w:r>
      <w:r>
        <w:rPr>
          <w:rFonts w:hint="eastAsia" w:ascii="Times New Roman" w:hAnsi="Times New Roman" w:eastAsia="仿宋_GB2312" w:cs="Times New Roman"/>
          <w:color w:val="auto"/>
          <w:kern w:val="2"/>
          <w:sz w:val="32"/>
          <w:szCs w:val="32"/>
          <w:u w:val="none"/>
          <w:lang w:val="en-US" w:eastAsia="zh-CN" w:bidi="ar-SA"/>
        </w:rPr>
        <w:t>支持辖区房建市政类项目的建设、勘察、设计、施工、监理等单位积极申报地区优质工程奖及自治区级、国家级的科技创新、职业技能竞赛、工程建设工法，如优质工程奖 、市政金杯、绿色建筑、科技型中小企业、QC成果等奖项。住建部门、建设单位、地区建筑业协会要积极组织推荐优秀施工企业，优秀项目经理部、优秀企业家、优秀项目经理、优秀总工程师、优秀专家、优秀安全员等优秀企业和人才。对获得自治区级及以上各类奖项的企业和人员予以表扬表彰，并给予相应信用加分。积极推动中小企业向“专精特新”方向发展，鼓励技术服务公司为企业申报奖项提供咨询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u w:val="none"/>
          <w:lang w:val="en-US" w:eastAsia="zh-CN"/>
        </w:rPr>
      </w:pPr>
      <w:r>
        <w:rPr>
          <w:rFonts w:hint="eastAsia" w:ascii="黑体" w:hAnsi="黑体" w:eastAsia="黑体" w:cs="黑体"/>
          <w:b w:val="0"/>
          <w:bCs w:val="0"/>
          <w:color w:val="auto"/>
          <w:kern w:val="2"/>
          <w:sz w:val="32"/>
          <w:szCs w:val="32"/>
          <w:u w:val="none"/>
          <w:lang w:val="en-US" w:eastAsia="zh-CN" w:bidi="ar-SA"/>
        </w:rPr>
        <w:t>十、强化日常监管和案件查处。</w:t>
      </w:r>
      <w:r>
        <w:rPr>
          <w:rFonts w:hint="eastAsia" w:ascii="仿宋_GB2312" w:hAnsi="仿宋_GB2312" w:eastAsia="仿宋_GB2312" w:cs="仿宋_GB2312"/>
          <w:color w:val="auto"/>
          <w:sz w:val="32"/>
          <w:szCs w:val="40"/>
          <w:u w:val="none"/>
          <w:lang w:val="en-US" w:eastAsia="zh-CN"/>
        </w:rPr>
        <w:t>强化“双随机、一公开”监督检查，不断巩固提升建筑市场及招投标领域突出问题专项治理成果,依法打击招投标违法行为。坚决查处招标人规避招标、违法发包、虚假招标行为；坚决查处市场主体串通投标、弄虚作假骗取中标行为；坚决查处转包、违法分包及挂靠行为；坚决查处无资质企业、人员违法挂靠行为；坚决查处评标专家不按招标文件规定的评标标准和方法评标，随意废标等其他不客观、不公正履行评审职责行为；坚决查处监理单位转让监理业务行为；坚决查处招标代理机构采取行贿、提供回扣或者输送不正当利益等非法手段承揽代理业务行为；坚决查处招标代理机构泄露应当保密的与招标投标活动相关情况和资料等损害国家利益、社会公共利益或者他人合法权益行为；坚决查处施工总承包单位、分包单位</w:t>
      </w:r>
      <w:r>
        <w:rPr>
          <w:rFonts w:hint="default" w:ascii="Times New Roman" w:hAnsi="Times New Roman" w:eastAsia="仿宋_GB2312" w:cs="Times New Roman"/>
          <w:b w:val="0"/>
          <w:bCs w:val="0"/>
          <w:color w:val="auto"/>
          <w:kern w:val="2"/>
          <w:sz w:val="32"/>
          <w:szCs w:val="32"/>
          <w:u w:val="none"/>
          <w:lang w:val="en-US" w:eastAsia="zh-CN" w:bidi="ar-SA"/>
        </w:rPr>
        <w:t>未</w:t>
      </w:r>
      <w:r>
        <w:rPr>
          <w:rFonts w:hint="eastAsia" w:ascii="Times New Roman" w:hAnsi="Times New Roman" w:eastAsia="仿宋_GB2312" w:cs="Times New Roman"/>
          <w:b w:val="0"/>
          <w:bCs w:val="0"/>
          <w:color w:val="auto"/>
          <w:kern w:val="2"/>
          <w:sz w:val="32"/>
          <w:szCs w:val="32"/>
          <w:u w:val="none"/>
          <w:lang w:val="en-US" w:eastAsia="zh-CN" w:bidi="ar-SA"/>
        </w:rPr>
        <w:t>落实</w:t>
      </w:r>
      <w:r>
        <w:rPr>
          <w:rFonts w:hint="default" w:ascii="Times New Roman" w:hAnsi="Times New Roman" w:eastAsia="仿宋_GB2312" w:cs="Times New Roman"/>
          <w:b w:val="0"/>
          <w:bCs w:val="0"/>
          <w:color w:val="auto"/>
          <w:kern w:val="2"/>
          <w:sz w:val="32"/>
          <w:szCs w:val="32"/>
          <w:u w:val="none"/>
          <w:lang w:val="en-US" w:eastAsia="zh-CN" w:bidi="ar-SA"/>
        </w:rPr>
        <w:t>实名制管理</w:t>
      </w:r>
      <w:r>
        <w:rPr>
          <w:rFonts w:hint="eastAsia" w:ascii="Times New Roman" w:hAnsi="Times New Roman" w:eastAsia="仿宋_GB2312" w:cs="Times New Roman"/>
          <w:b w:val="0"/>
          <w:bCs w:val="0"/>
          <w:color w:val="auto"/>
          <w:kern w:val="2"/>
          <w:sz w:val="32"/>
          <w:szCs w:val="32"/>
          <w:u w:val="none"/>
          <w:lang w:val="en-US" w:eastAsia="zh-CN" w:bidi="ar-SA"/>
        </w:rPr>
        <w:t>制度</w:t>
      </w:r>
      <w:r>
        <w:rPr>
          <w:rFonts w:hint="eastAsia" w:ascii="仿宋_GB2312" w:hAnsi="仿宋_GB2312" w:eastAsia="仿宋_GB2312" w:cs="仿宋_GB2312"/>
          <w:color w:val="auto"/>
          <w:sz w:val="32"/>
          <w:szCs w:val="40"/>
          <w:u w:val="none"/>
          <w:lang w:val="en-US" w:eastAsia="zh-CN"/>
        </w:rPr>
        <w:t>，以及五方主体关键岗位人员</w:t>
      </w:r>
      <w:r>
        <w:rPr>
          <w:rFonts w:hint="default" w:ascii="仿宋_GB2312" w:hAnsi="仿宋_GB2312" w:eastAsia="仿宋_GB2312" w:cs="仿宋_GB2312"/>
          <w:color w:val="auto"/>
          <w:sz w:val="32"/>
          <w:szCs w:val="40"/>
          <w:u w:val="none"/>
          <w:lang w:val="en-US" w:eastAsia="zh-CN"/>
        </w:rPr>
        <w:t>不到岗履职</w:t>
      </w:r>
      <w:r>
        <w:rPr>
          <w:rFonts w:hint="eastAsia" w:ascii="仿宋_GB2312" w:hAnsi="仿宋_GB2312" w:eastAsia="仿宋_GB2312" w:cs="仿宋_GB2312"/>
          <w:color w:val="auto"/>
          <w:sz w:val="32"/>
          <w:szCs w:val="40"/>
          <w:u w:val="none"/>
          <w:lang w:val="en-US" w:eastAsia="zh-CN"/>
        </w:rPr>
        <w:t>的</w:t>
      </w:r>
      <w:r>
        <w:rPr>
          <w:rFonts w:hint="default" w:ascii="仿宋_GB2312" w:hAnsi="仿宋_GB2312" w:eastAsia="仿宋_GB2312" w:cs="仿宋_GB2312"/>
          <w:color w:val="auto"/>
          <w:sz w:val="32"/>
          <w:szCs w:val="40"/>
          <w:u w:val="none"/>
          <w:lang w:val="en-US" w:eastAsia="zh-CN"/>
        </w:rPr>
        <w:t>行为</w:t>
      </w:r>
      <w:r>
        <w:rPr>
          <w:rFonts w:hint="eastAsia" w:ascii="仿宋_GB2312" w:hAnsi="仿宋_GB2312" w:eastAsia="仿宋_GB2312" w:cs="仿宋_GB2312"/>
          <w:color w:val="auto"/>
          <w:sz w:val="32"/>
          <w:szCs w:val="40"/>
          <w:u w:val="none"/>
          <w:lang w:val="en-US" w:eastAsia="zh-CN"/>
        </w:rPr>
        <w:t>。依法加大对排斥限制潜在投标人、规避招标、串通投标、以行贿手段谋取中标、代理机构拉拢腐蚀公职人员等违法犯罪行为的惩处力度。适时组织开展跨部门联合执法，集中整治工程建设领域突出问题，依法严肃惩治招标投标犯罪活动，对涉嫌违纪、构成犯罪的及时向有关部门移送。</w:t>
      </w:r>
      <w:r>
        <w:rPr>
          <w:rFonts w:hint="eastAsia" w:ascii="Times New Roman" w:hAnsi="Times New Roman" w:eastAsia="仿宋_GB2312" w:cs="Times New Roman"/>
          <w:color w:val="auto"/>
          <w:kern w:val="2"/>
          <w:sz w:val="32"/>
          <w:szCs w:val="32"/>
          <w:u w:val="none"/>
          <w:lang w:val="en-US" w:eastAsia="zh-CN" w:bidi="ar-SA"/>
        </w:rPr>
        <w:t>在和田地区行政范围内受到相应行政处罚的，同步将不良行为抄送企业注册地住建部门。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Times New Roman" w:hAnsi="Times New Roman" w:eastAsia="仿宋_GB2312" w:cs="Times New Roman"/>
          <w:b w:val="0"/>
          <w:color w:val="auto"/>
          <w:kern w:val="2"/>
          <w:sz w:val="32"/>
          <w:szCs w:val="32"/>
          <w:u w:val="none"/>
          <w:lang w:val="en-US" w:eastAsia="zh-CN" w:bidi="ar-SA"/>
        </w:rPr>
        <w:t>本文件由和田地区住房和城乡建设局负责解释，自2025年6月12日起施行，有效期至2027年6月12日。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实施过程中遇到的问题，请及时向地区住建局建管科反映。联系电话：0903</w:t>
      </w:r>
      <w:r>
        <w:rPr>
          <w:rFonts w:hint="eastAsia" w:ascii="宋体" w:hAnsi="宋体" w:eastAsia="宋体" w:cs="宋体"/>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2562127。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 xml:space="preserve">       和田地区住房和城乡建设局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 xml:space="preserve">       2025年5月12日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u w:val="none"/>
          <w:lang w:val="en-US" w:eastAsia="zh-CN"/>
        </w:rPr>
      </w:pPr>
    </w:p>
    <w:p>
      <w:pPr>
        <w:pStyle w:val="2"/>
        <w:rPr>
          <w:rFonts w:hint="eastAsia" w:ascii="仿宋" w:hAnsi="仿宋" w:eastAsia="仿宋" w:cs="仿宋"/>
          <w:color w:val="auto"/>
          <w:sz w:val="32"/>
          <w:szCs w:val="32"/>
          <w:u w:val="none"/>
          <w:lang w:val="en-US" w:eastAsia="zh-CN"/>
        </w:rPr>
      </w:pPr>
    </w:p>
    <w:p>
      <w:pPr>
        <w:pStyle w:val="3"/>
        <w:rPr>
          <w:rFonts w:hint="eastAsia" w:ascii="仿宋" w:hAnsi="仿宋" w:eastAsia="仿宋" w:cs="仿宋"/>
          <w:color w:val="auto"/>
          <w:sz w:val="32"/>
          <w:szCs w:val="32"/>
          <w:u w:val="none"/>
          <w:lang w:val="en-US" w:eastAsia="zh-CN"/>
        </w:rPr>
      </w:pPr>
    </w:p>
    <w:p>
      <w:pPr>
        <w:pStyle w:val="3"/>
        <w:rPr>
          <w:rFonts w:hint="eastAsia" w:ascii="仿宋" w:hAnsi="仿宋" w:eastAsia="仿宋" w:cs="仿宋"/>
          <w:color w:val="auto"/>
          <w:sz w:val="32"/>
          <w:szCs w:val="32"/>
          <w:u w:val="none"/>
          <w:lang w:val="en-US" w:eastAsia="zh-CN"/>
        </w:rPr>
      </w:pPr>
    </w:p>
    <w:p>
      <w:pPr>
        <w:pStyle w:val="3"/>
        <w:rPr>
          <w:rFonts w:hint="eastAsia" w:ascii="仿宋" w:hAnsi="仿宋" w:eastAsia="仿宋" w:cs="仿宋"/>
          <w:color w:val="auto"/>
          <w:sz w:val="32"/>
          <w:szCs w:val="32"/>
          <w:u w:val="none"/>
          <w:lang w:val="en-US" w:eastAsia="zh-CN"/>
        </w:rPr>
      </w:pPr>
    </w:p>
    <w:p>
      <w:pPr>
        <w:pStyle w:val="3"/>
        <w:rPr>
          <w:rFonts w:hint="eastAsia" w:ascii="仿宋" w:hAnsi="仿宋" w:eastAsia="仿宋" w:cs="仿宋"/>
          <w:color w:val="auto"/>
          <w:sz w:val="32"/>
          <w:szCs w:val="32"/>
          <w:u w:val="none"/>
          <w:lang w:val="en-US" w:eastAsia="zh-CN"/>
        </w:rPr>
      </w:pPr>
    </w:p>
    <w:p>
      <w:pPr>
        <w:pStyle w:val="3"/>
        <w:rPr>
          <w:rFonts w:hint="eastAsia" w:ascii="仿宋" w:hAnsi="仿宋" w:eastAsia="仿宋" w:cs="仿宋"/>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u w:val="none"/>
          <w:lang w:val="en-US" w:eastAsia="zh-CN"/>
        </w:rPr>
      </w:pPr>
    </w:p>
    <w:p>
      <w:pPr>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color w:val="auto"/>
          <w:u w:val="none"/>
          <w:lang w:val="en-US" w:eastAsia="zh-CN"/>
        </w:rPr>
      </w:pPr>
      <w:r>
        <w:rPr>
          <w:rFonts w:hint="eastAsia" w:ascii="仿宋" w:hAnsi="仿宋" w:eastAsia="仿宋" w:cs="仿宋"/>
          <w:color w:val="auto"/>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36"/>
          <w:szCs w:val="36"/>
          <w:u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44"/>
          <w:szCs w:val="44"/>
          <w:u w:val="none"/>
          <w:lang w:val="en-US" w:eastAsia="zh-CN"/>
        </w:rPr>
      </w:pPr>
      <w:r>
        <w:rPr>
          <w:rFonts w:hint="eastAsia" w:ascii="黑体" w:hAnsi="黑体" w:eastAsia="黑体" w:cs="黑体"/>
          <w:b w:val="0"/>
          <w:bCs w:val="0"/>
          <w:color w:val="auto"/>
          <w:sz w:val="44"/>
          <w:szCs w:val="44"/>
          <w:u w:val="none"/>
          <w:lang w:eastAsia="zh-CN"/>
        </w:rPr>
        <w:t>房屋建筑和市政基础设施工程</w:t>
      </w:r>
      <w:r>
        <w:rPr>
          <w:rFonts w:hint="eastAsia" w:ascii="黑体" w:hAnsi="黑体" w:eastAsia="黑体" w:cs="黑体"/>
          <w:b w:val="0"/>
          <w:bCs w:val="0"/>
          <w:color w:val="auto"/>
          <w:sz w:val="44"/>
          <w:szCs w:val="44"/>
          <w:u w:val="none"/>
          <w:lang w:val="en-US" w:eastAsia="zh-CN"/>
        </w:rPr>
        <w:t>招标投标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color w:val="auto"/>
          <w:sz w:val="44"/>
          <w:szCs w:val="44"/>
          <w:u w:val="none"/>
          <w:lang w:val="en-US" w:eastAsia="zh-CN"/>
        </w:rPr>
      </w:pPr>
      <w:r>
        <w:rPr>
          <w:rFonts w:hint="eastAsia" w:ascii="黑体" w:hAnsi="黑体" w:eastAsia="黑体" w:cs="黑体"/>
          <w:b w:val="0"/>
          <w:bCs w:val="0"/>
          <w:color w:val="auto"/>
          <w:sz w:val="44"/>
          <w:szCs w:val="44"/>
          <w:u w:val="none"/>
          <w:lang w:eastAsia="zh-CN"/>
        </w:rPr>
        <w:t>简</w:t>
      </w:r>
      <w:r>
        <w:rPr>
          <w:rFonts w:hint="eastAsia" w:ascii="黑体" w:hAnsi="黑体" w:eastAsia="黑体" w:cs="黑体"/>
          <w:b w:val="0"/>
          <w:bCs w:val="0"/>
          <w:color w:val="auto"/>
          <w:sz w:val="44"/>
          <w:szCs w:val="44"/>
          <w:u w:val="none"/>
          <w:lang w:val="en-US" w:eastAsia="zh-CN"/>
        </w:rPr>
        <w:t>单、</w:t>
      </w:r>
      <w:r>
        <w:rPr>
          <w:rFonts w:hint="eastAsia" w:ascii="黑体" w:hAnsi="黑体" w:eastAsia="黑体" w:cs="黑体"/>
          <w:b w:val="0"/>
          <w:bCs w:val="0"/>
          <w:color w:val="auto"/>
          <w:sz w:val="44"/>
          <w:szCs w:val="44"/>
          <w:u w:val="none"/>
          <w:lang w:eastAsia="zh-CN"/>
        </w:rPr>
        <w:t>通用</w:t>
      </w:r>
      <w:r>
        <w:rPr>
          <w:rFonts w:hint="eastAsia" w:ascii="黑体" w:hAnsi="黑体" w:eastAsia="黑体" w:cs="黑体"/>
          <w:b w:val="0"/>
          <w:bCs w:val="0"/>
          <w:color w:val="auto"/>
          <w:sz w:val="44"/>
          <w:szCs w:val="44"/>
          <w:u w:val="none"/>
          <w:lang w:val="en-US" w:eastAsia="zh-CN"/>
        </w:rPr>
        <w:t>的建筑工程项目</w:t>
      </w:r>
      <w:r>
        <w:rPr>
          <w:rFonts w:hint="eastAsia" w:ascii="黑体" w:hAnsi="黑体" w:eastAsia="黑体" w:cs="黑体"/>
          <w:b w:val="0"/>
          <w:bCs w:val="0"/>
          <w:color w:val="auto"/>
          <w:sz w:val="44"/>
          <w:szCs w:val="44"/>
          <w:u w:val="none"/>
          <w:lang w:eastAsia="zh-CN"/>
        </w:rPr>
        <w:t>参考</w:t>
      </w:r>
      <w:r>
        <w:rPr>
          <w:rFonts w:hint="eastAsia" w:ascii="黑体" w:hAnsi="黑体" w:eastAsia="黑体" w:cs="黑体"/>
          <w:b w:val="0"/>
          <w:bCs w:val="0"/>
          <w:color w:val="auto"/>
          <w:sz w:val="44"/>
          <w:szCs w:val="44"/>
          <w:u w:val="none"/>
          <w:lang w:val="en-US" w:eastAsia="zh-CN"/>
        </w:rPr>
        <w:t>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HAnsi" w:hAnsiTheme="minorHAnsi" w:eastAsiaTheme="minorEastAsia" w:cstheme="minorBidi"/>
          <w:color w:val="auto"/>
          <w:kern w:val="2"/>
          <w:sz w:val="21"/>
          <w:szCs w:val="24"/>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一、房屋建筑工程参考范围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1.《房屋建筑工程规模划分标准》中规模为小型的建筑工程。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2.17层及以下住宅、公寓、保障性住房等工程；7层及以下的学校、医院、办公楼等工程；跨度≤24米和层数≤3层的厂房、车间、仓库等工业建筑；不涉及主体结构安全的装饰装修、局部拆除等简单改造工程；3000万以下的附属配套工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3.不涉及设计难度高、施工技术复杂、多专业协同要求高的工程；没有特殊工艺的深基坑、钢结构、大跨度复杂技术的工程。不涉及有特殊施工工艺，以及有特殊地理、地质、气候等环境要求的工程及EPC、装配式建筑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 xml:space="preserve">二、市政基础设施工程参考范围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1.《市政工程规模划分标准》中明确的规模为小型的工程。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2.城市快速路、主（次）干道路基及工程3千米，路面面积10万平方米，单项合同工程1亿元以内的城市道路工程；广场面积3万平方米，单项合同1亿元以内的城市公共广场工程；日处理量8万吨，单项合同额1亿元以下的供水厂工程；管径1.2米，单项合同额7千万元以下的供水管道工程；日处理量8万吨，单项合同额1亿元以下的污水处理厂工程；管径1米以下，单项合同额7千万元以下的排水管道工程；库容400万立方米，单项合同额1.5亿以下的填埋场工程；中型交通安全防护工程；单项合同额0.3亿元以下的机电设备安装工程；不分规模的城市园林工程；不分规模的城市照明工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3.以上工程均为不涉及有特殊施工工艺，有特殊地理、地质、气候等环境要求的工程及EPC、装配式建筑工程。</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备注：本简单通用工程参考使用范围为和田地区行政区域内的房屋市政工程，仅作为招标人在制定招标文件时对投标人业绩设定依据，不得另作他用。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p>
    <w:sectPr>
      <w:footerReference r:id="rId3" w:type="default"/>
      <w:pgSz w:w="11905" w:h="16838" w:orient="landscape"/>
      <w:pgMar w:top="1803" w:right="1440" w:bottom="1803" w:left="1440"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9C08F1-38DD-496F-84CE-D9A1196F2A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C52676B-5035-44C4-A9D2-F41E6CDD43BA}"/>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ADE5A9D9-E502-430A-B233-8140E85CF2E7}"/>
  </w:font>
  <w:font w:name="仿宋_GB2312">
    <w:panose1 w:val="02010609030101010101"/>
    <w:charset w:val="86"/>
    <w:family w:val="auto"/>
    <w:pitch w:val="default"/>
    <w:sig w:usb0="00000001" w:usb1="080E0000" w:usb2="00000000" w:usb3="00000000" w:csb0="00040000" w:csb1="00000000"/>
    <w:embedRegular r:id="rId4" w:fontKey="{B64CBF91-32F3-4033-90B1-9DAC2A80C5AE}"/>
  </w:font>
  <w:font w:name="方正黑体_GBK">
    <w:altName w:val="Arial Unicode MS"/>
    <w:panose1 w:val="02000000000000000000"/>
    <w:charset w:val="86"/>
    <w:family w:val="auto"/>
    <w:pitch w:val="default"/>
    <w:sig w:usb0="00000000" w:usb1="00000000" w:usb2="00000000" w:usb3="00000000" w:csb0="00040000" w:csb1="00000000"/>
    <w:embedRegular r:id="rId5" w:fontKey="{767265EC-F97E-4B2A-87A5-65A6C8E2C767}"/>
  </w:font>
  <w:font w:name="仿宋">
    <w:panose1 w:val="02010609060101010101"/>
    <w:charset w:val="86"/>
    <w:family w:val="auto"/>
    <w:pitch w:val="default"/>
    <w:sig w:usb0="800002BF" w:usb1="38CF7CFA" w:usb2="00000016" w:usb3="00000000" w:csb0="00040001" w:csb1="00000000"/>
    <w:embedRegular r:id="rId6" w:fontKey="{2C28DA12-6083-4385-B47C-436EF9E977F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6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- 1 -</w:t>
                          </w:r>
                          <w:r>
                            <w:rPr>
                              <w:rFonts w:hint="eastAsia" w:ascii="仿宋_GB2312" w:hAnsi="仿宋_GB2312" w:eastAsia="仿宋_GB2312" w:cs="仿宋_GB2312"/>
                              <w:sz w:val="32"/>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- 1 -</w:t>
                    </w:r>
                    <w:r>
                      <w:rPr>
                        <w:rFonts w:hint="eastAsia" w:ascii="仿宋_GB2312" w:hAnsi="仿宋_GB2312" w:eastAsia="仿宋_GB2312" w:cs="仿宋_GB2312"/>
                        <w:sz w:val="32"/>
                        <w:szCs w:val="4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val="1"/>
  <w:embedTrueTypeFonts/>
  <w:saveSubsetFonts/>
  <w:bordersDoNotSurroundHeader w:val="0"/>
  <w:bordersDoNotSurroundFooter w:val="0"/>
  <w:documentProtection w:enforcement="0"/>
  <w:defaultTabStop w:val="420"/>
  <w:bookFoldPrinting w:val="1"/>
  <w:bookFoldPrintingSheets w:val="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OGViOGZlY2VjMWJjZjVjYTFjOTJmNzRjYWQ5NWEifQ=="/>
  </w:docVars>
  <w:rsids>
    <w:rsidRoot w:val="00000000"/>
    <w:rsid w:val="00292BAB"/>
    <w:rsid w:val="002A5CD7"/>
    <w:rsid w:val="005C08C4"/>
    <w:rsid w:val="009C337D"/>
    <w:rsid w:val="00B32474"/>
    <w:rsid w:val="00F228E7"/>
    <w:rsid w:val="01001E15"/>
    <w:rsid w:val="014E41FD"/>
    <w:rsid w:val="01822573"/>
    <w:rsid w:val="01B34E22"/>
    <w:rsid w:val="01E21263"/>
    <w:rsid w:val="0216715F"/>
    <w:rsid w:val="021B4775"/>
    <w:rsid w:val="02535CBD"/>
    <w:rsid w:val="028B36A9"/>
    <w:rsid w:val="02963DFC"/>
    <w:rsid w:val="02B0310F"/>
    <w:rsid w:val="02D037B2"/>
    <w:rsid w:val="02F2197A"/>
    <w:rsid w:val="03103BAE"/>
    <w:rsid w:val="03351867"/>
    <w:rsid w:val="03405C35"/>
    <w:rsid w:val="0341020B"/>
    <w:rsid w:val="035A307B"/>
    <w:rsid w:val="037E4FBC"/>
    <w:rsid w:val="03B22EB7"/>
    <w:rsid w:val="03DD62B2"/>
    <w:rsid w:val="03E243FC"/>
    <w:rsid w:val="043F474B"/>
    <w:rsid w:val="0458580D"/>
    <w:rsid w:val="04875CFC"/>
    <w:rsid w:val="04F032BC"/>
    <w:rsid w:val="04FF7408"/>
    <w:rsid w:val="05080FE1"/>
    <w:rsid w:val="05520BA1"/>
    <w:rsid w:val="05791EDF"/>
    <w:rsid w:val="058A5E9A"/>
    <w:rsid w:val="058D2D8B"/>
    <w:rsid w:val="05D6094B"/>
    <w:rsid w:val="05D9472B"/>
    <w:rsid w:val="05EB511B"/>
    <w:rsid w:val="062005AC"/>
    <w:rsid w:val="068B0DA9"/>
    <w:rsid w:val="06FD74A5"/>
    <w:rsid w:val="070103DE"/>
    <w:rsid w:val="07247C28"/>
    <w:rsid w:val="07390048"/>
    <w:rsid w:val="074A3B33"/>
    <w:rsid w:val="0808754A"/>
    <w:rsid w:val="081859DF"/>
    <w:rsid w:val="08430582"/>
    <w:rsid w:val="0854453D"/>
    <w:rsid w:val="086618A6"/>
    <w:rsid w:val="086A3D60"/>
    <w:rsid w:val="089A4646"/>
    <w:rsid w:val="08BB636A"/>
    <w:rsid w:val="08C41EB4"/>
    <w:rsid w:val="090B5543"/>
    <w:rsid w:val="091D7025"/>
    <w:rsid w:val="095742E5"/>
    <w:rsid w:val="09727371"/>
    <w:rsid w:val="099E0166"/>
    <w:rsid w:val="09E369B7"/>
    <w:rsid w:val="0A40121D"/>
    <w:rsid w:val="0A5B1BB3"/>
    <w:rsid w:val="0A7947E7"/>
    <w:rsid w:val="0AC92FC0"/>
    <w:rsid w:val="0AEC6CAF"/>
    <w:rsid w:val="0AFA2706"/>
    <w:rsid w:val="0B056B21"/>
    <w:rsid w:val="0B792C38"/>
    <w:rsid w:val="0BB27EF8"/>
    <w:rsid w:val="0C22507E"/>
    <w:rsid w:val="0C4A0131"/>
    <w:rsid w:val="0C882A07"/>
    <w:rsid w:val="0CD10852"/>
    <w:rsid w:val="0CF9FA8C"/>
    <w:rsid w:val="0D3FE4C6"/>
    <w:rsid w:val="0D8870BB"/>
    <w:rsid w:val="0DA62900"/>
    <w:rsid w:val="0DBBE2C6"/>
    <w:rsid w:val="0DBE4092"/>
    <w:rsid w:val="0E6B9631"/>
    <w:rsid w:val="0E7E40C2"/>
    <w:rsid w:val="0EBC4BEA"/>
    <w:rsid w:val="0EC01DBF"/>
    <w:rsid w:val="0EE81D3C"/>
    <w:rsid w:val="0EF820C6"/>
    <w:rsid w:val="0F4E7F38"/>
    <w:rsid w:val="0F955B67"/>
    <w:rsid w:val="0FA83AEC"/>
    <w:rsid w:val="0FCF3E85"/>
    <w:rsid w:val="0FFEAA84"/>
    <w:rsid w:val="105877D7"/>
    <w:rsid w:val="106D43EE"/>
    <w:rsid w:val="107B4D5D"/>
    <w:rsid w:val="10C2298C"/>
    <w:rsid w:val="10F16DCD"/>
    <w:rsid w:val="111E456B"/>
    <w:rsid w:val="1122342A"/>
    <w:rsid w:val="11557AB3"/>
    <w:rsid w:val="116E48C1"/>
    <w:rsid w:val="11726A10"/>
    <w:rsid w:val="11C73FD2"/>
    <w:rsid w:val="120F6A04"/>
    <w:rsid w:val="121656BA"/>
    <w:rsid w:val="122E4051"/>
    <w:rsid w:val="127A7296"/>
    <w:rsid w:val="12AD1419"/>
    <w:rsid w:val="12BA7692"/>
    <w:rsid w:val="12F64B6E"/>
    <w:rsid w:val="12FC7CAB"/>
    <w:rsid w:val="13596EAB"/>
    <w:rsid w:val="13645F2E"/>
    <w:rsid w:val="136C3083"/>
    <w:rsid w:val="136F471C"/>
    <w:rsid w:val="1384217A"/>
    <w:rsid w:val="14636234"/>
    <w:rsid w:val="14773A8D"/>
    <w:rsid w:val="14A9516C"/>
    <w:rsid w:val="14C91E0F"/>
    <w:rsid w:val="14E25B40"/>
    <w:rsid w:val="15396F94"/>
    <w:rsid w:val="155F3109"/>
    <w:rsid w:val="15671D54"/>
    <w:rsid w:val="15744470"/>
    <w:rsid w:val="15F829AC"/>
    <w:rsid w:val="160F7CF5"/>
    <w:rsid w:val="1696408A"/>
    <w:rsid w:val="16BA0A89"/>
    <w:rsid w:val="16C86822"/>
    <w:rsid w:val="16DA0303"/>
    <w:rsid w:val="16FBC2AA"/>
    <w:rsid w:val="172577D0"/>
    <w:rsid w:val="1726179A"/>
    <w:rsid w:val="17A50911"/>
    <w:rsid w:val="17BF2A26"/>
    <w:rsid w:val="17D905BB"/>
    <w:rsid w:val="182E6B59"/>
    <w:rsid w:val="1890511D"/>
    <w:rsid w:val="194523AC"/>
    <w:rsid w:val="19A2257B"/>
    <w:rsid w:val="19C04514"/>
    <w:rsid w:val="19DC5194"/>
    <w:rsid w:val="19F7B507"/>
    <w:rsid w:val="1A515064"/>
    <w:rsid w:val="1A8C5DB8"/>
    <w:rsid w:val="1A963A6B"/>
    <w:rsid w:val="1AFF3BF4"/>
    <w:rsid w:val="1B0228F6"/>
    <w:rsid w:val="1B064E98"/>
    <w:rsid w:val="1B157B5C"/>
    <w:rsid w:val="1B1B527C"/>
    <w:rsid w:val="1B4B1512"/>
    <w:rsid w:val="1BD67C23"/>
    <w:rsid w:val="1BE84963"/>
    <w:rsid w:val="1BFF4774"/>
    <w:rsid w:val="1C29608F"/>
    <w:rsid w:val="1C2D064E"/>
    <w:rsid w:val="1C3D736A"/>
    <w:rsid w:val="1C3E0C2E"/>
    <w:rsid w:val="1C632B49"/>
    <w:rsid w:val="1CCB2BC8"/>
    <w:rsid w:val="1D320E8A"/>
    <w:rsid w:val="1DEFACB5"/>
    <w:rsid w:val="1E3E561C"/>
    <w:rsid w:val="1E4A5D6E"/>
    <w:rsid w:val="1E4D0963"/>
    <w:rsid w:val="1E872A0B"/>
    <w:rsid w:val="1E9811D0"/>
    <w:rsid w:val="1ECC0E79"/>
    <w:rsid w:val="1EFC3D3A"/>
    <w:rsid w:val="1F5F0AEE"/>
    <w:rsid w:val="1F811C64"/>
    <w:rsid w:val="1FB43DE7"/>
    <w:rsid w:val="1FBEE23F"/>
    <w:rsid w:val="1FD24FD0"/>
    <w:rsid w:val="1FEA7809"/>
    <w:rsid w:val="1FF95C9E"/>
    <w:rsid w:val="1FF96B23"/>
    <w:rsid w:val="1FFF37A6"/>
    <w:rsid w:val="20084133"/>
    <w:rsid w:val="2039253E"/>
    <w:rsid w:val="20FD17BE"/>
    <w:rsid w:val="20FE4CE1"/>
    <w:rsid w:val="211F2195"/>
    <w:rsid w:val="21461CA4"/>
    <w:rsid w:val="21471D75"/>
    <w:rsid w:val="216039CC"/>
    <w:rsid w:val="21863561"/>
    <w:rsid w:val="21A67760"/>
    <w:rsid w:val="21AC1386"/>
    <w:rsid w:val="21B52AAC"/>
    <w:rsid w:val="21BA77E7"/>
    <w:rsid w:val="22372AAE"/>
    <w:rsid w:val="224761AC"/>
    <w:rsid w:val="22573150"/>
    <w:rsid w:val="22813D29"/>
    <w:rsid w:val="229972C4"/>
    <w:rsid w:val="22CE3412"/>
    <w:rsid w:val="22E76282"/>
    <w:rsid w:val="23514553"/>
    <w:rsid w:val="235D6544"/>
    <w:rsid w:val="239248EE"/>
    <w:rsid w:val="23C56F8B"/>
    <w:rsid w:val="240864B0"/>
    <w:rsid w:val="240C1A5A"/>
    <w:rsid w:val="243E7D48"/>
    <w:rsid w:val="246758CC"/>
    <w:rsid w:val="24B65F0C"/>
    <w:rsid w:val="24C0328D"/>
    <w:rsid w:val="24F1163A"/>
    <w:rsid w:val="25072C0B"/>
    <w:rsid w:val="25641E0C"/>
    <w:rsid w:val="25A95A70"/>
    <w:rsid w:val="25EF7129"/>
    <w:rsid w:val="263BDA97"/>
    <w:rsid w:val="2676561B"/>
    <w:rsid w:val="268948D5"/>
    <w:rsid w:val="269915E2"/>
    <w:rsid w:val="26EB0691"/>
    <w:rsid w:val="27066912"/>
    <w:rsid w:val="2712206E"/>
    <w:rsid w:val="27175FD0"/>
    <w:rsid w:val="276E6F72"/>
    <w:rsid w:val="27710810"/>
    <w:rsid w:val="277DC776"/>
    <w:rsid w:val="27A97FAA"/>
    <w:rsid w:val="27BF77CD"/>
    <w:rsid w:val="27D17500"/>
    <w:rsid w:val="27DD6FFB"/>
    <w:rsid w:val="28133675"/>
    <w:rsid w:val="285C326E"/>
    <w:rsid w:val="286363AA"/>
    <w:rsid w:val="28876B22"/>
    <w:rsid w:val="289A78F2"/>
    <w:rsid w:val="29262C3B"/>
    <w:rsid w:val="29531E1A"/>
    <w:rsid w:val="295E4DC4"/>
    <w:rsid w:val="29A76195"/>
    <w:rsid w:val="29B30AFA"/>
    <w:rsid w:val="29F86FC6"/>
    <w:rsid w:val="2A2072D4"/>
    <w:rsid w:val="2A297CE3"/>
    <w:rsid w:val="2A4C1D16"/>
    <w:rsid w:val="2A5A1A2F"/>
    <w:rsid w:val="2A8F6509"/>
    <w:rsid w:val="2AB033FD"/>
    <w:rsid w:val="2AE87B84"/>
    <w:rsid w:val="2AEE5861"/>
    <w:rsid w:val="2AFFDD86"/>
    <w:rsid w:val="2B0379D1"/>
    <w:rsid w:val="2B05199B"/>
    <w:rsid w:val="2B255B99"/>
    <w:rsid w:val="2B9C54F7"/>
    <w:rsid w:val="2B9D1BD3"/>
    <w:rsid w:val="2BD55811"/>
    <w:rsid w:val="2BDD6474"/>
    <w:rsid w:val="2BEF5C4F"/>
    <w:rsid w:val="2BFDF573"/>
    <w:rsid w:val="2C3A38C6"/>
    <w:rsid w:val="2C592010"/>
    <w:rsid w:val="2C5D75B5"/>
    <w:rsid w:val="2C770676"/>
    <w:rsid w:val="2C792640"/>
    <w:rsid w:val="2C8965FC"/>
    <w:rsid w:val="2CAD5E46"/>
    <w:rsid w:val="2CC47634"/>
    <w:rsid w:val="2CE90E48"/>
    <w:rsid w:val="2D2D340A"/>
    <w:rsid w:val="2D2F7952"/>
    <w:rsid w:val="2D720E3E"/>
    <w:rsid w:val="2D7C61F7"/>
    <w:rsid w:val="2DC07DFB"/>
    <w:rsid w:val="2DE41D3C"/>
    <w:rsid w:val="2DEC4CC1"/>
    <w:rsid w:val="2DFF2E65"/>
    <w:rsid w:val="2E232138"/>
    <w:rsid w:val="2E5A3DAC"/>
    <w:rsid w:val="2E916F66"/>
    <w:rsid w:val="2E951288"/>
    <w:rsid w:val="2EA74B17"/>
    <w:rsid w:val="2EA80FBB"/>
    <w:rsid w:val="2EC76F67"/>
    <w:rsid w:val="2ED7642D"/>
    <w:rsid w:val="2EE10029"/>
    <w:rsid w:val="2EF760F4"/>
    <w:rsid w:val="2F0A3A24"/>
    <w:rsid w:val="2F0D661F"/>
    <w:rsid w:val="2F2546F5"/>
    <w:rsid w:val="2F6EB4CE"/>
    <w:rsid w:val="2F73393B"/>
    <w:rsid w:val="2F7B36D1"/>
    <w:rsid w:val="2F8F3F29"/>
    <w:rsid w:val="2F920605"/>
    <w:rsid w:val="2FB63264"/>
    <w:rsid w:val="2FC82F97"/>
    <w:rsid w:val="2FC9111F"/>
    <w:rsid w:val="2FDDDD4B"/>
    <w:rsid w:val="2FEB6A6D"/>
    <w:rsid w:val="2FED31D9"/>
    <w:rsid w:val="2FEF9687"/>
    <w:rsid w:val="2FF74511"/>
    <w:rsid w:val="2FFF325C"/>
    <w:rsid w:val="2FFFF129"/>
    <w:rsid w:val="300541EB"/>
    <w:rsid w:val="30B654E5"/>
    <w:rsid w:val="30BB47F8"/>
    <w:rsid w:val="313B77F9"/>
    <w:rsid w:val="31411253"/>
    <w:rsid w:val="31503085"/>
    <w:rsid w:val="31D24224"/>
    <w:rsid w:val="31E56082"/>
    <w:rsid w:val="31F11A6B"/>
    <w:rsid w:val="31FB3AF8"/>
    <w:rsid w:val="31FF9EF8"/>
    <w:rsid w:val="328D1840"/>
    <w:rsid w:val="329F4213"/>
    <w:rsid w:val="32F6606D"/>
    <w:rsid w:val="32F71B6A"/>
    <w:rsid w:val="334943EF"/>
    <w:rsid w:val="334B460B"/>
    <w:rsid w:val="33925BD9"/>
    <w:rsid w:val="33AD2BD0"/>
    <w:rsid w:val="33B93FFF"/>
    <w:rsid w:val="33EA7980"/>
    <w:rsid w:val="340D03F4"/>
    <w:rsid w:val="34321327"/>
    <w:rsid w:val="343994AF"/>
    <w:rsid w:val="34820207"/>
    <w:rsid w:val="34A2025B"/>
    <w:rsid w:val="34A246FE"/>
    <w:rsid w:val="34DC2B4A"/>
    <w:rsid w:val="351D2C69"/>
    <w:rsid w:val="35C506A4"/>
    <w:rsid w:val="35F46AF1"/>
    <w:rsid w:val="35FAF913"/>
    <w:rsid w:val="36091CD0"/>
    <w:rsid w:val="361C2353"/>
    <w:rsid w:val="36455341"/>
    <w:rsid w:val="36E3355A"/>
    <w:rsid w:val="37103BA1"/>
    <w:rsid w:val="372E3CC2"/>
    <w:rsid w:val="373158C6"/>
    <w:rsid w:val="3776D966"/>
    <w:rsid w:val="37BEF3F3"/>
    <w:rsid w:val="37C93D50"/>
    <w:rsid w:val="37D7D611"/>
    <w:rsid w:val="37D97EEF"/>
    <w:rsid w:val="37E69E33"/>
    <w:rsid w:val="37E92C69"/>
    <w:rsid w:val="37F34076"/>
    <w:rsid w:val="37F469ED"/>
    <w:rsid w:val="37FDFBC2"/>
    <w:rsid w:val="383D6DCE"/>
    <w:rsid w:val="38AA5930"/>
    <w:rsid w:val="38CD161E"/>
    <w:rsid w:val="38D64977"/>
    <w:rsid w:val="38EF20E7"/>
    <w:rsid w:val="3914724D"/>
    <w:rsid w:val="39202096"/>
    <w:rsid w:val="396635B5"/>
    <w:rsid w:val="398B750F"/>
    <w:rsid w:val="39F41558"/>
    <w:rsid w:val="3A013C75"/>
    <w:rsid w:val="3A4F678F"/>
    <w:rsid w:val="3A685CE5"/>
    <w:rsid w:val="3AB6638A"/>
    <w:rsid w:val="3AC23405"/>
    <w:rsid w:val="3ACC6031"/>
    <w:rsid w:val="3ACD1DA9"/>
    <w:rsid w:val="3ADB6274"/>
    <w:rsid w:val="3AE710BD"/>
    <w:rsid w:val="3AFBCA12"/>
    <w:rsid w:val="3B213364"/>
    <w:rsid w:val="3B3B4752"/>
    <w:rsid w:val="3B3B7C62"/>
    <w:rsid w:val="3B5C93AD"/>
    <w:rsid w:val="3B9E28E4"/>
    <w:rsid w:val="3BBCCB3C"/>
    <w:rsid w:val="3BDE4C7D"/>
    <w:rsid w:val="3BFD221A"/>
    <w:rsid w:val="3BFFF69C"/>
    <w:rsid w:val="3C131A3E"/>
    <w:rsid w:val="3C207E10"/>
    <w:rsid w:val="3CA803D8"/>
    <w:rsid w:val="3CFF82C4"/>
    <w:rsid w:val="3D0F2E1A"/>
    <w:rsid w:val="3D313B0A"/>
    <w:rsid w:val="3D3B836A"/>
    <w:rsid w:val="3D6764E5"/>
    <w:rsid w:val="3DBE4EDA"/>
    <w:rsid w:val="3DCE0EF1"/>
    <w:rsid w:val="3DE93535"/>
    <w:rsid w:val="3DECCD89"/>
    <w:rsid w:val="3E29740B"/>
    <w:rsid w:val="3E384DE6"/>
    <w:rsid w:val="3E6F0F73"/>
    <w:rsid w:val="3E7DA38C"/>
    <w:rsid w:val="3E9C3F6D"/>
    <w:rsid w:val="3EA61C0D"/>
    <w:rsid w:val="3EDD8139"/>
    <w:rsid w:val="3EF9E9ED"/>
    <w:rsid w:val="3EFF9461"/>
    <w:rsid w:val="3F255D10"/>
    <w:rsid w:val="3F47212A"/>
    <w:rsid w:val="3F4BA0C9"/>
    <w:rsid w:val="3F6E05E3"/>
    <w:rsid w:val="3F6F56CC"/>
    <w:rsid w:val="3F7F52F8"/>
    <w:rsid w:val="3F7FDC5E"/>
    <w:rsid w:val="3F9335C1"/>
    <w:rsid w:val="3FA502BE"/>
    <w:rsid w:val="3FAC1A8D"/>
    <w:rsid w:val="3FAC7B0A"/>
    <w:rsid w:val="3FAFF799"/>
    <w:rsid w:val="3FCF3ECE"/>
    <w:rsid w:val="3FD70D60"/>
    <w:rsid w:val="3FDF48BA"/>
    <w:rsid w:val="3FDFCC8C"/>
    <w:rsid w:val="3FFC3EB5"/>
    <w:rsid w:val="3FFD3F6D"/>
    <w:rsid w:val="3FFDB037"/>
    <w:rsid w:val="3FFE9CE3"/>
    <w:rsid w:val="3FFF267B"/>
    <w:rsid w:val="3FFF5C4C"/>
    <w:rsid w:val="3FFFE8F5"/>
    <w:rsid w:val="407D5106"/>
    <w:rsid w:val="412B36E9"/>
    <w:rsid w:val="41840582"/>
    <w:rsid w:val="419D24D5"/>
    <w:rsid w:val="42483064"/>
    <w:rsid w:val="4269685C"/>
    <w:rsid w:val="436D5ED7"/>
    <w:rsid w:val="439DD6CD"/>
    <w:rsid w:val="43DE6DD5"/>
    <w:rsid w:val="43FA4043"/>
    <w:rsid w:val="452F7A3E"/>
    <w:rsid w:val="454D4212"/>
    <w:rsid w:val="45577B50"/>
    <w:rsid w:val="45834A9D"/>
    <w:rsid w:val="45C2075D"/>
    <w:rsid w:val="45CC3389"/>
    <w:rsid w:val="45CE1645"/>
    <w:rsid w:val="45EF7078"/>
    <w:rsid w:val="467F7ACD"/>
    <w:rsid w:val="468E6891"/>
    <w:rsid w:val="46A47E62"/>
    <w:rsid w:val="46CB3641"/>
    <w:rsid w:val="472457F6"/>
    <w:rsid w:val="476726A8"/>
    <w:rsid w:val="47792715"/>
    <w:rsid w:val="4794370A"/>
    <w:rsid w:val="47971775"/>
    <w:rsid w:val="47CF42B9"/>
    <w:rsid w:val="47DF7D53"/>
    <w:rsid w:val="47E66258"/>
    <w:rsid w:val="47E86474"/>
    <w:rsid w:val="47EA5D49"/>
    <w:rsid w:val="47F15951"/>
    <w:rsid w:val="47F6649C"/>
    <w:rsid w:val="48082A30"/>
    <w:rsid w:val="482A4397"/>
    <w:rsid w:val="482F19AD"/>
    <w:rsid w:val="48AE669E"/>
    <w:rsid w:val="48C31831"/>
    <w:rsid w:val="48D6451F"/>
    <w:rsid w:val="48DA358F"/>
    <w:rsid w:val="48E94252"/>
    <w:rsid w:val="48EE1869"/>
    <w:rsid w:val="49004A63"/>
    <w:rsid w:val="49015398"/>
    <w:rsid w:val="49246A19"/>
    <w:rsid w:val="496B2686"/>
    <w:rsid w:val="49917CF5"/>
    <w:rsid w:val="49B9277D"/>
    <w:rsid w:val="49F72B01"/>
    <w:rsid w:val="49FB355A"/>
    <w:rsid w:val="4A057ACA"/>
    <w:rsid w:val="4A274D0C"/>
    <w:rsid w:val="4A435BE4"/>
    <w:rsid w:val="4A4F4589"/>
    <w:rsid w:val="4A6C457F"/>
    <w:rsid w:val="4B0F41AC"/>
    <w:rsid w:val="4B3FB53E"/>
    <w:rsid w:val="4B7548A5"/>
    <w:rsid w:val="4BA426B2"/>
    <w:rsid w:val="4BB85945"/>
    <w:rsid w:val="4BF41C94"/>
    <w:rsid w:val="4BF690BD"/>
    <w:rsid w:val="4BFBEBB7"/>
    <w:rsid w:val="4BFC604B"/>
    <w:rsid w:val="4C0263E7"/>
    <w:rsid w:val="4CAB2F3F"/>
    <w:rsid w:val="4CBD57DA"/>
    <w:rsid w:val="4D04165B"/>
    <w:rsid w:val="4D555011"/>
    <w:rsid w:val="4D6B792C"/>
    <w:rsid w:val="4D8A4614"/>
    <w:rsid w:val="4D8A7AB7"/>
    <w:rsid w:val="4DC66910"/>
    <w:rsid w:val="4DF236B0"/>
    <w:rsid w:val="4DFF4189"/>
    <w:rsid w:val="4E07401A"/>
    <w:rsid w:val="4E524648"/>
    <w:rsid w:val="4E851E3C"/>
    <w:rsid w:val="4EAF0AC9"/>
    <w:rsid w:val="4ECC61A8"/>
    <w:rsid w:val="4ED60DD5"/>
    <w:rsid w:val="4EFB47DB"/>
    <w:rsid w:val="4F7FB41B"/>
    <w:rsid w:val="4F890A2C"/>
    <w:rsid w:val="4FCE7CFE"/>
    <w:rsid w:val="4FEB6B02"/>
    <w:rsid w:val="4FECC95E"/>
    <w:rsid w:val="4FFC5235"/>
    <w:rsid w:val="4FFD6FDA"/>
    <w:rsid w:val="4FFDF91D"/>
    <w:rsid w:val="50033E4B"/>
    <w:rsid w:val="505A5A36"/>
    <w:rsid w:val="50747F96"/>
    <w:rsid w:val="5098019C"/>
    <w:rsid w:val="50A90AA6"/>
    <w:rsid w:val="51203B5C"/>
    <w:rsid w:val="517169BB"/>
    <w:rsid w:val="51E657D3"/>
    <w:rsid w:val="51EE6AF3"/>
    <w:rsid w:val="52500005"/>
    <w:rsid w:val="52C35B14"/>
    <w:rsid w:val="532C36B9"/>
    <w:rsid w:val="53426A39"/>
    <w:rsid w:val="534327B1"/>
    <w:rsid w:val="535D0E1A"/>
    <w:rsid w:val="537D2167"/>
    <w:rsid w:val="54062852"/>
    <w:rsid w:val="54576514"/>
    <w:rsid w:val="548B4F72"/>
    <w:rsid w:val="54C16083"/>
    <w:rsid w:val="54CF5BC6"/>
    <w:rsid w:val="54E729E6"/>
    <w:rsid w:val="557810A9"/>
    <w:rsid w:val="55853555"/>
    <w:rsid w:val="559317CE"/>
    <w:rsid w:val="55B41744"/>
    <w:rsid w:val="55B94FAC"/>
    <w:rsid w:val="55E97640"/>
    <w:rsid w:val="55FB6A84"/>
    <w:rsid w:val="562C577E"/>
    <w:rsid w:val="563E2BBB"/>
    <w:rsid w:val="56665932"/>
    <w:rsid w:val="567FADEC"/>
    <w:rsid w:val="56D500F3"/>
    <w:rsid w:val="56EA18C1"/>
    <w:rsid w:val="56FD6C34"/>
    <w:rsid w:val="56FE536D"/>
    <w:rsid w:val="571E156B"/>
    <w:rsid w:val="57266671"/>
    <w:rsid w:val="572E71DA"/>
    <w:rsid w:val="5777143B"/>
    <w:rsid w:val="57A92B70"/>
    <w:rsid w:val="57AE0D20"/>
    <w:rsid w:val="57DDB9B6"/>
    <w:rsid w:val="57E75C01"/>
    <w:rsid w:val="57F73D6E"/>
    <w:rsid w:val="57FDDE19"/>
    <w:rsid w:val="582E57DE"/>
    <w:rsid w:val="58C9089B"/>
    <w:rsid w:val="58CA7BFC"/>
    <w:rsid w:val="58E16CF4"/>
    <w:rsid w:val="591F781C"/>
    <w:rsid w:val="59407EBE"/>
    <w:rsid w:val="595E0345"/>
    <w:rsid w:val="597349B7"/>
    <w:rsid w:val="5987789B"/>
    <w:rsid w:val="59AA17DC"/>
    <w:rsid w:val="59C81C62"/>
    <w:rsid w:val="59F34EDA"/>
    <w:rsid w:val="59FE58F5"/>
    <w:rsid w:val="59FE7432"/>
    <w:rsid w:val="5A2E7D17"/>
    <w:rsid w:val="5A6C6A91"/>
    <w:rsid w:val="5AA96654"/>
    <w:rsid w:val="5AC643F3"/>
    <w:rsid w:val="5ACB6DF0"/>
    <w:rsid w:val="5B3F424A"/>
    <w:rsid w:val="5BA65FD3"/>
    <w:rsid w:val="5BAF29D4"/>
    <w:rsid w:val="5BB9ECE8"/>
    <w:rsid w:val="5BCC31C8"/>
    <w:rsid w:val="5BD57D10"/>
    <w:rsid w:val="5BFB1B82"/>
    <w:rsid w:val="5BFB241B"/>
    <w:rsid w:val="5BFD7E4E"/>
    <w:rsid w:val="5CD67304"/>
    <w:rsid w:val="5CFE70D5"/>
    <w:rsid w:val="5D186A5C"/>
    <w:rsid w:val="5D9A3915"/>
    <w:rsid w:val="5D9A56C3"/>
    <w:rsid w:val="5DCC237B"/>
    <w:rsid w:val="5DCF2395"/>
    <w:rsid w:val="5DDF1EC9"/>
    <w:rsid w:val="5DF9D8ED"/>
    <w:rsid w:val="5DFF8C05"/>
    <w:rsid w:val="5E2764C1"/>
    <w:rsid w:val="5E8343A9"/>
    <w:rsid w:val="5F185419"/>
    <w:rsid w:val="5F1A4D0E"/>
    <w:rsid w:val="5F337B7D"/>
    <w:rsid w:val="5F4DDCCE"/>
    <w:rsid w:val="5F5A0AE9"/>
    <w:rsid w:val="5F7A3794"/>
    <w:rsid w:val="5F944D16"/>
    <w:rsid w:val="5F9E9E30"/>
    <w:rsid w:val="5F9F5213"/>
    <w:rsid w:val="5FA840C8"/>
    <w:rsid w:val="5FAD646C"/>
    <w:rsid w:val="5FBF464A"/>
    <w:rsid w:val="5FCD8A4E"/>
    <w:rsid w:val="5FCDDD08"/>
    <w:rsid w:val="5FD6DF2F"/>
    <w:rsid w:val="5FF62962"/>
    <w:rsid w:val="5FF71E61"/>
    <w:rsid w:val="5FF976B8"/>
    <w:rsid w:val="5FFB56C5"/>
    <w:rsid w:val="5FFB797F"/>
    <w:rsid w:val="5FFF42C7"/>
    <w:rsid w:val="60290878"/>
    <w:rsid w:val="60531266"/>
    <w:rsid w:val="609E0F0C"/>
    <w:rsid w:val="60A05701"/>
    <w:rsid w:val="60AF76D8"/>
    <w:rsid w:val="60FA6BA5"/>
    <w:rsid w:val="61210873"/>
    <w:rsid w:val="613F6CAD"/>
    <w:rsid w:val="614C5D65"/>
    <w:rsid w:val="61A60ADB"/>
    <w:rsid w:val="61AD3C17"/>
    <w:rsid w:val="61BE4076"/>
    <w:rsid w:val="61C80A51"/>
    <w:rsid w:val="61FED088"/>
    <w:rsid w:val="622540F5"/>
    <w:rsid w:val="6256605D"/>
    <w:rsid w:val="62871F4E"/>
    <w:rsid w:val="62B114E5"/>
    <w:rsid w:val="62DE42A4"/>
    <w:rsid w:val="62E73159"/>
    <w:rsid w:val="63081A0C"/>
    <w:rsid w:val="633D23C3"/>
    <w:rsid w:val="63577FF3"/>
    <w:rsid w:val="63A4729C"/>
    <w:rsid w:val="63C533DB"/>
    <w:rsid w:val="63C96D02"/>
    <w:rsid w:val="63DA2CBD"/>
    <w:rsid w:val="63F43D7F"/>
    <w:rsid w:val="64966BE4"/>
    <w:rsid w:val="652E5AA2"/>
    <w:rsid w:val="654E74BF"/>
    <w:rsid w:val="655A1128"/>
    <w:rsid w:val="66012783"/>
    <w:rsid w:val="661701F9"/>
    <w:rsid w:val="66285F62"/>
    <w:rsid w:val="664A2A64"/>
    <w:rsid w:val="665C5C0C"/>
    <w:rsid w:val="66B141AA"/>
    <w:rsid w:val="66C5DEB8"/>
    <w:rsid w:val="66CE780D"/>
    <w:rsid w:val="66D6442B"/>
    <w:rsid w:val="670544F5"/>
    <w:rsid w:val="67310E46"/>
    <w:rsid w:val="674943E2"/>
    <w:rsid w:val="67530DBD"/>
    <w:rsid w:val="67695FB4"/>
    <w:rsid w:val="67784CC7"/>
    <w:rsid w:val="677EF766"/>
    <w:rsid w:val="67A94E81"/>
    <w:rsid w:val="67BF509C"/>
    <w:rsid w:val="67E265E5"/>
    <w:rsid w:val="67F9C0DB"/>
    <w:rsid w:val="67FD81F6"/>
    <w:rsid w:val="67FFC47E"/>
    <w:rsid w:val="680D3662"/>
    <w:rsid w:val="684D3A5E"/>
    <w:rsid w:val="6861575B"/>
    <w:rsid w:val="68792AA5"/>
    <w:rsid w:val="688F22C8"/>
    <w:rsid w:val="68AD6BF3"/>
    <w:rsid w:val="68E61827"/>
    <w:rsid w:val="68FFD0DE"/>
    <w:rsid w:val="694109EF"/>
    <w:rsid w:val="697511C1"/>
    <w:rsid w:val="697F058F"/>
    <w:rsid w:val="699F653B"/>
    <w:rsid w:val="69B97E3C"/>
    <w:rsid w:val="69F66377"/>
    <w:rsid w:val="6A357F94"/>
    <w:rsid w:val="6A372F9C"/>
    <w:rsid w:val="6A6A5005"/>
    <w:rsid w:val="6A8219B9"/>
    <w:rsid w:val="6A935974"/>
    <w:rsid w:val="6A995680"/>
    <w:rsid w:val="6AF95CB5"/>
    <w:rsid w:val="6AFD7950"/>
    <w:rsid w:val="6B00125C"/>
    <w:rsid w:val="6B3FFD3E"/>
    <w:rsid w:val="6B853399"/>
    <w:rsid w:val="6BAA11C7"/>
    <w:rsid w:val="6BAE0CB8"/>
    <w:rsid w:val="6BBA6851"/>
    <w:rsid w:val="6BBA6A4A"/>
    <w:rsid w:val="6BC8789F"/>
    <w:rsid w:val="6C1D5E3D"/>
    <w:rsid w:val="6C384A25"/>
    <w:rsid w:val="6CD3474E"/>
    <w:rsid w:val="6CDA3D2E"/>
    <w:rsid w:val="6CEF4298"/>
    <w:rsid w:val="6D2EC185"/>
    <w:rsid w:val="6D6261FE"/>
    <w:rsid w:val="6D8141AA"/>
    <w:rsid w:val="6D837F22"/>
    <w:rsid w:val="6D8830B1"/>
    <w:rsid w:val="6D9F4F29"/>
    <w:rsid w:val="6DAB6B13"/>
    <w:rsid w:val="6DB7E553"/>
    <w:rsid w:val="6DCB70B9"/>
    <w:rsid w:val="6DDF784E"/>
    <w:rsid w:val="6DFB4EB4"/>
    <w:rsid w:val="6E1374F8"/>
    <w:rsid w:val="6E160F2B"/>
    <w:rsid w:val="6E217E67"/>
    <w:rsid w:val="6E405E13"/>
    <w:rsid w:val="6E587601"/>
    <w:rsid w:val="6E65074D"/>
    <w:rsid w:val="6E7855AD"/>
    <w:rsid w:val="6EA1F7C1"/>
    <w:rsid w:val="6EAB36AE"/>
    <w:rsid w:val="6EACF65E"/>
    <w:rsid w:val="6EC7A847"/>
    <w:rsid w:val="6ECF8129"/>
    <w:rsid w:val="6EDB4C12"/>
    <w:rsid w:val="6EDEE14C"/>
    <w:rsid w:val="6EDFCF84"/>
    <w:rsid w:val="6EED8852"/>
    <w:rsid w:val="6EED9CF1"/>
    <w:rsid w:val="6EF3D86E"/>
    <w:rsid w:val="6EFEA4AE"/>
    <w:rsid w:val="6F437969"/>
    <w:rsid w:val="6F678258"/>
    <w:rsid w:val="6F6B2BF5"/>
    <w:rsid w:val="6F7F1F57"/>
    <w:rsid w:val="6F906926"/>
    <w:rsid w:val="6F9E1DA9"/>
    <w:rsid w:val="6FA17440"/>
    <w:rsid w:val="6FAC9604"/>
    <w:rsid w:val="6FADBD5E"/>
    <w:rsid w:val="6FBF3B77"/>
    <w:rsid w:val="6FBF8150"/>
    <w:rsid w:val="6FDB3249"/>
    <w:rsid w:val="6FDF2DB9"/>
    <w:rsid w:val="6FDF32BA"/>
    <w:rsid w:val="6FFA55B3"/>
    <w:rsid w:val="6FFB7CE8"/>
    <w:rsid w:val="6FFF9532"/>
    <w:rsid w:val="70156AB9"/>
    <w:rsid w:val="701B7C20"/>
    <w:rsid w:val="7089201F"/>
    <w:rsid w:val="708C533F"/>
    <w:rsid w:val="70B0102E"/>
    <w:rsid w:val="70FA54A1"/>
    <w:rsid w:val="711E68DF"/>
    <w:rsid w:val="713F6856"/>
    <w:rsid w:val="7156FA35"/>
    <w:rsid w:val="718304F0"/>
    <w:rsid w:val="71E7F215"/>
    <w:rsid w:val="7256A08C"/>
    <w:rsid w:val="725D6F93"/>
    <w:rsid w:val="72612C83"/>
    <w:rsid w:val="729329B5"/>
    <w:rsid w:val="729B3E79"/>
    <w:rsid w:val="729D3834"/>
    <w:rsid w:val="72A47E5E"/>
    <w:rsid w:val="72F7D149"/>
    <w:rsid w:val="72FD2890"/>
    <w:rsid w:val="72FF004B"/>
    <w:rsid w:val="737FB396"/>
    <w:rsid w:val="73B74304"/>
    <w:rsid w:val="73D72003"/>
    <w:rsid w:val="73EF00BF"/>
    <w:rsid w:val="73F03DC7"/>
    <w:rsid w:val="73F71153"/>
    <w:rsid w:val="73FB8921"/>
    <w:rsid w:val="740A08AA"/>
    <w:rsid w:val="7457AD80"/>
    <w:rsid w:val="74602D6B"/>
    <w:rsid w:val="749F7D37"/>
    <w:rsid w:val="74AB7626"/>
    <w:rsid w:val="74D62D5E"/>
    <w:rsid w:val="74E6301A"/>
    <w:rsid w:val="74FFF3C5"/>
    <w:rsid w:val="754D6F95"/>
    <w:rsid w:val="756276E8"/>
    <w:rsid w:val="75864A53"/>
    <w:rsid w:val="75BE98BB"/>
    <w:rsid w:val="75DFEF56"/>
    <w:rsid w:val="7630676D"/>
    <w:rsid w:val="76416699"/>
    <w:rsid w:val="76481D09"/>
    <w:rsid w:val="766F1B7B"/>
    <w:rsid w:val="76854D0B"/>
    <w:rsid w:val="76AA651F"/>
    <w:rsid w:val="76BF646F"/>
    <w:rsid w:val="76DD68F5"/>
    <w:rsid w:val="76FE301F"/>
    <w:rsid w:val="770E6AAE"/>
    <w:rsid w:val="77147E3D"/>
    <w:rsid w:val="7727E39E"/>
    <w:rsid w:val="775624FE"/>
    <w:rsid w:val="776F51AA"/>
    <w:rsid w:val="777B3FD2"/>
    <w:rsid w:val="777F5375"/>
    <w:rsid w:val="77844FC2"/>
    <w:rsid w:val="77BD2282"/>
    <w:rsid w:val="77C76357"/>
    <w:rsid w:val="77CFC6AD"/>
    <w:rsid w:val="77D76F5A"/>
    <w:rsid w:val="77E67A2B"/>
    <w:rsid w:val="77E7238D"/>
    <w:rsid w:val="77E7DA57"/>
    <w:rsid w:val="77ED9EEE"/>
    <w:rsid w:val="77EF505E"/>
    <w:rsid w:val="77F7C07F"/>
    <w:rsid w:val="77FFEDA4"/>
    <w:rsid w:val="7826607A"/>
    <w:rsid w:val="78EF2733"/>
    <w:rsid w:val="79004B1D"/>
    <w:rsid w:val="790E2D96"/>
    <w:rsid w:val="792FDB2E"/>
    <w:rsid w:val="793E5AA3"/>
    <w:rsid w:val="794A5D98"/>
    <w:rsid w:val="79740279"/>
    <w:rsid w:val="79887D2A"/>
    <w:rsid w:val="79F7ADF6"/>
    <w:rsid w:val="79F92B5A"/>
    <w:rsid w:val="7A3525A4"/>
    <w:rsid w:val="7A3A5E0C"/>
    <w:rsid w:val="7A440A39"/>
    <w:rsid w:val="7ADB05F7"/>
    <w:rsid w:val="7AE364A4"/>
    <w:rsid w:val="7AF4245F"/>
    <w:rsid w:val="7B234AF2"/>
    <w:rsid w:val="7B2C1BF9"/>
    <w:rsid w:val="7B7B66DC"/>
    <w:rsid w:val="7B7F9674"/>
    <w:rsid w:val="7BB85CB3"/>
    <w:rsid w:val="7BB9FB3B"/>
    <w:rsid w:val="7BDEA5F4"/>
    <w:rsid w:val="7BE646FB"/>
    <w:rsid w:val="7BEE172B"/>
    <w:rsid w:val="7BF1022F"/>
    <w:rsid w:val="7BF32717"/>
    <w:rsid w:val="7BF6817D"/>
    <w:rsid w:val="7BF85F7F"/>
    <w:rsid w:val="7BFD120D"/>
    <w:rsid w:val="7BFE3DDF"/>
    <w:rsid w:val="7BFF047C"/>
    <w:rsid w:val="7BFF325F"/>
    <w:rsid w:val="7C286864"/>
    <w:rsid w:val="7C596A1E"/>
    <w:rsid w:val="7C7FACAA"/>
    <w:rsid w:val="7CD77BA1"/>
    <w:rsid w:val="7CED53B8"/>
    <w:rsid w:val="7CED72E8"/>
    <w:rsid w:val="7CEF0640"/>
    <w:rsid w:val="7CFF17A3"/>
    <w:rsid w:val="7CFF3830"/>
    <w:rsid w:val="7D00333D"/>
    <w:rsid w:val="7D3D00ED"/>
    <w:rsid w:val="7D3FB246"/>
    <w:rsid w:val="7D56F544"/>
    <w:rsid w:val="7D5D3EAE"/>
    <w:rsid w:val="7D6B7DBD"/>
    <w:rsid w:val="7D7985F7"/>
    <w:rsid w:val="7D7DD999"/>
    <w:rsid w:val="7D7FB1B1"/>
    <w:rsid w:val="7D847658"/>
    <w:rsid w:val="7D876A1D"/>
    <w:rsid w:val="7DA92D09"/>
    <w:rsid w:val="7DAFA585"/>
    <w:rsid w:val="7DAFD726"/>
    <w:rsid w:val="7DB303AF"/>
    <w:rsid w:val="7DBE8A96"/>
    <w:rsid w:val="7DCB56F9"/>
    <w:rsid w:val="7DD10836"/>
    <w:rsid w:val="7DD72009"/>
    <w:rsid w:val="7DDA8684"/>
    <w:rsid w:val="7DDEBE07"/>
    <w:rsid w:val="7DE14F1D"/>
    <w:rsid w:val="7DEA3A6D"/>
    <w:rsid w:val="7DEDD2B4"/>
    <w:rsid w:val="7DFF5A92"/>
    <w:rsid w:val="7E215319"/>
    <w:rsid w:val="7E4B683A"/>
    <w:rsid w:val="7E5C45A3"/>
    <w:rsid w:val="7E61A356"/>
    <w:rsid w:val="7E696CC0"/>
    <w:rsid w:val="7E6DFC72"/>
    <w:rsid w:val="7E7B82B2"/>
    <w:rsid w:val="7E8B3CAB"/>
    <w:rsid w:val="7E9006F1"/>
    <w:rsid w:val="7EB6CD1B"/>
    <w:rsid w:val="7EBC274F"/>
    <w:rsid w:val="7EC6E487"/>
    <w:rsid w:val="7EC7F079"/>
    <w:rsid w:val="7ECF2FC7"/>
    <w:rsid w:val="7EDE48A8"/>
    <w:rsid w:val="7EDF1973"/>
    <w:rsid w:val="7EEF2427"/>
    <w:rsid w:val="7EF55C2A"/>
    <w:rsid w:val="7EFB1EA8"/>
    <w:rsid w:val="7EFBC3B3"/>
    <w:rsid w:val="7EFC897D"/>
    <w:rsid w:val="7EFF28A4"/>
    <w:rsid w:val="7EFF9C96"/>
    <w:rsid w:val="7F1E63A3"/>
    <w:rsid w:val="7F266439"/>
    <w:rsid w:val="7F3472CE"/>
    <w:rsid w:val="7F358B6C"/>
    <w:rsid w:val="7F3F3BC3"/>
    <w:rsid w:val="7F3FDD93"/>
    <w:rsid w:val="7F43ED18"/>
    <w:rsid w:val="7F4A6AF1"/>
    <w:rsid w:val="7F6C4F75"/>
    <w:rsid w:val="7F6E22BA"/>
    <w:rsid w:val="7F757309"/>
    <w:rsid w:val="7F79AF00"/>
    <w:rsid w:val="7F7F13F0"/>
    <w:rsid w:val="7F90106F"/>
    <w:rsid w:val="7F9318B5"/>
    <w:rsid w:val="7F9A256E"/>
    <w:rsid w:val="7FAB51B7"/>
    <w:rsid w:val="7FADC6A0"/>
    <w:rsid w:val="7FAED679"/>
    <w:rsid w:val="7FB328E9"/>
    <w:rsid w:val="7FB6F853"/>
    <w:rsid w:val="7FB70968"/>
    <w:rsid w:val="7FB77652"/>
    <w:rsid w:val="7FB99FD8"/>
    <w:rsid w:val="7FBAC8CD"/>
    <w:rsid w:val="7FBB0027"/>
    <w:rsid w:val="7FBB7FE6"/>
    <w:rsid w:val="7FBD2AE4"/>
    <w:rsid w:val="7FBE7C10"/>
    <w:rsid w:val="7FBF39EE"/>
    <w:rsid w:val="7FD566D1"/>
    <w:rsid w:val="7FD5C9B9"/>
    <w:rsid w:val="7FD71F20"/>
    <w:rsid w:val="7FDDF93D"/>
    <w:rsid w:val="7FDF921D"/>
    <w:rsid w:val="7FDFED4D"/>
    <w:rsid w:val="7FE3C2BF"/>
    <w:rsid w:val="7FE7C6B2"/>
    <w:rsid w:val="7FEF586D"/>
    <w:rsid w:val="7FEF7505"/>
    <w:rsid w:val="7FF07699"/>
    <w:rsid w:val="7FF1BEBD"/>
    <w:rsid w:val="7FF645E7"/>
    <w:rsid w:val="7FF68710"/>
    <w:rsid w:val="7FF7B35B"/>
    <w:rsid w:val="7FF7B985"/>
    <w:rsid w:val="7FF97DA4"/>
    <w:rsid w:val="7FFA31BE"/>
    <w:rsid w:val="7FFC5486"/>
    <w:rsid w:val="7FFD3D0B"/>
    <w:rsid w:val="7FFDBE7F"/>
    <w:rsid w:val="7FFDD814"/>
    <w:rsid w:val="7FFEF60D"/>
    <w:rsid w:val="7FFF0D74"/>
    <w:rsid w:val="7FFF1DAB"/>
    <w:rsid w:val="7FFF50CC"/>
    <w:rsid w:val="7FFF9772"/>
    <w:rsid w:val="8566E045"/>
    <w:rsid w:val="8DEB6D5F"/>
    <w:rsid w:val="8FD4703C"/>
    <w:rsid w:val="8FFFFCCF"/>
    <w:rsid w:val="95F0B133"/>
    <w:rsid w:val="95FE2AC6"/>
    <w:rsid w:val="987FC433"/>
    <w:rsid w:val="9BD7AC33"/>
    <w:rsid w:val="9DA6648D"/>
    <w:rsid w:val="9DF757A8"/>
    <w:rsid w:val="9DFB4604"/>
    <w:rsid w:val="9ED7322E"/>
    <w:rsid w:val="9EFC621A"/>
    <w:rsid w:val="9EFF1A27"/>
    <w:rsid w:val="9EFF8454"/>
    <w:rsid w:val="9FCFC04A"/>
    <w:rsid w:val="A57F634D"/>
    <w:rsid w:val="A7B51DA4"/>
    <w:rsid w:val="A7E3DBB9"/>
    <w:rsid w:val="AABB1F94"/>
    <w:rsid w:val="ABEF4475"/>
    <w:rsid w:val="ABFFE933"/>
    <w:rsid w:val="AF39E32B"/>
    <w:rsid w:val="AF7B45B1"/>
    <w:rsid w:val="AF7DD55C"/>
    <w:rsid w:val="AFBE4BDF"/>
    <w:rsid w:val="AFD72684"/>
    <w:rsid w:val="AFEF45F2"/>
    <w:rsid w:val="AFEF811E"/>
    <w:rsid w:val="AFFFB4E3"/>
    <w:rsid w:val="B25FF78C"/>
    <w:rsid w:val="B3BF82E2"/>
    <w:rsid w:val="B3DEE4B2"/>
    <w:rsid w:val="B3F11856"/>
    <w:rsid w:val="B3FD1A00"/>
    <w:rsid w:val="B59F0E9D"/>
    <w:rsid w:val="B68E50F5"/>
    <w:rsid w:val="B68FB491"/>
    <w:rsid w:val="B6F71DF2"/>
    <w:rsid w:val="B6FF4B28"/>
    <w:rsid w:val="B7275CA4"/>
    <w:rsid w:val="B75D7F57"/>
    <w:rsid w:val="B77B4ABA"/>
    <w:rsid w:val="B7DBC5FD"/>
    <w:rsid w:val="B7E586E9"/>
    <w:rsid w:val="B7F64E76"/>
    <w:rsid w:val="B7F6E045"/>
    <w:rsid w:val="B9DF7850"/>
    <w:rsid w:val="B9EFD24F"/>
    <w:rsid w:val="B9FB3131"/>
    <w:rsid w:val="B9FF2EB9"/>
    <w:rsid w:val="B9FF8C24"/>
    <w:rsid w:val="BAFEA182"/>
    <w:rsid w:val="BBA782A2"/>
    <w:rsid w:val="BBDB9D87"/>
    <w:rsid w:val="BBDF17FB"/>
    <w:rsid w:val="BC333659"/>
    <w:rsid w:val="BCEE289F"/>
    <w:rsid w:val="BD7F7A14"/>
    <w:rsid w:val="BDDBEB51"/>
    <w:rsid w:val="BDFFEBBC"/>
    <w:rsid w:val="BEDB99F3"/>
    <w:rsid w:val="BEDD41C9"/>
    <w:rsid w:val="BEE90F3C"/>
    <w:rsid w:val="BEED54BB"/>
    <w:rsid w:val="BEFBF963"/>
    <w:rsid w:val="BEFF053A"/>
    <w:rsid w:val="BF3A4782"/>
    <w:rsid w:val="BFBD8B70"/>
    <w:rsid w:val="BFDFD89D"/>
    <w:rsid w:val="BFE7C9E2"/>
    <w:rsid w:val="BFF3F034"/>
    <w:rsid w:val="BFF74842"/>
    <w:rsid w:val="C2AF79F0"/>
    <w:rsid w:val="C4BF549E"/>
    <w:rsid w:val="C78B0861"/>
    <w:rsid w:val="CCD67A99"/>
    <w:rsid w:val="CCF7C928"/>
    <w:rsid w:val="CDAF2A27"/>
    <w:rsid w:val="CDFFDAC9"/>
    <w:rsid w:val="CEBFA787"/>
    <w:rsid w:val="CEE3BC49"/>
    <w:rsid w:val="CF4F4950"/>
    <w:rsid w:val="CFCB6C00"/>
    <w:rsid w:val="CFF94BC9"/>
    <w:rsid w:val="D3BFA078"/>
    <w:rsid w:val="D3CBF286"/>
    <w:rsid w:val="D3DF07E5"/>
    <w:rsid w:val="D5B3CE6D"/>
    <w:rsid w:val="D77EFAB8"/>
    <w:rsid w:val="D77FFB74"/>
    <w:rsid w:val="D7BB1EF5"/>
    <w:rsid w:val="D7D7742A"/>
    <w:rsid w:val="D7DDC28B"/>
    <w:rsid w:val="D7DFC45C"/>
    <w:rsid w:val="D7F7A77D"/>
    <w:rsid w:val="D7FD2EDC"/>
    <w:rsid w:val="D7FF9B2E"/>
    <w:rsid w:val="D8DF8AD8"/>
    <w:rsid w:val="DA6E4990"/>
    <w:rsid w:val="DAE70279"/>
    <w:rsid w:val="DAFE9AC9"/>
    <w:rsid w:val="DAFFDCB4"/>
    <w:rsid w:val="DB77BBBC"/>
    <w:rsid w:val="DBDB69A3"/>
    <w:rsid w:val="DBFD7F54"/>
    <w:rsid w:val="DCDFC7D8"/>
    <w:rsid w:val="DD679E02"/>
    <w:rsid w:val="DDBBBDFF"/>
    <w:rsid w:val="DDBF8DF6"/>
    <w:rsid w:val="DDF1C4A8"/>
    <w:rsid w:val="DE7D1616"/>
    <w:rsid w:val="DEB626F7"/>
    <w:rsid w:val="DEEB9B37"/>
    <w:rsid w:val="DEEE111B"/>
    <w:rsid w:val="DEFE4E49"/>
    <w:rsid w:val="DF17F469"/>
    <w:rsid w:val="DF7709C6"/>
    <w:rsid w:val="DF7DB49F"/>
    <w:rsid w:val="DF976B7C"/>
    <w:rsid w:val="DF9F37C0"/>
    <w:rsid w:val="DFADA5AD"/>
    <w:rsid w:val="DFBA6A2D"/>
    <w:rsid w:val="DFBAD6C2"/>
    <w:rsid w:val="DFD53BF7"/>
    <w:rsid w:val="DFDD15CA"/>
    <w:rsid w:val="DFDF2793"/>
    <w:rsid w:val="DFEB9EE6"/>
    <w:rsid w:val="DFF3E013"/>
    <w:rsid w:val="DFF5AC69"/>
    <w:rsid w:val="E19BAED0"/>
    <w:rsid w:val="E56F9696"/>
    <w:rsid w:val="E6EF1C9F"/>
    <w:rsid w:val="E6FE2555"/>
    <w:rsid w:val="E71BB448"/>
    <w:rsid w:val="E72C6433"/>
    <w:rsid w:val="E73AF8E2"/>
    <w:rsid w:val="E77F4116"/>
    <w:rsid w:val="E7B524D4"/>
    <w:rsid w:val="E7FA095F"/>
    <w:rsid w:val="E7FBBB06"/>
    <w:rsid w:val="E8BB1BD9"/>
    <w:rsid w:val="E8DF0F8C"/>
    <w:rsid w:val="EA3B60C9"/>
    <w:rsid w:val="EA3E743D"/>
    <w:rsid w:val="EA7BB96A"/>
    <w:rsid w:val="EABDAC6C"/>
    <w:rsid w:val="EADFCCF1"/>
    <w:rsid w:val="EB58951C"/>
    <w:rsid w:val="EB5A667C"/>
    <w:rsid w:val="EB6FFD5B"/>
    <w:rsid w:val="EBBFFCEB"/>
    <w:rsid w:val="EBD7660B"/>
    <w:rsid w:val="EBDF50FA"/>
    <w:rsid w:val="EBFBB421"/>
    <w:rsid w:val="ECFEE9DD"/>
    <w:rsid w:val="ED1EC798"/>
    <w:rsid w:val="EDEBA104"/>
    <w:rsid w:val="EDEF4E5E"/>
    <w:rsid w:val="EDF9240E"/>
    <w:rsid w:val="EDFB9D0F"/>
    <w:rsid w:val="EE76FDFA"/>
    <w:rsid w:val="EE993186"/>
    <w:rsid w:val="EEF61321"/>
    <w:rsid w:val="EF0BFE44"/>
    <w:rsid w:val="EF1CDBB0"/>
    <w:rsid w:val="EF5AE3BB"/>
    <w:rsid w:val="EFBF7255"/>
    <w:rsid w:val="EFBFD314"/>
    <w:rsid w:val="EFEBF812"/>
    <w:rsid w:val="EFEF5EAB"/>
    <w:rsid w:val="EFF08115"/>
    <w:rsid w:val="EFF38989"/>
    <w:rsid w:val="EFF6B256"/>
    <w:rsid w:val="EFFE1648"/>
    <w:rsid w:val="EFFE196D"/>
    <w:rsid w:val="F27BA13A"/>
    <w:rsid w:val="F27F74D6"/>
    <w:rsid w:val="F33DAFC6"/>
    <w:rsid w:val="F3EE10B5"/>
    <w:rsid w:val="F3FF1DA8"/>
    <w:rsid w:val="F4BD01D2"/>
    <w:rsid w:val="F4EFD854"/>
    <w:rsid w:val="F5AFFCD2"/>
    <w:rsid w:val="F5C20444"/>
    <w:rsid w:val="F65FF06C"/>
    <w:rsid w:val="F6BFAB6A"/>
    <w:rsid w:val="F6ED2541"/>
    <w:rsid w:val="F747F784"/>
    <w:rsid w:val="F76F1900"/>
    <w:rsid w:val="F773C6EE"/>
    <w:rsid w:val="F78B1C79"/>
    <w:rsid w:val="F7B4E2D4"/>
    <w:rsid w:val="F7BD9E6B"/>
    <w:rsid w:val="F7CA9FA5"/>
    <w:rsid w:val="F7D608A3"/>
    <w:rsid w:val="F7D6E998"/>
    <w:rsid w:val="F7DD3741"/>
    <w:rsid w:val="F7DE5011"/>
    <w:rsid w:val="F7DFF44D"/>
    <w:rsid w:val="F7E36032"/>
    <w:rsid w:val="F7FB6846"/>
    <w:rsid w:val="F7FC7927"/>
    <w:rsid w:val="F89621F0"/>
    <w:rsid w:val="F8FF397D"/>
    <w:rsid w:val="F9CB5A80"/>
    <w:rsid w:val="F9DD691B"/>
    <w:rsid w:val="F9F57204"/>
    <w:rsid w:val="FAA27296"/>
    <w:rsid w:val="FADF8E0D"/>
    <w:rsid w:val="FAFB3564"/>
    <w:rsid w:val="FAFFD248"/>
    <w:rsid w:val="FB472C25"/>
    <w:rsid w:val="FB6D5DA6"/>
    <w:rsid w:val="FB6FF12F"/>
    <w:rsid w:val="FB7F6A07"/>
    <w:rsid w:val="FB8FEA28"/>
    <w:rsid w:val="FB9367A7"/>
    <w:rsid w:val="FB9B55CF"/>
    <w:rsid w:val="FB9F6E26"/>
    <w:rsid w:val="FBBB915E"/>
    <w:rsid w:val="FBBF31B3"/>
    <w:rsid w:val="FBD74919"/>
    <w:rsid w:val="FBDFF6D6"/>
    <w:rsid w:val="FBEDD92E"/>
    <w:rsid w:val="FBEEBEA2"/>
    <w:rsid w:val="FBFB8291"/>
    <w:rsid w:val="FBFCC3C4"/>
    <w:rsid w:val="FBFD73A0"/>
    <w:rsid w:val="FBFFF0C7"/>
    <w:rsid w:val="FC6E6CB6"/>
    <w:rsid w:val="FC6F3353"/>
    <w:rsid w:val="FC7D0520"/>
    <w:rsid w:val="FC999F06"/>
    <w:rsid w:val="FCBB4F45"/>
    <w:rsid w:val="FCBDE651"/>
    <w:rsid w:val="FCF382D5"/>
    <w:rsid w:val="FD13DCFB"/>
    <w:rsid w:val="FD2D6B9A"/>
    <w:rsid w:val="FD6C3662"/>
    <w:rsid w:val="FD7647CD"/>
    <w:rsid w:val="FDBD0857"/>
    <w:rsid w:val="FDBE09AE"/>
    <w:rsid w:val="FDDA9281"/>
    <w:rsid w:val="FDDD49F6"/>
    <w:rsid w:val="FDEF63A9"/>
    <w:rsid w:val="FDEF6C12"/>
    <w:rsid w:val="FDFA6357"/>
    <w:rsid w:val="FDFD1D29"/>
    <w:rsid w:val="FDFF25F5"/>
    <w:rsid w:val="FDFFD909"/>
    <w:rsid w:val="FE36FEC2"/>
    <w:rsid w:val="FE3A4872"/>
    <w:rsid w:val="FE4FF6D0"/>
    <w:rsid w:val="FE5EC541"/>
    <w:rsid w:val="FE5F2CE7"/>
    <w:rsid w:val="FE9B4D20"/>
    <w:rsid w:val="FEBF94D1"/>
    <w:rsid w:val="FED73181"/>
    <w:rsid w:val="FEDFF601"/>
    <w:rsid w:val="FEEF4BDF"/>
    <w:rsid w:val="FEF8907D"/>
    <w:rsid w:val="FEFEFFB3"/>
    <w:rsid w:val="FF3E9DF9"/>
    <w:rsid w:val="FF4E2A37"/>
    <w:rsid w:val="FF5E65EE"/>
    <w:rsid w:val="FF5FA3D1"/>
    <w:rsid w:val="FF5FE384"/>
    <w:rsid w:val="FF7F4021"/>
    <w:rsid w:val="FF95D2C6"/>
    <w:rsid w:val="FF9D20DB"/>
    <w:rsid w:val="FFAB5B5E"/>
    <w:rsid w:val="FFAF098C"/>
    <w:rsid w:val="FFAF806A"/>
    <w:rsid w:val="FFAFE010"/>
    <w:rsid w:val="FFB7208F"/>
    <w:rsid w:val="FFBE58FC"/>
    <w:rsid w:val="FFC4E534"/>
    <w:rsid w:val="FFC5A4E3"/>
    <w:rsid w:val="FFC66C9A"/>
    <w:rsid w:val="FFD66C61"/>
    <w:rsid w:val="FFDD2D76"/>
    <w:rsid w:val="FFDE72C5"/>
    <w:rsid w:val="FFDE9413"/>
    <w:rsid w:val="FFEA31DB"/>
    <w:rsid w:val="FFF04A94"/>
    <w:rsid w:val="FFF2C2ED"/>
    <w:rsid w:val="FFF33A83"/>
    <w:rsid w:val="FFF3527B"/>
    <w:rsid w:val="FFF55E85"/>
    <w:rsid w:val="FFF78023"/>
    <w:rsid w:val="FFF7EC3B"/>
    <w:rsid w:val="FFF9FD2F"/>
    <w:rsid w:val="FFFDE3AF"/>
    <w:rsid w:val="FFFE51CA"/>
    <w:rsid w:val="FFFF39CE"/>
    <w:rsid w:val="FFFF7C29"/>
    <w:rsid w:val="FFFF8AB4"/>
    <w:rsid w:val="FFFFF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rFonts w:hint="eastAsia" w:ascii="Times New Roman" w:hAnsi="Times New Roman" w:eastAsia="宋体" w:cs="Times New Roman"/>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pacing w:after="120"/>
      <w:ind w:firstLine="420" w:firstLineChars="100"/>
    </w:pPr>
    <w:rPr>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4415</Words>
  <Characters>4484</Characters>
  <Lines>0</Lines>
  <Paragraphs>0</Paragraphs>
  <TotalTime>114</TotalTime>
  <ScaleCrop>false</ScaleCrop>
  <LinksUpToDate>false</LinksUpToDate>
  <CharactersWithSpaces>4506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2024-11-19T21:26:00Z</dcterms:created>
  <dc:creator>Administrator</dc:creator>
  <cp:lastModifiedBy>Administrator</cp:lastModifiedBy>
  <cp:lastPrinted>2025-05-13T10:39:00Z</cp:lastPrinted>
  <dcterms:modified xsi:type="dcterms:W3CDTF">2026-02-04T11:46:56Z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04361AA63C1344BAACCA8FB599451026_13</vt:lpwstr>
  </property>
  <property fmtid="{D5CDD505-2E9C-101B-9397-08002B2CF9AE}" pid="4" name="KSOTemplateDocerSaveRecord">
    <vt:lpwstr>eyJoZGlkIjoiY2YxMmIzYzQ2YWVlNjRkN2I3MzZkYWFhMGE3NjE4ZTgiLCJ1c2VySWQiOiIyOTI1OTIyMjQifQ==</vt:lpwstr>
  </property>
</Properties>
</file>