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和田地区数字化发展局2024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F2AE95">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7711983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第一部分 单位概况</w:t>
      </w:r>
    </w:p>
    <w:p w14:paraId="2F9F8E7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一、主要职能</w:t>
      </w:r>
    </w:p>
    <w:p w14:paraId="2D1F8E2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（1）拟订数据要素、政务服务管理草案、规范、政策措施并组织实施。</w:t>
      </w:r>
    </w:p>
    <w:p w14:paraId="15C6F16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（2）贯彻落实数字新疆、数字经济、数字社会、数字政府规划和建设。组织落实国家大数据战略。</w:t>
      </w:r>
    </w:p>
    <w:p w14:paraId="7D6E8C5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（3）组织落实数据要素产权、流通、分配、治理等数据基础制度，指导数据要素市场建设。研究提出培育数据要素市场的政策建议，引导数据交易场所建设发展。</w:t>
      </w:r>
    </w:p>
    <w:p w14:paraId="45422B0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（4）统筹数据资源整合共享和开发利用。协调推进数据资源分类分级管理，组织推动公共数据资源开发利用，推动信息资源跨行业跨部门互联互通。</w:t>
      </w:r>
    </w:p>
    <w:p w14:paraId="68B909E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5）负责组织、协调、指导推进地区数字政府的改革、建设、管理。负责推动全地区政务服务体系建设工作，落实政务服务“一网通办”、政府运行“一网协同”、经济社会治理“一网统管”建设。负责全地区政务服务综合管理、业务指导。统筹推进地区行政审批制度改革。</w:t>
      </w:r>
    </w:p>
    <w:p w14:paraId="4FA4061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6）协调推进数字经济发展，促进数字产业化和产业数字化。推动跨领域跨行业数字化转型，促进数字经济和实体经济深度融合。协调推动数字社会发展。协调推动公共服务和社会治理信息化，协调促进智慧城市建设。</w:t>
      </w:r>
    </w:p>
    <w:p w14:paraId="76B8831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（7）组织拟订地区有关数字基础设施布局规划，协调推进数字基础设施布局建设。</w:t>
      </w:r>
    </w:p>
    <w:p w14:paraId="12AEE32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（8）在具体承担数据基础制度建设、数据要素市场建设、数据标准规范、数据基础设施建设等职责中，履行相应数据安全职责，负责拟订相关数据安全政策措施并组织实施。</w:t>
      </w:r>
    </w:p>
    <w:p w14:paraId="623D7A3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w:t>
      </w:r>
      <w:r>
        <w:rPr>
          <w:rFonts w:hint="eastAsia" w:ascii="仿宋_GB2312" w:hAnsi="仿宋_GB2312" w:eastAsia="仿宋_GB2312"/>
          <w:sz w:val="32"/>
          <w:lang w:val="en-US" w:eastAsia="zh-CN"/>
        </w:rPr>
        <w:t>9</w:t>
      </w:r>
      <w:r>
        <w:rPr>
          <w:rFonts w:ascii="仿宋_GB2312" w:hAnsi="仿宋_GB2312" w:eastAsia="仿宋_GB2312"/>
          <w:sz w:val="32"/>
        </w:rPr>
        <w:t>）负责管理数字政府平台建设运维资金。负责数据资产管理等工作。</w:t>
      </w:r>
    </w:p>
    <w:p w14:paraId="55066B0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二、机构设置及人员情况</w:t>
      </w:r>
    </w:p>
    <w:p w14:paraId="2999ABA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和田地区数字化发展局2024年度，实有人数12人，其中：在职人员12人，增加12人；离休人员0人，增加0人；退休人员0人,增加0人。</w:t>
      </w:r>
    </w:p>
    <w:p w14:paraId="61F19CC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和田地区数字化发展局无下属预算单位，下设2个科室，分别是：综合科、政策法规科。</w:t>
      </w:r>
    </w:p>
    <w:p w14:paraId="2F6ABA02">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2C297538">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第二部分 部门决算情况说明</w:t>
      </w:r>
    </w:p>
    <w:p w14:paraId="4C36D05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一、收入支出决算总体情况说明</w:t>
      </w:r>
    </w:p>
    <w:p w14:paraId="5577DBA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2024年度收入总计363.06万元，</w:t>
      </w:r>
      <w:r>
        <w:rPr>
          <w:rFonts w:ascii="仿宋_GB2312" w:hAnsi="仿宋_GB2312" w:eastAsia="仿宋_GB2312"/>
          <w:b w:val="0"/>
          <w:sz w:val="32"/>
        </w:rPr>
        <w:t>其中：本年收入合计363.06万元，使用非财政拨款结余（含专用结余）0.00万元，年初结转和结余0.00万元。</w:t>
      </w:r>
    </w:p>
    <w:p w14:paraId="0C482C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2024年度支出总计363.06万元，</w:t>
      </w:r>
      <w:r>
        <w:rPr>
          <w:rFonts w:ascii="仿宋_GB2312" w:hAnsi="仿宋_GB2312" w:eastAsia="仿宋_GB2312"/>
          <w:b w:val="0"/>
          <w:sz w:val="32"/>
        </w:rPr>
        <w:t>其中：本年支出合计363.06万元，结余分配0.00万元，年末结转和结余0.00万元。</w:t>
      </w:r>
    </w:p>
    <w:p w14:paraId="32E4366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收入支出总体与上年相比，增加363.06万元，增长100.00%，主要原因是：本单位为新增单位，无与上年对比数据。</w:t>
      </w:r>
    </w:p>
    <w:p w14:paraId="232C892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二、收入决算情况说明</w:t>
      </w:r>
    </w:p>
    <w:p w14:paraId="6CA8BFA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本年收入363.06万元，</w:t>
      </w:r>
      <w:r>
        <w:rPr>
          <w:rFonts w:ascii="仿宋_GB2312" w:hAnsi="仿宋_GB2312" w:eastAsia="仿宋_GB2312"/>
          <w:b w:val="0"/>
          <w:sz w:val="32"/>
        </w:rPr>
        <w:t>其中：财政拨款收入363.06万元，占100.00%；上级补助收入0.00万元，占0.00%；事业收入0.00万元，占0.00%；经营收入0.00万元，占0.00%；附属单位上缴收入0.00万元，占0.00%；其他收入0.00万元，占0.00%。</w:t>
      </w:r>
    </w:p>
    <w:p w14:paraId="6362952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三、支出决算情况说明</w:t>
      </w:r>
    </w:p>
    <w:p w14:paraId="35741D6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本年支出363.06万元，</w:t>
      </w:r>
      <w:r>
        <w:rPr>
          <w:rFonts w:ascii="仿宋_GB2312" w:hAnsi="仿宋_GB2312" w:eastAsia="仿宋_GB2312"/>
          <w:b w:val="0"/>
          <w:sz w:val="32"/>
        </w:rPr>
        <w:t>其中：基本支出107.06万元，占29.49%；项目支出256.00万元，占70.51%；上缴上级支出0.00万元，占0.00%；经营支出0.00万元，占0.00%；对附属单位补助支出0.00万元，占0.00%。</w:t>
      </w:r>
    </w:p>
    <w:p w14:paraId="3A9CAA7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四、财政拨款收入支出决算总体情况说明</w:t>
      </w:r>
    </w:p>
    <w:p w14:paraId="58AD4CD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2024年度财政拨款收入总计363.06万元，</w:t>
      </w:r>
      <w:r>
        <w:rPr>
          <w:rFonts w:ascii="仿宋_GB2312" w:hAnsi="仿宋_GB2312" w:eastAsia="仿宋_GB2312"/>
          <w:b w:val="0"/>
          <w:sz w:val="32"/>
        </w:rPr>
        <w:t>其中：年初财政拨款结转和结余0.00万元，本年财政拨款收入363.06万元。</w:t>
      </w:r>
      <w:r>
        <w:rPr>
          <w:rFonts w:ascii="仿宋_GB2312" w:hAnsi="仿宋_GB2312" w:eastAsia="仿宋_GB2312"/>
          <w:b/>
          <w:sz w:val="32"/>
        </w:rPr>
        <w:t>财政拨款支出总计363.06万元，</w:t>
      </w:r>
      <w:r>
        <w:rPr>
          <w:rFonts w:ascii="仿宋_GB2312" w:hAnsi="仿宋_GB2312" w:eastAsia="仿宋_GB2312"/>
          <w:b w:val="0"/>
          <w:sz w:val="32"/>
        </w:rPr>
        <w:t>其中：年末财政拨款结转和结余0.00万元，本年财政拨款支出363.06万元。</w:t>
      </w:r>
    </w:p>
    <w:p w14:paraId="2CE5342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财政拨款收入支出总体与上年相比，</w:t>
      </w:r>
      <w:r>
        <w:rPr>
          <w:rFonts w:ascii="仿宋_GB2312" w:hAnsi="仿宋_GB2312" w:eastAsia="仿宋_GB2312"/>
          <w:b w:val="0"/>
          <w:sz w:val="32"/>
        </w:rPr>
        <w:t>增加363.06万元，增长100.00%，主要原因是：本单位为新增单位，无与上年对比数据。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年初预算数0.00万元，决算数363.06万元，预决算差异率100.00%，主要原因是：本年为新增单位，年初未做预算，导致预决算存在差异。</w:t>
      </w:r>
    </w:p>
    <w:p w14:paraId="7F1253D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五、一般公共预算财政拨款支出决算情况说明</w:t>
      </w:r>
    </w:p>
    <w:p w14:paraId="7BDC82F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（一）一般公共预算财政拨款支出决算总体情况</w:t>
      </w:r>
    </w:p>
    <w:p w14:paraId="7F0704D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2024年度一般公共预算财政拨款支出363.06万元，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增加363.06万元，增长100.00%，主要原因是：本单位为新增单位，无与上年对比数据。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年初预算数0.00万元，决算数363.06万元，预决算差异率100.00%，主要原因是：本年为新增单位，</w:t>
      </w:r>
      <w:r>
        <w:rPr>
          <w:rFonts w:hint="eastAsia" w:ascii="仿宋_GB2312" w:hAnsi="仿宋_GB2312" w:eastAsia="仿宋_GB2312"/>
          <w:b w:val="0"/>
          <w:sz w:val="32"/>
          <w:lang w:eastAsia="zh-CN"/>
        </w:rPr>
        <w:t>无</w:t>
      </w:r>
      <w:r>
        <w:rPr>
          <w:rFonts w:ascii="仿宋_GB2312" w:hAnsi="仿宋_GB2312" w:eastAsia="仿宋_GB2312"/>
          <w:b w:val="0"/>
          <w:sz w:val="32"/>
        </w:rPr>
        <w:t>年初预算，导致预决算存在差异。</w:t>
      </w:r>
    </w:p>
    <w:p w14:paraId="131261B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（二）一般公共预算财政拨款支出决算结构情况</w:t>
      </w:r>
    </w:p>
    <w:p w14:paraId="3573283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1.一般公共服务支出(类)345.29万元,占95.11%。</w:t>
      </w:r>
    </w:p>
    <w:p w14:paraId="37C9AD4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2.社会保障和就业支出(类)7.34万元,占2.02%。</w:t>
      </w:r>
    </w:p>
    <w:p w14:paraId="2CB824B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3.卫生健康支出(类)3.80万元,占1.05%。</w:t>
      </w:r>
    </w:p>
    <w:p w14:paraId="1D93EAD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4.住房保障支出(类)6.13万元,占1.69%。</w:t>
      </w:r>
    </w:p>
    <w:p w14:paraId="701CC07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5.其他支出(类)0.50万元,占0.14%。</w:t>
      </w:r>
    </w:p>
    <w:p w14:paraId="70E1F34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（三）一般公共预算财政拨款支出决算具体情况</w:t>
      </w:r>
    </w:p>
    <w:p w14:paraId="561F8E7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1.一般公共服务支出(类)政府办公厅（室）及相关机构事务(款)行政运行(项):支出决算数为89.79万元，比上年决算增加89.79万元，增长100.00%,主要原因是：本单位为新增单位，无与上年对比数据。</w:t>
      </w:r>
    </w:p>
    <w:p w14:paraId="2A16EDB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一般公共服务支出(类)政府办公厅（室）及相关机构事务(款)其他政府办公厅（室）及相关机构事务支出(项):支出决算数为255.50万元，比上年决算增加255.50万元，增长100.00%,主要原因是：本单位为新增单位，无与上年对比数据。</w:t>
      </w:r>
    </w:p>
    <w:p w14:paraId="081BAA7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3.社会保障和就业支出(类)行政事业单位养老支出(款)机关事业单位基本养老保险缴费支出(项):支出决算数为7.34万元，比上年决算增加7.34万元，增长100.00%,主要原因是：本单位为新增单位，无与上年对比数据。</w:t>
      </w:r>
    </w:p>
    <w:p w14:paraId="1584C65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4.卫生健康支出(类)行政事业单位医疗(款)行政单位医疗(项):支出决算数为3.01万元，比上年决算增加3.01万元，增长100.00%,主要原因是：本单位为新增单位，无与上年对比数据。</w:t>
      </w:r>
    </w:p>
    <w:p w14:paraId="149F076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5.卫生健康支出(类)行政事业单位医疗(款)公务员医疗补助(项):支出决算数为0.79万元，比上年决算增加0.79万元，增长100.00%,主要原因是：本单位为新增单位，无与上年对比数据。</w:t>
      </w:r>
    </w:p>
    <w:p w14:paraId="55506AE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6.住房保障支出(类)住房改革支出(款)住房公积金(项):支出决算数为6.13万元，比上年决算增加6.13万元，增长100.00%,主要原因是：本单位为新增单位，无与上年对比数据。</w:t>
      </w:r>
    </w:p>
    <w:p w14:paraId="1CE87EB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7.其他支出(类)其他支出(款)其他支出(项):支出决算数为0.50万元，比上年决算增加0.50万元，增长100.00%,主要原因是：本单位为新增单位，无与上年对比数据。</w:t>
      </w:r>
    </w:p>
    <w:p w14:paraId="15A1A2D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六、一般公共预算财政拨款基本支出决算情况说明</w:t>
      </w:r>
    </w:p>
    <w:p w14:paraId="056B675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2024年度一般公共预算财政拨款基本支出107.06万元，其中：</w:t>
      </w:r>
      <w:r>
        <w:rPr>
          <w:rFonts w:ascii="仿宋_GB2312" w:hAnsi="仿宋_GB2312" w:eastAsia="仿宋_GB2312"/>
          <w:b/>
          <w:sz w:val="32"/>
        </w:rPr>
        <w:t>人员经费81.70万元，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包括：基本工资、津贴补贴、奖金、绩效工资、机关事业单位基本养老保险缴费、职工基本医疗保险缴费、公务员医疗补助缴费、其他社会保障缴费、住房公积金、生活补助。</w:t>
      </w:r>
    </w:p>
    <w:p w14:paraId="0FA6684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公用经费25.36万元，</w:t>
      </w:r>
      <w:r>
        <w:rPr>
          <w:rFonts w:ascii="仿宋_GB2312" w:hAnsi="仿宋_GB2312" w:eastAsia="仿宋_GB2312"/>
          <w:b w:val="0"/>
          <w:sz w:val="32"/>
        </w:rPr>
        <w:t>包括：办公费、差旅费、工会经费、福利费、公务用车运行维护费、其他商品和服务支出、公务用车购置。</w:t>
      </w:r>
    </w:p>
    <w:p w14:paraId="0FF89B8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七、政府性基金预算财政拨款收入支出决算情况说明</w:t>
      </w:r>
    </w:p>
    <w:p w14:paraId="6356DA5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A2B442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八、国有资本经营预算财政拨款收入支出决算情况说明</w:t>
      </w:r>
    </w:p>
    <w:p w14:paraId="227765C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2C8A68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九、财政拨款“三公”经费支出决算情况说明</w:t>
      </w:r>
    </w:p>
    <w:p w14:paraId="59BFE2C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2024年度财政拨款“三公”经费支出19.32万元，</w:t>
      </w:r>
      <w:r>
        <w:rPr>
          <w:rFonts w:ascii="仿宋_GB2312" w:hAnsi="仿宋_GB2312" w:eastAsia="仿宋_GB2312"/>
          <w:b w:val="0"/>
          <w:sz w:val="32"/>
        </w:rPr>
        <w:t>比上年增加19.32万元，增长100.00%，主要原因是：本单位为新增单位，无与上年对比数据。其中：因公出国（境）费支出0.00万元，占0.00%，比上年增加0.00万元，增长0.00%，主要原因是：2024年未安排因公出国（境）费支出。公务用车购置及运行维护费支出19.32万元，占100.00%，比上年增加19.32万元，增长100.00%，主要原因是：本单位为新增单位，无与上年对比数据。公务接待费支出0.00万元，占0.00%，比上年增加0.00万元，增长0.00%，主要原因是：2024年未安排公务接待费支出。</w:t>
      </w:r>
    </w:p>
    <w:p w14:paraId="22DCD06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具体情况如下：</w:t>
      </w:r>
    </w:p>
    <w:p w14:paraId="41535AA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因公出国（境）费支出0.00万元，</w:t>
      </w:r>
      <w:r>
        <w:rPr>
          <w:rFonts w:hint="eastAsia" w:ascii="仿宋_GB2312" w:hAnsi="仿宋_GB2312" w:eastAsia="仿宋_GB2312"/>
          <w:b w:val="0"/>
          <w:sz w:val="32"/>
          <w:lang w:eastAsia="zh-CN"/>
        </w:rPr>
        <w:t>主要原因是：</w:t>
      </w:r>
      <w:r>
        <w:rPr>
          <w:rFonts w:ascii="仿宋_GB2312" w:hAnsi="仿宋_GB2312" w:eastAsia="仿宋_GB2312"/>
          <w:b w:val="0"/>
          <w:sz w:val="32"/>
        </w:rPr>
        <w:t>本单位无因公出国（境）费。单位全年安排的因公出国（境）团组0个，因公出国（境）0人次。</w:t>
      </w:r>
    </w:p>
    <w:p w14:paraId="417C818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用车购置及运行维护费19.32万元，其中：公务用车购置费17.57万元，公务用车运行维护费1.75万元。公务用车运行维护费开支内容包括车辆加油费、维修费、保险费、审车费、过路费。公务用车购置数1辆，公务用车保有量1辆。国有资产占用情况中固定资产车辆1辆，与公务用车保有量差异原因是：本单位固定资产车辆与公务用车保有量一致无差异。</w:t>
      </w:r>
    </w:p>
    <w:p w14:paraId="123D96D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公务接待费0.00万元，</w:t>
      </w:r>
      <w:r>
        <w:rPr>
          <w:rFonts w:hint="eastAsia" w:ascii="仿宋_GB2312" w:hAnsi="仿宋_GB2312" w:eastAsia="仿宋_GB2312"/>
          <w:b w:val="0"/>
          <w:sz w:val="32"/>
          <w:lang w:eastAsia="zh-CN"/>
        </w:rPr>
        <w:t>主要原因是：</w:t>
      </w:r>
      <w:r>
        <w:rPr>
          <w:rFonts w:ascii="仿宋_GB2312" w:hAnsi="仿宋_GB2312" w:eastAsia="仿宋_GB2312"/>
          <w:b w:val="0"/>
          <w:sz w:val="32"/>
        </w:rPr>
        <w:t>本单位无公务接待费。单位全年安排的国内公务接待0批次，0人次。</w:t>
      </w:r>
    </w:p>
    <w:p w14:paraId="1BC2D82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19.32万元，决算数19.32万元，预决算差异率0.00%，主要原因是：严格按照预算执行，预决算无差异。其中：因公出国（境）费全年预算数0.00万元，决算数0.00万元，预决算差异率0.00%，主要原因是：本单位无因公出国（境）费。公务用车购置费全年预算数17.57万元，决算数17.57万元，预决算差异率0.00%，主要原因是：严格按照预算执行，预决算无差异。公务用车运行维护费全年预算数1.75万元，决算数1.75万元，预决算差异率0.00%，主要原因是：严格按照预算执行，预决算无差异。公务接待费全年预算数0.00万元，决算数0.00万元，预决算差异率0.00%，主要原因是：本单位无公务接待费。</w:t>
      </w:r>
    </w:p>
    <w:p w14:paraId="190EF12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十、其他重要事项的情况说明</w:t>
      </w:r>
    </w:p>
    <w:p w14:paraId="32170B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（一）机关运行经费及公用经费支出情况</w:t>
      </w:r>
    </w:p>
    <w:p w14:paraId="4E97EA7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2024年度和田地区数字化发展局（行政单位和参照公务员法管理事业单位）机关运行经费支出25.36万元，比上年增加25.36万元，增长100.00%，主要原因是：本单位为新增单位，无与上年对比数据。</w:t>
      </w:r>
    </w:p>
    <w:p w14:paraId="6F67F0B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（二）政府采购情况</w:t>
      </w:r>
    </w:p>
    <w:p w14:paraId="4B9F167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2024年度政府采购支出总额138.82万元，其中：政府采购货物支出17.57万元、政府采购工程支出0.00万元、政府采购服务支出121.25万元。</w:t>
      </w:r>
    </w:p>
    <w:p w14:paraId="7911EA8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授予中小企业合同金额138.82万元，占政府采购支出总额的100.00%，其中：授予小微企业合同金额121.25万元，占政府采购支出总额的87.34%。</w:t>
      </w:r>
    </w:p>
    <w:p w14:paraId="1C9B3A9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（三）国有资产占用情况说明</w:t>
      </w:r>
    </w:p>
    <w:p w14:paraId="6A6EA35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截至2024年12月31日，房屋0.00平方米，价值0.00万元。车辆1辆，价值17.57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CC8929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十一、预算绩效的情况说明</w:t>
      </w:r>
    </w:p>
    <w:p w14:paraId="47BC266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根据预算绩效管理要求，本单位2024年度预算绩效管理形成整体支出绩效自评表1个，全年预算总额363.06万元，实际执行总额363.06万元；预算绩效评价项目2个，全年预算数259.00万元，全年执行数256.00万元。</w:t>
      </w:r>
    </w:p>
    <w:p w14:paraId="49B9EA5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预算绩效管理取得的成效：一是科学合理编制预算，强化预算执行，确保预算绩效切合单位实际。定期做好预算绩效目标、执行分析，及时了解预算执行差异，合理调整、纠正预算绩效执行偏差，加快预算的执行进度，切实提高预算资金绩效完成率及资金使用效益。二是加强宣传动员和教育培训，引导工作人员逐步树立绩效理念，了解掌握绩效管理的基本要求和操作规程，强化绩效管理工作的科学性和规范性。努力提高社会公众对绩效管理的认知度，鼓励社会公众积极参与，主动接受社会监督，努力营造开展政府目标绩效管理工作的浓厚氛围和良好环境。</w:t>
      </w:r>
    </w:p>
    <w:p w14:paraId="71DE6B9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发现的问题及原因：预算执行方面：一是预算执行进度不均衡。部分项目在年初预算下达后，由于前期准备工作不充分，如项目审批流程繁琐、招投标延迟等，导致资金支出缓慢；而到了年底，为了完成预算指标，又出现集中突击花钱的现象，影响了资金使用效果。二是预算执行缺乏有效控制。财务部门与业务部门之间沟通协调不畅，信息传递不及时，导致财务部门对预算执行情况掌握不全面。同时，缺乏完善的预算执行控制机制，难以及时发现和纠正预算执行中的偏差。绩效管理方面：一是绩效目标设定不科学。部分单位在编制预算时，绩效目标设定过于笼统、模糊，缺乏明确的量化指标和可衡量的标准，导致绩效目标无法有效指导预算执行和绩效评价。二是绩效评价质量不高。绩效评价方法单一，多以财务指标为主，忽视了对社会效益、服务对象满意度等非财务指标的考量。评价过程中存在走过场的现象，评价结果未能真实反映项目的实际绩效。三是绩效结果应用不充分。绩效评价结果与预算安排、政策调整、责任追究等方面未能有效挂钩，对单位和个人的激励约束作用不明显，使得绩效管理工作流于形式。</w:t>
      </w:r>
    </w:p>
    <w:p w14:paraId="1114EB1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下一步改进措施：完善制度建设：一是修订和完善预算管理制度。明确预算编制、执行、调整的具体流程和要求，加强预算的严肃性和约束性。建立预算执行定期分析和报告制度，及时掌握预算执行情况。二是健全绩效管理制度。构建科学合理的绩效指标体系，涵盖财务和非财务指标，增强绩效目标的可衡量性。规范绩效评价方法和程序，提高评价结果的真实性和客观性。强化绩效结果应用，将其与预算安排、单位考核、个人绩效等挂钩。加强人员培训：一是强化</w:t>
      </w:r>
      <w:r>
        <w:rPr>
          <w:rFonts w:hint="eastAsia" w:ascii="仿宋_GB2312" w:hAnsi="仿宋_GB2312" w:eastAsia="仿宋_GB2312"/>
          <w:b w:val="0"/>
          <w:sz w:val="32"/>
          <w:lang w:eastAsia="zh-CN"/>
        </w:rPr>
        <w:t>预算绩效管理</w:t>
      </w:r>
      <w:r>
        <w:rPr>
          <w:rFonts w:ascii="仿宋_GB2312" w:hAnsi="仿宋_GB2312" w:eastAsia="仿宋_GB2312"/>
          <w:b w:val="0"/>
          <w:sz w:val="32"/>
        </w:rPr>
        <w:t>意识培训。通过组织专题讲座、培训会议等形式，提高单位领导和工作人员对预算执行和绩效管理重要性的认识，增强责任意识和主动参与意识。二是提升专业能力。定期开展业务培训，内容包括预算编制方法、绩效管理工具、财务知识等，提高工作人员的业务水平和综合素质。优化管理机制：一是理顺内部管理机制。明确各部门在预算执行和绩效管理中的职责，加强沟通协调，建立信息共享平台，形成工作合力。二是加强监督考核。建立健全监督考核机制，加强对预算执行和绩效管理工作的日常监督和定期考核。对工作成效显著的部门和个人给予表彰奖励，对存在问题的进行严肃问责，确保各项工作落到实处。具体附整体支出绩效自评表，项目支出绩效自评表和评价报告。</w:t>
      </w:r>
    </w:p>
    <w:p w14:paraId="6F2CCFF0">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fixed"/>
        <w:tblCellMar>
          <w:top w:w="0" w:type="dxa"/>
          <w:left w:w="108" w:type="dxa"/>
          <w:bottom w:w="0" w:type="dxa"/>
          <w:right w:w="108" w:type="dxa"/>
        </w:tblCellMar>
      </w:tblPr>
      <w:tblGrid>
        <w:gridCol w:w="983"/>
        <w:gridCol w:w="1230"/>
        <w:gridCol w:w="1220"/>
        <w:gridCol w:w="1397"/>
        <w:gridCol w:w="1117"/>
        <w:gridCol w:w="1024"/>
        <w:gridCol w:w="859"/>
        <w:gridCol w:w="579"/>
        <w:gridCol w:w="269"/>
        <w:gridCol w:w="205"/>
      </w:tblGrid>
      <w:tr w14:paraId="41D269B2">
        <w:tblPrEx>
          <w:tblCellMar>
            <w:top w:w="0" w:type="dxa"/>
            <w:left w:w="108" w:type="dxa"/>
            <w:bottom w:w="0" w:type="dxa"/>
            <w:right w:w="108" w:type="dxa"/>
          </w:tblCellMar>
        </w:tblPrEx>
        <w:trPr>
          <w:gridAfter w:val="1"/>
          <w:wAfter w:w="205" w:type="dxa"/>
        </w:trPr>
        <w:tc>
          <w:tcPr>
            <w:tcW w:w="8678" w:type="dxa"/>
            <w:gridSpan w:val="9"/>
            <w:vAlign w:val="center"/>
          </w:tcPr>
          <w:p w14:paraId="55B7CAB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单位整体支出绩效自评表</w:t>
            </w:r>
          </w:p>
        </w:tc>
      </w:tr>
      <w:tr w14:paraId="1929515A">
        <w:tblPrEx>
          <w:tblCellMar>
            <w:top w:w="0" w:type="dxa"/>
            <w:left w:w="108" w:type="dxa"/>
            <w:bottom w:w="0" w:type="dxa"/>
            <w:right w:w="108" w:type="dxa"/>
          </w:tblCellMar>
        </w:tblPrEx>
        <w:trPr>
          <w:gridAfter w:val="1"/>
          <w:wAfter w:w="205" w:type="dxa"/>
        </w:trPr>
        <w:tc>
          <w:tcPr>
            <w:tcW w:w="8678" w:type="dxa"/>
            <w:gridSpan w:val="9"/>
            <w:vAlign w:val="center"/>
          </w:tcPr>
          <w:p w14:paraId="02183B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7EF3FA8C">
        <w:tblPrEx>
          <w:tblCellMar>
            <w:top w:w="0" w:type="dxa"/>
            <w:left w:w="108" w:type="dxa"/>
            <w:bottom w:w="0" w:type="dxa"/>
            <w:right w:w="108" w:type="dxa"/>
          </w:tblCellMar>
        </w:tblPrEx>
        <w:trPr>
          <w:gridAfter w:val="1"/>
          <w:wAfter w:w="205" w:type="dxa"/>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4B2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单位名称</w:t>
            </w:r>
          </w:p>
        </w:tc>
        <w:tc>
          <w:tcPr>
            <w:tcW w:w="769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F3AEB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和田地区数字化发展局</w:t>
            </w:r>
          </w:p>
        </w:tc>
      </w:tr>
      <w:tr w14:paraId="4C71596E">
        <w:tblPrEx>
          <w:tblCellMar>
            <w:top w:w="0" w:type="dxa"/>
            <w:left w:w="108" w:type="dxa"/>
            <w:bottom w:w="0" w:type="dxa"/>
            <w:right w:w="108" w:type="dxa"/>
          </w:tblCellMar>
        </w:tblPrEx>
        <w:trPr>
          <w:gridAfter w:val="1"/>
          <w:wAfter w:w="205" w:type="dxa"/>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3D67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部门资金（万元）</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42825D9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资金来源</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3AFE644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20F4D27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预算数（调整后）</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35E6065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执行数</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09BFD2F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分值权重</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0E6F696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8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77F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76CB635A">
        <w:tblPrEx>
          <w:tblCellMar>
            <w:top w:w="0" w:type="dxa"/>
            <w:left w:w="108" w:type="dxa"/>
            <w:bottom w:w="0" w:type="dxa"/>
            <w:right w:w="108" w:type="dxa"/>
          </w:tblCellMar>
        </w:tblPrEx>
        <w:trPr>
          <w:gridAfter w:val="1"/>
          <w:wAfter w:w="205" w:type="dxa"/>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1A15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73C0409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年度总资金</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678A5CD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069DFDC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2E4009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5944C4D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3203BD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100.00%</w:t>
            </w:r>
          </w:p>
        </w:tc>
        <w:tc>
          <w:tcPr>
            <w:tcW w:w="8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E4F5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r>
      <w:tr w14:paraId="5B3C56CC">
        <w:tblPrEx>
          <w:tblCellMar>
            <w:top w:w="0" w:type="dxa"/>
            <w:left w:w="108" w:type="dxa"/>
            <w:bottom w:w="0" w:type="dxa"/>
            <w:right w:w="108" w:type="dxa"/>
          </w:tblCellMar>
        </w:tblPrEx>
        <w:trPr>
          <w:gridAfter w:val="1"/>
          <w:wAfter w:w="205" w:type="dxa"/>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337D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5B96C58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上级资金</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1973082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04A35E9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76169A3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069E455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2882F11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BF6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38DFC05F">
        <w:tblPrEx>
          <w:tblCellMar>
            <w:top w:w="0" w:type="dxa"/>
            <w:left w:w="108" w:type="dxa"/>
            <w:bottom w:w="0" w:type="dxa"/>
            <w:right w:w="108" w:type="dxa"/>
          </w:tblCellMar>
        </w:tblPrEx>
        <w:trPr>
          <w:gridAfter w:val="1"/>
          <w:wAfter w:w="205" w:type="dxa"/>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539D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191DBEC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本级资金</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671D337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2834939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0AAB095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363.06</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0CD64FC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6A87085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58F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798201EB">
        <w:tblPrEx>
          <w:tblCellMar>
            <w:top w:w="0" w:type="dxa"/>
            <w:left w:w="108" w:type="dxa"/>
            <w:bottom w:w="0" w:type="dxa"/>
            <w:right w:w="108" w:type="dxa"/>
          </w:tblCellMar>
        </w:tblPrEx>
        <w:trPr>
          <w:gridAfter w:val="1"/>
          <w:wAfter w:w="205" w:type="dxa"/>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2E7E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7DCC911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其他资金</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0C8F33B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4D60423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439F48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37F7D6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73685C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8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A2B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5F942931">
        <w:tblPrEx>
          <w:tblCellMar>
            <w:top w:w="0" w:type="dxa"/>
            <w:left w:w="108" w:type="dxa"/>
            <w:bottom w:w="0" w:type="dxa"/>
            <w:right w:w="108" w:type="dxa"/>
          </w:tblCellMar>
        </w:tblPrEx>
        <w:trPr>
          <w:gridAfter w:val="1"/>
          <w:wAfter w:w="205" w:type="dxa"/>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0130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38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51901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38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05611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实际完成目标</w:t>
            </w:r>
          </w:p>
        </w:tc>
      </w:tr>
      <w:tr w14:paraId="76B2DD1D">
        <w:tblPrEx>
          <w:tblCellMar>
            <w:top w:w="0" w:type="dxa"/>
            <w:left w:w="108" w:type="dxa"/>
            <w:bottom w:w="0" w:type="dxa"/>
            <w:right w:w="108" w:type="dxa"/>
          </w:tblCellMar>
        </w:tblPrEx>
        <w:trPr>
          <w:gridAfter w:val="1"/>
          <w:wAfter w:w="205" w:type="dxa"/>
          <w:trHeight w:val="7198"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1259B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38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E511AF">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建设和田地区基层减负“一张表”信息管理系统及商用密码测评项目，投入资金为258.50万元，开发数据资源池、数据自动抽取分发平台、综合信息填报平台等三大功能模块，实现基层各类数据汇聚、清洗、整理和应用全过程管理。收集各类业务数据3200万以上，搭建基础数据库不少于3套，通过新增房屋租赁模块办理房屋租赁流程不少于50次。于2024年12月31日之前完成该项目，有效解决基层数据共享难、重复录入问题，达到基层减负的目的，同时为和田地区数字政府建设奠定基础，针对各县市应用基层减负“一张表”信息管理系统情况，至少每个季度进行一次通报，持续提升“一张表”工作成效。</w:t>
            </w:r>
          </w:p>
        </w:tc>
        <w:tc>
          <w:tcPr>
            <w:tcW w:w="38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314A98">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截至2024</w:t>
            </w:r>
            <w:r>
              <w:rPr>
                <w:rFonts w:ascii="宋体" w:hAnsi="宋体" w:eastAsia="宋体"/>
                <w:sz w:val="16"/>
              </w:rPr>
              <w:t>年12月31日，本单位实际完成开发数据资源池、数据自动抽取分发平台、综合信息填报平台等三大功能模块，实现基层各类数据汇聚、清洗、整理和应用全过程管理。收集各类业务数据3200万以上，搭建基础数据库3套，通过新增房屋租赁模块办理房屋租赁流程5019次，新开发系统文档传输功能1项，完成密码测评，编制商用密码测评报告1个。实际形成支出363.06万元，有效解决了基层数据共享难、重复录入问题，达到基层减负的目的，针对各县市应用基层减负“一张表”信息管理系统情况，持续提升了“一张表”工作成效，受益公众对部门履职效果满意度达到100%。</w:t>
            </w:r>
          </w:p>
        </w:tc>
      </w:tr>
      <w:tr w14:paraId="78044A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EBE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3874D78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57B3526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48FC6DD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指标值</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7DFE2CB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指标值设定依据</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4B39222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分值权重</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64AD89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3321C68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完成率</w:t>
            </w: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9359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7E5A83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EBC6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履职效能</w:t>
            </w:r>
          </w:p>
        </w:tc>
        <w:tc>
          <w:tcPr>
            <w:tcW w:w="12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D0AC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1460E04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搭建数据库数量</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651C23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3套</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3E828F4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61935FE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022431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3套</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3CDAEC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83E4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r>
      <w:tr w14:paraId="2E885B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06F7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vMerge w:val="continue"/>
            <w:tcBorders>
              <w:top w:val="single" w:color="auto" w:sz="10" w:space="0"/>
              <w:left w:val="single" w:color="auto" w:sz="10" w:space="0"/>
              <w:bottom w:val="single" w:color="auto" w:sz="10" w:space="0"/>
              <w:right w:val="single" w:color="auto" w:sz="10" w:space="0"/>
              <w:insideV w:val="single" w:sz="10" w:space="0"/>
            </w:tcBorders>
          </w:tcPr>
          <w:p w14:paraId="4B45D30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2F2907F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完成数字经济产业链招商任务</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66ADB08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5000万元</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3055870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71F182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56C69EA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5000万元</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14FF96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F1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r>
      <w:tr w14:paraId="32F23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2CD6F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vMerge w:val="continue"/>
            <w:tcBorders>
              <w:top w:val="single" w:color="auto" w:sz="10" w:space="0"/>
              <w:left w:val="single" w:color="auto" w:sz="10" w:space="0"/>
              <w:bottom w:val="single" w:color="auto" w:sz="10" w:space="0"/>
              <w:right w:val="single" w:color="auto" w:sz="10" w:space="0"/>
              <w:insideV w:val="single" w:sz="10" w:space="0"/>
            </w:tcBorders>
          </w:tcPr>
          <w:p w14:paraId="75AC22D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1455058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完成全地区房屋租赁事项</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0368588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5000套</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39FDD8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45AD19F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1244749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5019套</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9851F1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3DE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r>
      <w:tr w14:paraId="596CA0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795B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vMerge w:val="continue"/>
            <w:tcBorders>
              <w:top w:val="single" w:color="auto" w:sz="10" w:space="0"/>
              <w:left w:val="single" w:color="auto" w:sz="10" w:space="0"/>
              <w:bottom w:val="single" w:color="auto" w:sz="10" w:space="0"/>
              <w:right w:val="single" w:color="auto" w:sz="10" w:space="0"/>
              <w:insideV w:val="single" w:sz="10" w:space="0"/>
            </w:tcBorders>
          </w:tcPr>
          <w:p w14:paraId="47B09E21">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2C6B5DF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新开发系统文档传输功能数量</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7741EAF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1项</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A46815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7654CA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5D243E5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1项</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EA6D92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7E0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r>
      <w:tr w14:paraId="6C06CD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40D1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30" w:type="dxa"/>
            <w:vMerge w:val="continue"/>
            <w:tcBorders>
              <w:top w:val="single" w:color="auto" w:sz="10" w:space="0"/>
              <w:left w:val="single" w:color="auto" w:sz="10" w:space="0"/>
              <w:bottom w:val="single" w:color="auto" w:sz="10" w:space="0"/>
              <w:right w:val="single" w:color="auto" w:sz="10" w:space="0"/>
              <w:insideV w:val="single" w:sz="10" w:space="0"/>
            </w:tcBorders>
          </w:tcPr>
          <w:p w14:paraId="5193AD2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3561AB4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完成密码测评，编制商用密码测评报告数量</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790DA5E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1个</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032D1AB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21D3AC3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3F3288D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1个</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E3115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1E0E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r>
      <w:tr w14:paraId="11CD48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6394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服务对象满意度</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61D7365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1220" w:type="dxa"/>
            <w:tcBorders>
              <w:top w:val="single" w:color="auto" w:sz="10" w:space="0"/>
              <w:left w:val="single" w:color="auto" w:sz="10" w:space="0"/>
              <w:bottom w:val="single" w:color="auto" w:sz="10" w:space="0"/>
              <w:right w:val="single" w:color="auto" w:sz="10" w:space="0"/>
              <w:insideV w:val="single" w:sz="10" w:space="0"/>
            </w:tcBorders>
            <w:vAlign w:val="center"/>
          </w:tcPr>
          <w:p w14:paraId="45EA3D9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公众对部门履职效果满意度</w:t>
            </w:r>
          </w:p>
        </w:tc>
        <w:tc>
          <w:tcPr>
            <w:tcW w:w="1397" w:type="dxa"/>
            <w:tcBorders>
              <w:top w:val="single" w:color="auto" w:sz="10" w:space="0"/>
              <w:left w:val="single" w:color="auto" w:sz="10" w:space="0"/>
              <w:bottom w:val="single" w:color="auto" w:sz="10" w:space="0"/>
              <w:right w:val="single" w:color="auto" w:sz="10" w:space="0"/>
              <w:insideV w:val="single" w:sz="10" w:space="0"/>
            </w:tcBorders>
            <w:vAlign w:val="center"/>
          </w:tcPr>
          <w:p w14:paraId="084C3A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default" w:ascii="Arial" w:hAnsi="Arial" w:eastAsia="宋体" w:cs="Arial"/>
                <w:sz w:val="16"/>
              </w:rPr>
              <w:t>≥</w:t>
            </w:r>
            <w:r>
              <w:rPr>
                <w:rFonts w:ascii="宋体" w:hAnsi="宋体" w:eastAsia="宋体"/>
                <w:sz w:val="16"/>
              </w:rPr>
              <w:t>95%</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4388477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2024年工作计划</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357AF39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c>
          <w:tcPr>
            <w:tcW w:w="859" w:type="dxa"/>
            <w:tcBorders>
              <w:top w:val="single" w:color="auto" w:sz="10" w:space="0"/>
              <w:left w:val="single" w:color="auto" w:sz="10" w:space="0"/>
              <w:bottom w:val="single" w:color="auto" w:sz="10" w:space="0"/>
              <w:right w:val="single" w:color="auto" w:sz="10" w:space="0"/>
              <w:insideV w:val="single" w:sz="10" w:space="0"/>
            </w:tcBorders>
            <w:vAlign w:val="center"/>
          </w:tcPr>
          <w:p w14:paraId="4F42C00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97E020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38B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15</w:t>
            </w:r>
          </w:p>
        </w:tc>
      </w:tr>
    </w:tbl>
    <w:p w14:paraId="706C648D">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1105"/>
        <w:gridCol w:w="861"/>
        <w:gridCol w:w="1136"/>
        <w:gridCol w:w="830"/>
        <w:gridCol w:w="983"/>
        <w:gridCol w:w="983"/>
        <w:gridCol w:w="983"/>
        <w:gridCol w:w="983"/>
      </w:tblGrid>
      <w:tr w14:paraId="4FBC135B">
        <w:tblPrEx>
          <w:tblCellMar>
            <w:top w:w="0" w:type="dxa"/>
            <w:left w:w="108" w:type="dxa"/>
            <w:bottom w:w="0" w:type="dxa"/>
            <w:right w:w="108" w:type="dxa"/>
          </w:tblCellMar>
        </w:tblPrEx>
        <w:tc>
          <w:tcPr>
            <w:tcW w:w="8847" w:type="dxa"/>
            <w:gridSpan w:val="9"/>
            <w:vAlign w:val="center"/>
          </w:tcPr>
          <w:p w14:paraId="070412F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项目支出绩效自评表</w:t>
            </w:r>
          </w:p>
        </w:tc>
      </w:tr>
      <w:tr w14:paraId="37D6CC45">
        <w:tblPrEx>
          <w:tblCellMar>
            <w:top w:w="0" w:type="dxa"/>
            <w:left w:w="108" w:type="dxa"/>
            <w:bottom w:w="0" w:type="dxa"/>
            <w:right w:w="108" w:type="dxa"/>
          </w:tblCellMar>
        </w:tblPrEx>
        <w:tc>
          <w:tcPr>
            <w:tcW w:w="8847" w:type="dxa"/>
            <w:gridSpan w:val="9"/>
            <w:vAlign w:val="center"/>
          </w:tcPr>
          <w:p w14:paraId="7F4D34C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654611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968A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D1AA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2024年援疆干部人才南疆工作补贴</w:t>
            </w:r>
          </w:p>
        </w:tc>
      </w:tr>
      <w:tr w14:paraId="37CEF0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7FC8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主管部门</w:t>
            </w:r>
          </w:p>
        </w:tc>
        <w:tc>
          <w:tcPr>
            <w:tcW w:w="31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68DF1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和田地区数字化发展局</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435739B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C95D3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和田地区数字化发展局</w:t>
            </w:r>
          </w:p>
        </w:tc>
      </w:tr>
      <w:tr w14:paraId="555B5D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51F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70AC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34DBA03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3A6D062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E78C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390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24F8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A786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380934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F4E0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19A7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年度资金总额</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59B8972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697ECE8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0484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CE82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CCB1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F9D2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10.00分</w:t>
            </w:r>
          </w:p>
        </w:tc>
      </w:tr>
      <w:tr w14:paraId="146AEC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89B6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9CFD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其中：当年财政拨款</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7B93AB2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0C0F221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F992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F8B6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C4C0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BE4D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5110F4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CE71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987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上年结转资金</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39EEF89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345ECEF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CA6B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F7F7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A1B2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A9E1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192499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2FD00">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59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其他资金</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66174BF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062F52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543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5C80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A2A2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2EF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7E32D1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01D9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31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93C82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47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CFBD8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实际完成情况</w:t>
            </w:r>
          </w:p>
        </w:tc>
      </w:tr>
      <w:tr w14:paraId="6F5874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138E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31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61D437">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项目总投资0.5万元，按标准完成2024年8-12月份援疆干部人才南疆工作补贴发放。提高援疆干部工作效率及服务能力，争取使受益干部满意度达到95%以上。</w:t>
            </w:r>
          </w:p>
        </w:tc>
        <w:tc>
          <w:tcPr>
            <w:tcW w:w="47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1127A4">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hint="eastAsia" w:ascii="宋体" w:hAnsi="宋体"/>
                <w:sz w:val="16"/>
                <w:lang w:eastAsia="zh-CN"/>
              </w:rPr>
              <w:t>截至</w:t>
            </w:r>
            <w:r>
              <w:rPr>
                <w:rFonts w:ascii="宋体" w:hAnsi="宋体" w:eastAsia="宋体"/>
                <w:sz w:val="16"/>
              </w:rPr>
              <w:t>2024年12月31日，本项目实际形成支出0.5万元，已完成2024年8-12月份1名援疆干部人才南疆工作补贴发放工作任务，达到了提高工作效率和服务能力的效益，受益人员满意度达到100%。</w:t>
            </w:r>
          </w:p>
        </w:tc>
      </w:tr>
      <w:tr w14:paraId="0E2F55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780173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6D8E2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1FD78EA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669E3A7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33C9C4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945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15E2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C6C1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82D8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偏差原因分析及改进措施</w:t>
            </w:r>
          </w:p>
        </w:tc>
      </w:tr>
      <w:tr w14:paraId="1DEF81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86CD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年度绩效指标完成情况</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916A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产出指标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76B1F03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30C5426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保障人数</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047248D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8BC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5971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D27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C464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777D0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E983C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01442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67DFF57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质量指标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5E523E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补贴发放覆盖率</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0E4C674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67AC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C4B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9B6D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5235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6929C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7E3A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43D76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86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CF9A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时效指标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3043D4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项目完成时间</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4516557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B8F0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C9F4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5415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A34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528AE9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A7F33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BF3AE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861" w:type="dxa"/>
            <w:vMerge w:val="continue"/>
            <w:tcBorders>
              <w:top w:val="single" w:color="auto" w:sz="10" w:space="0"/>
              <w:left w:val="single" w:color="auto" w:sz="10" w:space="0"/>
              <w:bottom w:val="single" w:color="auto" w:sz="10" w:space="0"/>
              <w:right w:val="single" w:color="auto" w:sz="10" w:space="0"/>
              <w:insideV w:val="single" w:sz="10" w:space="0"/>
            </w:tcBorders>
          </w:tcPr>
          <w:p w14:paraId="32F41C76">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129770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资金支付完成率</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756EEBD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26B0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AB2B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91B2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DE2C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EB753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A7F3B">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5E268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成本指标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0762782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经济成本指标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3AEA2F5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补助经费</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4002637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9AA2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BF33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84F4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44F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51E1A9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D970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FCC5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效益指标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0CFA738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社会效益指标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40685C1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提高工作效率和服务能力</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10F86D5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F73A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E905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ADA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79DA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239AC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5D669">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157DB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861" w:type="dxa"/>
            <w:tcBorders>
              <w:top w:val="single" w:color="auto" w:sz="10" w:space="0"/>
              <w:left w:val="single" w:color="auto" w:sz="10" w:space="0"/>
              <w:bottom w:val="single" w:color="auto" w:sz="10" w:space="0"/>
              <w:right w:val="single" w:color="auto" w:sz="10" w:space="0"/>
              <w:insideV w:val="single" w:sz="10" w:space="0"/>
            </w:tcBorders>
            <w:vAlign w:val="center"/>
          </w:tcPr>
          <w:p w14:paraId="29C8E81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1136" w:type="dxa"/>
            <w:tcBorders>
              <w:top w:val="single" w:color="auto" w:sz="10" w:space="0"/>
              <w:left w:val="single" w:color="auto" w:sz="10" w:space="0"/>
              <w:bottom w:val="single" w:color="auto" w:sz="10" w:space="0"/>
              <w:right w:val="single" w:color="auto" w:sz="10" w:space="0"/>
              <w:insideV w:val="single" w:sz="10" w:space="0"/>
            </w:tcBorders>
            <w:vAlign w:val="center"/>
          </w:tcPr>
          <w:p w14:paraId="7E982CF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受益人员满意度</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5593EF4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80B6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D708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6118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3554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1EDB5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2A89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总分</w:t>
            </w:r>
          </w:p>
        </w:tc>
        <w:tc>
          <w:tcPr>
            <w:tcW w:w="31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771AD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830" w:type="dxa"/>
            <w:tcBorders>
              <w:top w:val="single" w:color="auto" w:sz="10" w:space="0"/>
              <w:left w:val="single" w:color="auto" w:sz="10" w:space="0"/>
              <w:bottom w:val="single" w:color="auto" w:sz="10" w:space="0"/>
              <w:right w:val="single" w:color="auto" w:sz="10" w:space="0"/>
              <w:insideV w:val="single" w:sz="10" w:space="0"/>
            </w:tcBorders>
            <w:vAlign w:val="center"/>
          </w:tcPr>
          <w:p w14:paraId="5B315DB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2CE2E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100分</w:t>
            </w:r>
          </w:p>
        </w:tc>
      </w:tr>
    </w:tbl>
    <w:p w14:paraId="42A6A763">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767"/>
        <w:gridCol w:w="921"/>
        <w:gridCol w:w="1065"/>
        <w:gridCol w:w="631"/>
        <w:gridCol w:w="797"/>
        <w:gridCol w:w="717"/>
      </w:tblGrid>
      <w:tr w14:paraId="0AC91E89">
        <w:tc>
          <w:tcPr>
            <w:tcW w:w="8847" w:type="dxa"/>
            <w:gridSpan w:val="9"/>
            <w:vAlign w:val="center"/>
          </w:tcPr>
          <w:p w14:paraId="38E0BBC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项目支出绩效自评表</w:t>
            </w:r>
          </w:p>
        </w:tc>
      </w:tr>
      <w:tr w14:paraId="3D243FC7">
        <w:tblPrEx>
          <w:tblCellMar>
            <w:top w:w="0" w:type="dxa"/>
            <w:left w:w="108" w:type="dxa"/>
            <w:bottom w:w="0" w:type="dxa"/>
            <w:right w:w="108" w:type="dxa"/>
          </w:tblCellMar>
        </w:tblPrEx>
        <w:tc>
          <w:tcPr>
            <w:tcW w:w="8847" w:type="dxa"/>
            <w:gridSpan w:val="9"/>
            <w:vAlign w:val="center"/>
          </w:tcPr>
          <w:p w14:paraId="2AE81B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08813E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F85C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6DBE8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和田地区基层减负“一张表”信息管理系统及商用密码测评项目</w:t>
            </w:r>
          </w:p>
        </w:tc>
      </w:tr>
      <w:tr w14:paraId="1046ED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4739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主管部门</w:t>
            </w:r>
          </w:p>
        </w:tc>
        <w:tc>
          <w:tcPr>
            <w:tcW w:w="37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5F66C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和田地区数字化发展局</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56DB163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实施单位</w:t>
            </w:r>
          </w:p>
        </w:tc>
        <w:tc>
          <w:tcPr>
            <w:tcW w:w="321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923B0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和田地区数字化发展局</w:t>
            </w:r>
          </w:p>
        </w:tc>
      </w:tr>
      <w:tr w14:paraId="7496BC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B34B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4B30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44ECAD5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年初预算数</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2FCDA5F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全年预算数</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F0B671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全年执行数</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3F897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972D98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执行率</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16EA3D1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r>
      <w:tr w14:paraId="0A11D8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6CC9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7D55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年度资金总额</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63A7A59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258.50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124510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258.50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FC2DA4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255.50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A278B7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7FC943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98.84% </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1AC5AEB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9.71分</w:t>
            </w:r>
          </w:p>
        </w:tc>
      </w:tr>
      <w:tr w14:paraId="12D375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2D4A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151E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其中：当年财政拨款</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3A3336A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258.50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0E7F62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258.50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7A6A5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255.50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23276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73330B7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0DF3FD0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5D9935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E82C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449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上年结转资金</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5B54ADD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526B6E2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B0AEE5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FD2909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550294C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163E309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5945AC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F1B82">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D435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 xml:space="preserve">  其他资金</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55E6D16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5C7D10B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49036E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7EF6F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3B41D7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063BF65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w:t>
            </w:r>
          </w:p>
        </w:tc>
      </w:tr>
      <w:tr w14:paraId="1D892A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FFF6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年度总体目标</w:t>
            </w:r>
          </w:p>
        </w:tc>
        <w:tc>
          <w:tcPr>
            <w:tcW w:w="37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D9FB1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预期目标</w:t>
            </w:r>
          </w:p>
        </w:tc>
        <w:tc>
          <w:tcPr>
            <w:tcW w:w="413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7767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实际完成情况</w:t>
            </w:r>
          </w:p>
        </w:tc>
      </w:tr>
      <w:tr w14:paraId="34B77A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11DE5">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37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5E217B">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t>建设和田地区基层减负“一张表”信息管理系统，投入资金为258.5万元，开发数据资源池、数据自动抽取平台、综合信息填报平台等三大功能模块，实现基层各类数据的汇聚、清洗、整理和应用全过程管理，并完成基层减负“一张表”信息管理系统商用密码测评，保障系统网络信息和数据安全。收集各类业务数据量达到3200万条以上，搭建基础数据库不少于3套，通过房屋租赁模块办理房屋租赁流程全地区本年度不少于500次。于2024年12月31日前完成该项目，有效解决基层数据共享难、重复录等问题，实现为基层减负的目的。同时，为和田地区数字政府建设和信息系统密码安全奠定基础。</w:t>
            </w:r>
          </w:p>
        </w:tc>
        <w:tc>
          <w:tcPr>
            <w:tcW w:w="413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BA9B2E">
            <w:pPr>
              <w:keepNext w:val="0"/>
              <w:keepLines w:val="0"/>
              <w:pageBreakBefore w:val="0"/>
              <w:widowControl w:val="0"/>
              <w:kinsoku/>
              <w:wordWrap/>
              <w:overflowPunct/>
              <w:topLinePunct w:val="0"/>
              <w:autoSpaceDE/>
              <w:autoSpaceDN/>
              <w:bidi w:val="0"/>
              <w:adjustRightInd/>
              <w:snapToGrid/>
              <w:spacing w:line="560" w:lineRule="exact"/>
              <w:jc w:val="both"/>
              <w:textAlignment w:val="auto"/>
            </w:pPr>
            <w:r>
              <w:rPr>
                <w:rFonts w:ascii="宋体" w:hAnsi="宋体" w:eastAsia="宋体"/>
                <w:sz w:val="16"/>
              </w:rPr>
              <w:br w:type="textWrapping"/>
            </w:r>
            <w:r>
              <w:rPr>
                <w:rFonts w:hint="eastAsia" w:ascii="宋体" w:hAnsi="宋体"/>
                <w:sz w:val="16"/>
                <w:lang w:eastAsia="zh-CN"/>
              </w:rPr>
              <w:t>截至</w:t>
            </w:r>
            <w:r>
              <w:rPr>
                <w:rFonts w:ascii="宋体" w:hAnsi="宋体" w:eastAsia="宋体"/>
                <w:sz w:val="16"/>
              </w:rPr>
              <w:t>2024年12月31日，项目实际形成支出255.5万元，完成建设和田地区基层减负“一张表”信息管理系统，开发数据资源池、数据自动抽取平台、综合信息填报平台等三大功能模块，实现了基层各类数据的汇聚、清洗、整理和应用全过程管理，并完成基层减负“一张表”信息管理系统商用密码测评，保障了系统网络信息和数据安全。收集各类业务数据量达到3200万条以上，搭建基础数据库3套，通过房屋租赁模块办理房屋租赁流程全地区本年度5019次。有效解决基层数据共享难、重复录等问题，实现了为基层减负的目的，受益系统使用人员满意度达到100%。</w:t>
            </w:r>
          </w:p>
        </w:tc>
      </w:tr>
      <w:tr w14:paraId="36F6B4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5A32A9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BFB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B478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二级指标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6DF69EF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三级指标</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F777B8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年度指标值</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0DFDD5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4B7EC9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分值</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0DCB3B8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6D4F6EC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偏差原因分析及改进措施</w:t>
            </w:r>
          </w:p>
        </w:tc>
      </w:tr>
      <w:tr w14:paraId="720AAB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4CD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6DCB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产出指</w:t>
            </w:r>
            <w:bookmarkStart w:id="0" w:name="_GoBack"/>
            <w:bookmarkEnd w:id="0"/>
            <w:r>
              <w:rPr>
                <w:rFonts w:ascii="宋体" w:hAnsi="宋体" w:eastAsia="宋体"/>
                <w:sz w:val="16"/>
              </w:rPr>
              <w:t>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73E6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数量指标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530328F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收集业务数据</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5891BB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≥3200万条</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B079A6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=3200万条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93F86E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0B63B0C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2EBFA00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7565D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F4F7A">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00BC0">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7EB7D">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1E82E9C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搭建基础数据库</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001CE1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≥3套</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92037E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=3套</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E1361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6BE0922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66AEDFA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F4DDC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2A3C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A8C1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1FE48">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7891188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通过新增房屋租赁模块办理房屋租赁事项</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5F800BE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≥5000次</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081B56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=5019次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400368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8</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C5978D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7.97</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5AB4786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4210C9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1940F">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435E3">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C22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质量指标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4298F5E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系统商用密码应用安全性评估</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86B6AB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=3级</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FFC1F19">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=3级</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52AD1C">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AB3F28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56D39BA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2D8C9D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56EEE">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6A28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235C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时效指标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1741FBA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项目完成及时率</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774371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D29317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7008F9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59A528C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7</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313D33F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1C01D0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A28C4">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EDBED">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8FBD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经济成本指标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5A5C660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项目投入资金</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3E74CA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≤258.50万元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645459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=255.5万元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61297B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29EB6D6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19.42</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2E18B89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偏差原因：正在走支付审批流程，改进措施：待过会后及时支付。</w:t>
            </w:r>
          </w:p>
        </w:tc>
      </w:tr>
      <w:tr w14:paraId="372B69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1758C">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9C95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DBA5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社会效益指标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35AB72B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预防系统网络信息和数据安全风险，为基层减负</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B212EAA">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效果显著</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0C098B5">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基本达成目标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48F64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649C31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20</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79FDFEA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640D5E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F4AF5">
            <w:pPr>
              <w:keepNext w:val="0"/>
              <w:keepLines w:val="0"/>
              <w:pageBreakBefore w:val="0"/>
              <w:widowControl w:val="0"/>
              <w:kinsoku/>
              <w:wordWrap/>
              <w:overflowPunct/>
              <w:topLinePunct w:val="0"/>
              <w:autoSpaceDE/>
              <w:autoSpaceDN/>
              <w:bidi w:val="0"/>
              <w:adjustRightInd/>
              <w:snapToGrid/>
              <w:spacing w:line="56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D3443">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393D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满意度指标</w:t>
            </w:r>
          </w:p>
        </w:tc>
        <w:tc>
          <w:tcPr>
            <w:tcW w:w="1767" w:type="dxa"/>
            <w:tcBorders>
              <w:top w:val="single" w:color="auto" w:sz="10" w:space="0"/>
              <w:left w:val="single" w:color="auto" w:sz="10" w:space="0"/>
              <w:bottom w:val="single" w:color="auto" w:sz="10" w:space="0"/>
              <w:right w:val="single" w:color="auto" w:sz="10" w:space="0"/>
              <w:insideV w:val="single" w:sz="10" w:space="0"/>
            </w:tcBorders>
            <w:vAlign w:val="center"/>
          </w:tcPr>
          <w:p w14:paraId="312F07E8">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提升系统使用人员满意度</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5BE95A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≥95%</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A019024">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91913B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04FDDF1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w:t>
            </w:r>
          </w:p>
        </w:tc>
        <w:tc>
          <w:tcPr>
            <w:tcW w:w="717" w:type="dxa"/>
            <w:tcBorders>
              <w:top w:val="single" w:color="auto" w:sz="10" w:space="0"/>
              <w:left w:val="single" w:color="auto" w:sz="10" w:space="0"/>
              <w:bottom w:val="single" w:color="auto" w:sz="10" w:space="0"/>
              <w:right w:val="single" w:color="auto" w:sz="10" w:space="0"/>
              <w:insideV w:val="single" w:sz="10" w:space="0"/>
            </w:tcBorders>
            <w:vAlign w:val="center"/>
          </w:tcPr>
          <w:p w14:paraId="0A8AB680">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p>
        </w:tc>
      </w:tr>
      <w:tr w14:paraId="00E9D2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31A9B">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总分</w:t>
            </w:r>
          </w:p>
        </w:tc>
        <w:tc>
          <w:tcPr>
            <w:tcW w:w="37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815D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100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F11BD7F">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得分</w:t>
            </w:r>
          </w:p>
        </w:tc>
        <w:tc>
          <w:tcPr>
            <w:tcW w:w="321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D941F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16"/>
              </w:rPr>
              <w:t>99.1分</w:t>
            </w:r>
          </w:p>
        </w:tc>
      </w:tr>
    </w:tbl>
    <w:p w14:paraId="54799D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ascii="黑体" w:hAnsi="黑体" w:eastAsia="黑体"/>
          <w:sz w:val="32"/>
        </w:rPr>
        <w:t>十二、其他需说明的事项</w:t>
      </w:r>
    </w:p>
    <w:p w14:paraId="68E76E1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本单位无其他需说明的事项。</w:t>
      </w:r>
    </w:p>
    <w:p w14:paraId="18CCB5E5">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6855CC6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第三部分 专业名词解释</w:t>
      </w:r>
    </w:p>
    <w:p w14:paraId="6779429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6D9EDA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321545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AA7B1E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09183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845E86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07446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711BC5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AFADF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DE7F64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EC577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EC5BF3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445C48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2EA676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CF6A34D">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4C3B9FFA">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第四部分 部门决算报表（见附表）</w:t>
      </w:r>
    </w:p>
    <w:p w14:paraId="4B95108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一、《收入支出决算总表》</w:t>
      </w:r>
    </w:p>
    <w:p w14:paraId="51B71A8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二、《收入决算表》</w:t>
      </w:r>
    </w:p>
    <w:p w14:paraId="3C158FA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三、《支出决算表》</w:t>
      </w:r>
    </w:p>
    <w:p w14:paraId="263AC8E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四、《财政拨款收入支出决算总表》</w:t>
      </w:r>
    </w:p>
    <w:p w14:paraId="64BC72F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五、《一般公共预算财政拨款支出决算表》</w:t>
      </w:r>
    </w:p>
    <w:p w14:paraId="222FE0F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六、《一般公共预算财政拨款基本支出决算表》</w:t>
      </w:r>
    </w:p>
    <w:p w14:paraId="59CA830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七、《政府性基金预算财政拨款收入支出决算表》</w:t>
      </w:r>
    </w:p>
    <w:p w14:paraId="199A03D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八、《国有资本经营预算财政拨款收入支出决算表》</w:t>
      </w:r>
    </w:p>
    <w:p w14:paraId="3B8434B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九、《财政拨款“三公”经费支出决算表》</w:t>
      </w:r>
    </w:p>
    <w:p w14:paraId="7015568E">
      <w:pPr>
        <w:spacing w:line="240" w:lineRule="auto"/>
        <w:ind w:firstLine="640"/>
        <w:jc w:val="both"/>
      </w:pPr>
    </w:p>
    <w:p w14:paraId="3A47D790">
      <w:pPr>
        <w:spacing w:line="240" w:lineRule="auto"/>
        <w:ind w:firstLine="640"/>
        <w:jc w:val="both"/>
      </w:pPr>
    </w:p>
    <w:p w14:paraId="6DB0019A">
      <w:pPr>
        <w:spacing w:line="240" w:lineRule="auto"/>
        <w:ind w:firstLine="640"/>
        <w:jc w:val="both"/>
      </w:pPr>
    </w:p>
    <w:p w14:paraId="5CBCD34C">
      <w:pPr>
        <w:spacing w:line="240" w:lineRule="auto"/>
        <w:ind w:firstLine="640"/>
        <w:jc w:val="both"/>
      </w:pPr>
    </w:p>
    <w:p w14:paraId="300D544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02138A8-37F1-4FCA-BEF7-443E9ACAD7A7}"/>
  </w:font>
  <w:font w:name="黑体">
    <w:panose1 w:val="02010609060101010101"/>
    <w:charset w:val="86"/>
    <w:family w:val="auto"/>
    <w:pitch w:val="default"/>
    <w:sig w:usb0="800002BF" w:usb1="38CF7CFA" w:usb2="00000016" w:usb3="00000000" w:csb0="00040001" w:csb1="00000000"/>
    <w:embedRegular r:id="rId2" w:fontKey="{7FD2D966-DBD4-435D-9A4B-234999AAC20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3" w:fontKey="{1432E80A-413C-424C-B772-B547F682F4B5}"/>
  </w:font>
  <w:font w:name="仿宋_GB2312">
    <w:panose1 w:val="02010609030101010101"/>
    <w:charset w:val="86"/>
    <w:family w:val="modern"/>
    <w:pitch w:val="default"/>
    <w:sig w:usb0="00000001" w:usb1="080E0000" w:usb2="00000000" w:usb3="00000000" w:csb0="00040000" w:csb1="00000000"/>
    <w:embedRegular r:id="rId4" w:fontKey="{5B4BEBE5-414E-457E-B37B-B95A238D4396}"/>
  </w:font>
  <w:font w:name="楷体_GB2312">
    <w:panose1 w:val="02010609030101010101"/>
    <w:charset w:val="86"/>
    <w:family w:val="auto"/>
    <w:pitch w:val="default"/>
    <w:sig w:usb0="00000001" w:usb1="080E0000" w:usb2="00000000" w:usb3="00000000" w:csb0="00040000" w:csb1="00000000"/>
    <w:embedRegular r:id="rId5" w:fontKey="{828EBEAE-40F6-4B6B-B349-B033F576475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126503"/>
    <w:rsid w:val="20204D09"/>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D878B8"/>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E193B17"/>
    <w:rsid w:val="4F3F074E"/>
    <w:rsid w:val="50DB5F45"/>
    <w:rsid w:val="52F92565"/>
    <w:rsid w:val="543D17CB"/>
    <w:rsid w:val="55DA564E"/>
    <w:rsid w:val="56E07045"/>
    <w:rsid w:val="572B3AE5"/>
    <w:rsid w:val="583059FA"/>
    <w:rsid w:val="587E6212"/>
    <w:rsid w:val="5AFC6609"/>
    <w:rsid w:val="5B2D0098"/>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C83F5E"/>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8840</Words>
  <Characters>9947</Characters>
  <Lines>0</Lines>
  <Paragraphs>0</Paragraphs>
  <TotalTime>43</TotalTime>
  <ScaleCrop>false</ScaleCrop>
  <LinksUpToDate>false</LinksUpToDate>
  <CharactersWithSpaces>9977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2025-11-17T08:20:18Z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