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和田地区农业技术推广中心2024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F8C593A">
      <w:r>
        <w:br w:type="page"/>
      </w:r>
    </w:p>
    <w:p w14:paraId="3A0F4116">
      <w:pPr>
        <w:spacing w:line="640" w:lineRule="exact"/>
        <w:jc w:val="center"/>
        <w:outlineLvl w:val="1"/>
      </w:pPr>
      <w:r>
        <w:rPr>
          <w:rFonts w:ascii="黑体" w:hAnsi="黑体" w:eastAsia="黑体"/>
          <w:sz w:val="32"/>
        </w:rPr>
        <w:t>第一部分 单位概况</w:t>
      </w:r>
    </w:p>
    <w:p w14:paraId="0335FF28">
      <w:pPr>
        <w:spacing w:line="640" w:lineRule="exact"/>
        <w:ind w:firstLine="640"/>
        <w:jc w:val="both"/>
        <w:outlineLvl w:val="2"/>
      </w:pPr>
      <w:r>
        <w:rPr>
          <w:rFonts w:ascii="黑体" w:hAnsi="黑体" w:eastAsia="黑体"/>
          <w:sz w:val="32"/>
        </w:rPr>
        <w:t>一、主要职能</w:t>
      </w:r>
    </w:p>
    <w:p w14:paraId="59517BC7">
      <w:pPr>
        <w:spacing w:line="580" w:lineRule="exact"/>
        <w:ind w:firstLine="640"/>
        <w:jc w:val="both"/>
      </w:pPr>
      <w:r>
        <w:rPr>
          <w:rFonts w:ascii="仿宋_GB2312" w:hAnsi="仿宋_GB2312" w:eastAsia="仿宋_GB2312"/>
          <w:sz w:val="32"/>
        </w:rPr>
        <w:t>和田地区农业技术推广中心，推广种植业及新品种技术，促进农业发展。编制地区农业技术推广工作及重点项目规划，承担国家、自治区、地区新技术新成果的引进、试验、示范、推广工作并负责组织实施全地区土壤养分、农药残留、化肥品质分析和检测、检查指导、评比、审核、解决农业生产中病虫草鼠预防及有效治理等关键性技术提供先进技术信</w:t>
      </w:r>
      <w:r>
        <w:rPr>
          <w:rFonts w:hint="eastAsia" w:ascii="仿宋_GB2312" w:hAnsi="仿宋_GB2312" w:eastAsia="仿宋_GB2312"/>
          <w:sz w:val="32"/>
          <w:lang w:eastAsia="zh-CN"/>
        </w:rPr>
        <w:t>息和</w:t>
      </w:r>
      <w:r>
        <w:rPr>
          <w:rFonts w:ascii="仿宋_GB2312" w:hAnsi="仿宋_GB2312" w:eastAsia="仿宋_GB2312"/>
          <w:sz w:val="32"/>
        </w:rPr>
        <w:t>技术指导及咨询服务。</w:t>
      </w:r>
    </w:p>
    <w:p w14:paraId="2CBBD452">
      <w:pPr>
        <w:spacing w:line="640" w:lineRule="exact"/>
        <w:ind w:firstLine="640"/>
        <w:jc w:val="both"/>
        <w:outlineLvl w:val="2"/>
      </w:pPr>
      <w:r>
        <w:rPr>
          <w:rFonts w:ascii="黑体" w:hAnsi="黑体" w:eastAsia="黑体"/>
          <w:sz w:val="32"/>
        </w:rPr>
        <w:t>二、机构设置及人员情况</w:t>
      </w:r>
    </w:p>
    <w:p w14:paraId="3BB26391">
      <w:pPr>
        <w:spacing w:line="580" w:lineRule="exact"/>
        <w:ind w:firstLine="640"/>
        <w:jc w:val="both"/>
      </w:pPr>
      <w:r>
        <w:rPr>
          <w:rFonts w:ascii="仿宋_GB2312" w:hAnsi="仿宋_GB2312" w:eastAsia="仿宋_GB2312"/>
          <w:sz w:val="32"/>
        </w:rPr>
        <w:t>和田地区农业技术推广中心2024年度，实有人数87人，其中：在职人员43人，增加1人；离休人员0人，增加0人；退休人员44人,减少1人。</w:t>
      </w:r>
    </w:p>
    <w:p w14:paraId="3C98DE2D">
      <w:pPr>
        <w:spacing w:line="580" w:lineRule="exact"/>
        <w:ind w:firstLine="640"/>
        <w:jc w:val="both"/>
      </w:pPr>
      <w:r>
        <w:rPr>
          <w:rFonts w:ascii="仿宋_GB2312" w:hAnsi="仿宋_GB2312" w:eastAsia="仿宋_GB2312"/>
          <w:sz w:val="32"/>
        </w:rPr>
        <w:t>和田地区农业技术推广中心无下属预算单位，下设7个科室，分别是：办公室、土肥科、土壤肥料测试中心、植保科、园艺特产科、作物栽培科、研究所。</w:t>
      </w:r>
    </w:p>
    <w:p w14:paraId="5FE67201">
      <w:r>
        <w:br w:type="page"/>
      </w:r>
    </w:p>
    <w:p w14:paraId="3C80AD55">
      <w:pPr>
        <w:spacing w:line="240" w:lineRule="auto"/>
        <w:jc w:val="center"/>
        <w:outlineLvl w:val="1"/>
      </w:pPr>
      <w:r>
        <w:rPr>
          <w:rFonts w:ascii="黑体" w:hAnsi="黑体" w:eastAsia="黑体"/>
          <w:sz w:val="32"/>
        </w:rPr>
        <w:t>第二部分 部门决算情况说明</w:t>
      </w:r>
    </w:p>
    <w:p w14:paraId="4A559224">
      <w:pPr>
        <w:spacing w:line="640" w:lineRule="exact"/>
        <w:ind w:firstLine="640"/>
        <w:jc w:val="both"/>
        <w:outlineLvl w:val="2"/>
      </w:pPr>
      <w:r>
        <w:rPr>
          <w:rFonts w:ascii="黑体" w:hAnsi="黑体" w:eastAsia="黑体"/>
          <w:sz w:val="32"/>
        </w:rPr>
        <w:t>一、收入支出决算总体情况说明</w:t>
      </w:r>
    </w:p>
    <w:p w14:paraId="70563F83">
      <w:pPr>
        <w:spacing w:line="580" w:lineRule="exact"/>
        <w:ind w:firstLine="640"/>
        <w:jc w:val="both"/>
      </w:pPr>
      <w:r>
        <w:rPr>
          <w:rFonts w:ascii="仿宋_GB2312" w:hAnsi="仿宋_GB2312" w:eastAsia="仿宋_GB2312"/>
          <w:b/>
          <w:sz w:val="32"/>
        </w:rPr>
        <w:t>2024年度收入总计1,222.11万元，</w:t>
      </w:r>
      <w:r>
        <w:rPr>
          <w:rFonts w:ascii="仿宋_GB2312" w:hAnsi="仿宋_GB2312" w:eastAsia="仿宋_GB2312"/>
          <w:b w:val="0"/>
          <w:sz w:val="32"/>
        </w:rPr>
        <w:t>其中：本年收入合计1,222.11万元，使用非财政拨款结余（含专用结余）0.00万元，年初结转和结余0.00万元。</w:t>
      </w:r>
    </w:p>
    <w:p w14:paraId="19E85CE9">
      <w:pPr>
        <w:spacing w:line="580" w:lineRule="exact"/>
        <w:ind w:firstLine="640"/>
        <w:jc w:val="both"/>
      </w:pPr>
      <w:r>
        <w:rPr>
          <w:rFonts w:ascii="仿宋_GB2312" w:hAnsi="仿宋_GB2312" w:eastAsia="仿宋_GB2312"/>
          <w:b/>
          <w:sz w:val="32"/>
        </w:rPr>
        <w:t>2024年度支出总计1,222.11万元，</w:t>
      </w:r>
      <w:r>
        <w:rPr>
          <w:rFonts w:ascii="仿宋_GB2312" w:hAnsi="仿宋_GB2312" w:eastAsia="仿宋_GB2312"/>
          <w:b w:val="0"/>
          <w:sz w:val="32"/>
        </w:rPr>
        <w:t>其中：本年支出合计1,222.11万元，结余分配0.00万元，年末结转和结余0.00万元。</w:t>
      </w:r>
    </w:p>
    <w:p w14:paraId="69583167">
      <w:pPr>
        <w:spacing w:line="580" w:lineRule="exact"/>
        <w:ind w:firstLine="640"/>
        <w:jc w:val="both"/>
      </w:pPr>
      <w:r>
        <w:rPr>
          <w:rFonts w:ascii="仿宋_GB2312" w:hAnsi="仿宋_GB2312" w:eastAsia="仿宋_GB2312"/>
          <w:b w:val="0"/>
          <w:sz w:val="32"/>
        </w:rPr>
        <w:t>收入支出总体与上年相比，增加103.01万元，增长9.20%，主要原因是：在职人员工资调增，社保，住房公积金等相关人员经费增加；本年增加国家级耕地质量监测点改造与提升，三农人才骨干培养等项目、和田地区粮油菜新优品种引进试验与示范项目。</w:t>
      </w:r>
    </w:p>
    <w:p w14:paraId="07B61EA6">
      <w:pPr>
        <w:spacing w:line="640" w:lineRule="exact"/>
        <w:ind w:firstLine="640"/>
        <w:jc w:val="both"/>
        <w:outlineLvl w:val="2"/>
      </w:pPr>
      <w:r>
        <w:rPr>
          <w:rFonts w:ascii="黑体" w:hAnsi="黑体" w:eastAsia="黑体"/>
          <w:sz w:val="32"/>
        </w:rPr>
        <w:t>二、收入决算情况说明</w:t>
      </w:r>
    </w:p>
    <w:p w14:paraId="7463FF0F">
      <w:pPr>
        <w:spacing w:line="580" w:lineRule="exact"/>
        <w:ind w:firstLine="640"/>
        <w:jc w:val="both"/>
      </w:pPr>
      <w:r>
        <w:rPr>
          <w:rFonts w:ascii="仿宋_GB2312" w:hAnsi="仿宋_GB2312" w:eastAsia="仿宋_GB2312"/>
          <w:b/>
          <w:sz w:val="32"/>
        </w:rPr>
        <w:t>本年收入1,222.11万元，</w:t>
      </w:r>
      <w:r>
        <w:rPr>
          <w:rFonts w:ascii="仿宋_GB2312" w:hAnsi="仿宋_GB2312" w:eastAsia="仿宋_GB2312"/>
          <w:b w:val="0"/>
          <w:sz w:val="32"/>
        </w:rPr>
        <w:t>其中：财政拨款收入1,184.91万元，占96.96%；上级补助收入0.00万元，占0.00%；事业收入0.00万元，占0.00%；经营收入0.00万元，占0.00%；附属单位上缴收入0.00万元，占0.00%；其他收入37.21万元，占3.04%。</w:t>
      </w:r>
    </w:p>
    <w:p w14:paraId="7C0F4C64">
      <w:pPr>
        <w:spacing w:line="640" w:lineRule="exact"/>
        <w:ind w:firstLine="640"/>
        <w:jc w:val="both"/>
        <w:outlineLvl w:val="2"/>
      </w:pPr>
      <w:r>
        <w:rPr>
          <w:rFonts w:ascii="黑体" w:hAnsi="黑体" w:eastAsia="黑体"/>
          <w:sz w:val="32"/>
        </w:rPr>
        <w:t>三、支出决算情况说明</w:t>
      </w:r>
    </w:p>
    <w:p w14:paraId="62FBA605">
      <w:pPr>
        <w:spacing w:line="580" w:lineRule="exact"/>
        <w:ind w:firstLine="640"/>
        <w:jc w:val="both"/>
      </w:pPr>
      <w:r>
        <w:rPr>
          <w:rFonts w:ascii="仿宋_GB2312" w:hAnsi="仿宋_GB2312" w:eastAsia="仿宋_GB2312"/>
          <w:b/>
          <w:sz w:val="32"/>
        </w:rPr>
        <w:t>本年支出1,222.11万元，</w:t>
      </w:r>
      <w:r>
        <w:rPr>
          <w:rFonts w:ascii="仿宋_GB2312" w:hAnsi="仿宋_GB2312" w:eastAsia="仿宋_GB2312"/>
          <w:b w:val="0"/>
          <w:sz w:val="32"/>
        </w:rPr>
        <w:t>其中：基本支出1,090.89万元，占89.26%；项目支出131.22万元，占10.74%；上缴上级支出0.00万元，占0.00%；经营支出0.00万元，占0.00%；对附属单位补助支出0.00万元，占0.00%。</w:t>
      </w:r>
    </w:p>
    <w:p w14:paraId="09947C96">
      <w:pPr>
        <w:spacing w:line="640" w:lineRule="exact"/>
        <w:ind w:firstLine="640"/>
        <w:jc w:val="both"/>
        <w:outlineLvl w:val="2"/>
      </w:pPr>
      <w:r>
        <w:rPr>
          <w:rFonts w:ascii="黑体" w:hAnsi="黑体" w:eastAsia="黑体"/>
          <w:sz w:val="32"/>
        </w:rPr>
        <w:t>四、财政拨款收入支出决算总体情况说明</w:t>
      </w:r>
    </w:p>
    <w:p w14:paraId="64A0A5CE">
      <w:pPr>
        <w:spacing w:line="580" w:lineRule="exact"/>
        <w:ind w:firstLine="640"/>
        <w:jc w:val="both"/>
      </w:pPr>
      <w:r>
        <w:rPr>
          <w:rFonts w:ascii="仿宋_GB2312" w:hAnsi="仿宋_GB2312" w:eastAsia="仿宋_GB2312"/>
          <w:b/>
          <w:sz w:val="32"/>
        </w:rPr>
        <w:t>2024年度财政拨款收入总计1,184.91万元，</w:t>
      </w:r>
      <w:r>
        <w:rPr>
          <w:rFonts w:ascii="仿宋_GB2312" w:hAnsi="仿宋_GB2312" w:eastAsia="仿宋_GB2312"/>
          <w:b w:val="0"/>
          <w:sz w:val="32"/>
        </w:rPr>
        <w:t>其中：年初财政拨款结转和结余0.00万元，本年财政拨款收入1,184.91万元。</w:t>
      </w:r>
      <w:r>
        <w:rPr>
          <w:rFonts w:ascii="仿宋_GB2312" w:hAnsi="仿宋_GB2312" w:eastAsia="仿宋_GB2312"/>
          <w:b/>
          <w:sz w:val="32"/>
        </w:rPr>
        <w:t>财政拨款支出总计1,184.91万元，</w:t>
      </w:r>
      <w:r>
        <w:rPr>
          <w:rFonts w:ascii="仿宋_GB2312" w:hAnsi="仿宋_GB2312" w:eastAsia="仿宋_GB2312"/>
          <w:b w:val="0"/>
          <w:sz w:val="32"/>
        </w:rPr>
        <w:t>其中：年末财政拨款结转和结余0.00万元，本年财政拨款支出1,184.91万元。</w:t>
      </w:r>
    </w:p>
    <w:p w14:paraId="17D6299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增加65.81万元，增长5.88%，主要原因是：在职人员工资调增，社保，住房公积金等相关人员经费增加；本年增加国家级耕地质量监测点改造与提升，三农人才骨干培养等项目。</w:t>
      </w:r>
      <w:r>
        <w:rPr>
          <w:rFonts w:ascii="仿宋_GB2312" w:hAnsi="仿宋_GB2312" w:eastAsia="仿宋_GB2312"/>
          <w:b/>
          <w:sz w:val="32"/>
        </w:rPr>
        <w:t>与年初预算相比，</w:t>
      </w:r>
      <w:r>
        <w:rPr>
          <w:rFonts w:ascii="仿宋_GB2312" w:hAnsi="仿宋_GB2312" w:eastAsia="仿宋_GB2312"/>
          <w:b w:val="0"/>
          <w:sz w:val="32"/>
        </w:rPr>
        <w:t>年初预算数1,121.40万元，决算数1,184.91万元，预决算差异率5.66%，主要原因是：年中追加人员工资、社保、机关事业单位职业年金缴费、公积金基数调增部分资金；年中追加三农人才骨干培养等项目，导致预决算存在差异。</w:t>
      </w:r>
    </w:p>
    <w:p w14:paraId="70A4F269">
      <w:pPr>
        <w:spacing w:line="640" w:lineRule="exact"/>
        <w:ind w:firstLine="640"/>
        <w:jc w:val="both"/>
        <w:outlineLvl w:val="2"/>
      </w:pPr>
      <w:r>
        <w:rPr>
          <w:rFonts w:ascii="黑体" w:hAnsi="黑体" w:eastAsia="黑体"/>
          <w:sz w:val="32"/>
        </w:rPr>
        <w:t>五、一般公共预算财政拨款支出决算情况说明</w:t>
      </w:r>
    </w:p>
    <w:p w14:paraId="143ADA8D">
      <w:pPr>
        <w:spacing w:line="640" w:lineRule="exact"/>
        <w:ind w:firstLine="640"/>
        <w:jc w:val="both"/>
        <w:outlineLvl w:val="3"/>
      </w:pPr>
      <w:r>
        <w:rPr>
          <w:rFonts w:ascii="楷体_GB2312" w:hAnsi="楷体_GB2312" w:eastAsia="楷体_GB2312"/>
          <w:b/>
          <w:sz w:val="32"/>
        </w:rPr>
        <w:t>（一）一般公共预算财政拨款支出决算总体情况</w:t>
      </w:r>
    </w:p>
    <w:p w14:paraId="46246530">
      <w:pPr>
        <w:spacing w:line="580" w:lineRule="exact"/>
        <w:ind w:firstLine="640"/>
        <w:jc w:val="both"/>
      </w:pPr>
      <w:r>
        <w:rPr>
          <w:rFonts w:ascii="仿宋_GB2312" w:hAnsi="仿宋_GB2312" w:eastAsia="仿宋_GB2312"/>
          <w:b/>
          <w:sz w:val="32"/>
        </w:rPr>
        <w:t>2024年度一般公共预算财政拨款支出1,184.91万元，</w:t>
      </w:r>
      <w:r>
        <w:rPr>
          <w:rFonts w:ascii="仿宋_GB2312" w:hAnsi="仿宋_GB2312" w:eastAsia="仿宋_GB2312"/>
          <w:b w:val="0"/>
          <w:sz w:val="32"/>
        </w:rPr>
        <w:t>占本年支出合计的96.96%。</w:t>
      </w:r>
      <w:r>
        <w:rPr>
          <w:rFonts w:ascii="仿宋_GB2312" w:hAnsi="仿宋_GB2312" w:eastAsia="仿宋_GB2312"/>
          <w:b w:val="0"/>
          <w:bCs/>
          <w:sz w:val="32"/>
        </w:rPr>
        <w:t>与上年相比</w:t>
      </w:r>
      <w:r>
        <w:rPr>
          <w:rFonts w:ascii="仿宋_GB2312" w:hAnsi="仿宋_GB2312" w:eastAsia="仿宋_GB2312"/>
          <w:b/>
          <w:sz w:val="32"/>
        </w:rPr>
        <w:t>，</w:t>
      </w:r>
      <w:r>
        <w:rPr>
          <w:rFonts w:ascii="仿宋_GB2312" w:hAnsi="仿宋_GB2312" w:eastAsia="仿宋_GB2312"/>
          <w:b w:val="0"/>
          <w:sz w:val="32"/>
        </w:rPr>
        <w:t>增加65.81万元，增长5.88%，主要原因是：在职人员工资调增，社保，住房公积金等相关人员经费增加；增加国家级耕地质量监测点改造与提升，三农人才骨干培养等项目。</w:t>
      </w:r>
      <w:r>
        <w:rPr>
          <w:rFonts w:ascii="仿宋_GB2312" w:hAnsi="仿宋_GB2312" w:eastAsia="仿宋_GB2312"/>
          <w:b w:val="0"/>
          <w:bCs/>
          <w:sz w:val="32"/>
        </w:rPr>
        <w:t>与年初预算相比</w:t>
      </w:r>
      <w:r>
        <w:rPr>
          <w:rFonts w:ascii="仿宋_GB2312" w:hAnsi="仿宋_GB2312" w:eastAsia="仿宋_GB2312"/>
          <w:b/>
          <w:sz w:val="32"/>
        </w:rPr>
        <w:t>,</w:t>
      </w:r>
      <w:r>
        <w:rPr>
          <w:rFonts w:ascii="仿宋_GB2312" w:hAnsi="仿宋_GB2312" w:eastAsia="仿宋_GB2312"/>
          <w:b w:val="0"/>
          <w:sz w:val="32"/>
        </w:rPr>
        <w:t>年初预算数1,121.40万元，决算数1,184.91万元，预决算差异率5.66%，主要原因是：年中追加人员工资、社保、机关事业单位职业年金缴费、公积金基数调增部分资金；年中追加三农人才骨干培养等项目，导致预决算存在差异。</w:t>
      </w:r>
    </w:p>
    <w:p w14:paraId="1412A30D">
      <w:pPr>
        <w:spacing w:line="640" w:lineRule="exact"/>
        <w:ind w:firstLine="640"/>
        <w:jc w:val="both"/>
        <w:outlineLvl w:val="3"/>
      </w:pPr>
      <w:r>
        <w:rPr>
          <w:rFonts w:ascii="楷体_GB2312" w:hAnsi="楷体_GB2312" w:eastAsia="楷体_GB2312"/>
          <w:b/>
          <w:sz w:val="32"/>
        </w:rPr>
        <w:t>（二）一般公共预算财政拨款支出决算结构情况</w:t>
      </w:r>
    </w:p>
    <w:p w14:paraId="52B27EED">
      <w:pPr>
        <w:spacing w:line="580" w:lineRule="exact"/>
        <w:ind w:firstLine="640"/>
        <w:jc w:val="both"/>
      </w:pPr>
      <w:r>
        <w:rPr>
          <w:rFonts w:ascii="仿宋_GB2312" w:hAnsi="仿宋_GB2312" w:eastAsia="仿宋_GB2312"/>
          <w:b w:val="0"/>
          <w:sz w:val="32"/>
        </w:rPr>
        <w:t>1.科学技术支出(类)30.00万元,占2.53%。</w:t>
      </w:r>
    </w:p>
    <w:p w14:paraId="001932CA">
      <w:pPr>
        <w:spacing w:line="580" w:lineRule="exact"/>
        <w:ind w:firstLine="640"/>
        <w:jc w:val="both"/>
      </w:pPr>
      <w:r>
        <w:rPr>
          <w:rFonts w:ascii="仿宋_GB2312" w:hAnsi="仿宋_GB2312" w:eastAsia="仿宋_GB2312"/>
          <w:b w:val="0"/>
          <w:sz w:val="32"/>
        </w:rPr>
        <w:t>2.社会保障和就业支出(类)206.17万元,占17.40%。</w:t>
      </w:r>
    </w:p>
    <w:p w14:paraId="79A21F59">
      <w:pPr>
        <w:spacing w:line="580" w:lineRule="exact"/>
        <w:ind w:firstLine="640"/>
        <w:jc w:val="both"/>
      </w:pPr>
      <w:r>
        <w:rPr>
          <w:rFonts w:ascii="仿宋_GB2312" w:hAnsi="仿宋_GB2312" w:eastAsia="仿宋_GB2312"/>
          <w:b w:val="0"/>
          <w:sz w:val="32"/>
        </w:rPr>
        <w:t>3.卫生健康支出(类)37.77万元,占3.19%。</w:t>
      </w:r>
    </w:p>
    <w:p w14:paraId="172255CD">
      <w:pPr>
        <w:spacing w:line="580" w:lineRule="exact"/>
        <w:ind w:firstLine="640"/>
        <w:jc w:val="both"/>
      </w:pPr>
      <w:r>
        <w:rPr>
          <w:rFonts w:ascii="仿宋_GB2312" w:hAnsi="仿宋_GB2312" w:eastAsia="仿宋_GB2312"/>
          <w:b w:val="0"/>
          <w:sz w:val="32"/>
        </w:rPr>
        <w:t>4.农林水支出(类)812.99万元,占68.61%。</w:t>
      </w:r>
    </w:p>
    <w:p w14:paraId="31453F1C">
      <w:pPr>
        <w:spacing w:line="580" w:lineRule="exact"/>
        <w:ind w:firstLine="640"/>
        <w:jc w:val="both"/>
      </w:pPr>
      <w:r>
        <w:rPr>
          <w:rFonts w:ascii="仿宋_GB2312" w:hAnsi="仿宋_GB2312" w:eastAsia="仿宋_GB2312"/>
          <w:b w:val="0"/>
          <w:sz w:val="32"/>
        </w:rPr>
        <w:t>5.住房保障支出(类)72.09万元,占6.08%。</w:t>
      </w:r>
    </w:p>
    <w:p w14:paraId="09D019E7">
      <w:pPr>
        <w:spacing w:line="580" w:lineRule="exact"/>
        <w:ind w:firstLine="640"/>
        <w:jc w:val="both"/>
      </w:pPr>
      <w:r>
        <w:rPr>
          <w:rFonts w:ascii="仿宋_GB2312" w:hAnsi="仿宋_GB2312" w:eastAsia="仿宋_GB2312"/>
          <w:b w:val="0"/>
          <w:sz w:val="32"/>
        </w:rPr>
        <w:t>6.其他支出(类)25.89万元,占2.18%。</w:t>
      </w:r>
    </w:p>
    <w:p w14:paraId="2B0EEB53">
      <w:pPr>
        <w:spacing w:line="640" w:lineRule="exact"/>
        <w:ind w:firstLine="640"/>
        <w:jc w:val="both"/>
        <w:outlineLvl w:val="3"/>
      </w:pPr>
      <w:r>
        <w:rPr>
          <w:rFonts w:ascii="楷体_GB2312" w:hAnsi="楷体_GB2312" w:eastAsia="楷体_GB2312"/>
          <w:b/>
          <w:sz w:val="32"/>
        </w:rPr>
        <w:t>（三）一般公共预算财政拨款支出决算具体情况</w:t>
      </w:r>
    </w:p>
    <w:p w14:paraId="48F0A3B4">
      <w:pPr>
        <w:spacing w:line="580" w:lineRule="exact"/>
        <w:ind w:firstLine="640"/>
        <w:jc w:val="both"/>
      </w:pPr>
      <w:r>
        <w:rPr>
          <w:rFonts w:ascii="仿宋_GB2312" w:hAnsi="仿宋_GB2312" w:eastAsia="仿宋_GB2312"/>
          <w:b w:val="0"/>
          <w:sz w:val="32"/>
        </w:rPr>
        <w:t>1.科学技术支出(类)科学技术管理事务(款)其他科学技术管理事务支出(项):支出决算数为25.00万元，比上年决算增加25.00万元，增长100.00%,主要原因是：本年度增加2024年度农业试验经费项目，导致经费较上年增加。</w:t>
      </w:r>
    </w:p>
    <w:p w14:paraId="46372C04">
      <w:pPr>
        <w:spacing w:line="580" w:lineRule="exact"/>
        <w:ind w:firstLine="640"/>
        <w:jc w:val="both"/>
      </w:pPr>
      <w:r>
        <w:rPr>
          <w:rFonts w:ascii="仿宋_GB2312" w:hAnsi="仿宋_GB2312" w:eastAsia="仿宋_GB2312"/>
          <w:b w:val="0"/>
          <w:sz w:val="32"/>
        </w:rPr>
        <w:t>2.科学技术支出(类)基础研究(款)科技人才队伍建设(项):支出决算数为5.00万元，比上年决算增加5.00万元，增长100.00%,主要原因是：本年度增加三农人才骨干培养项目，导致经费较上年增加。</w:t>
      </w:r>
    </w:p>
    <w:p w14:paraId="4ED1DED9">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68.10万元，比上年决算增加68.10万元，增长100.00%,主要原因是：本年功能科目调整，事业单位离退休上年度在主科目列支，本年单独列支，导致经费较上年增加。</w:t>
      </w:r>
    </w:p>
    <w:p w14:paraId="1A10E777">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96.84万元，比上年决算增加11.09万元，增长12.93%,主要原因是：本年在职人员工资基数调增，养老缴费基数上涨，相应支出增加。</w:t>
      </w:r>
    </w:p>
    <w:p w14:paraId="2DC32461">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5.社会保障和就业支出(类)行政事业单位养老支出(款)机关事业单位职业年金缴费支出(项):支出决算数为41.23万元，比上年决算增加35.19万元，增长582.62%,主要原因是：本年新增辞职人员，职业年金缴费支出增加。</w:t>
      </w:r>
    </w:p>
    <w:p w14:paraId="36E3B0CB">
      <w:pPr>
        <w:spacing w:line="580" w:lineRule="exact"/>
        <w:ind w:firstLine="640"/>
        <w:jc w:val="both"/>
      </w:pPr>
      <w:r>
        <w:rPr>
          <w:rFonts w:ascii="仿宋_GB2312" w:hAnsi="仿宋_GB2312" w:eastAsia="仿宋_GB2312"/>
          <w:b w:val="0"/>
          <w:sz w:val="32"/>
        </w:rPr>
        <w:t>6.卫生健康支出(类)行政事业单位医疗(款)事业单位医疗(项):支出决算数为37.77万元，比上年决算增加37.77万元，增长100.00%,主要原因是：本年功能科目调整，事业单位医疗支出上年度在主科目列支，本年单独列支，导致经费较上年增加。</w:t>
      </w:r>
    </w:p>
    <w:p w14:paraId="35DA7767">
      <w:pPr>
        <w:spacing w:line="580" w:lineRule="exact"/>
        <w:ind w:firstLine="640"/>
        <w:jc w:val="both"/>
      </w:pPr>
      <w:r>
        <w:rPr>
          <w:rFonts w:ascii="仿宋_GB2312" w:hAnsi="仿宋_GB2312" w:eastAsia="仿宋_GB2312"/>
          <w:b w:val="0"/>
          <w:sz w:val="32"/>
        </w:rPr>
        <w:t>7.农林水支出(类)农业农村(款)事业运行(项):支出决算数为774.86万元，比上年决算减少158.70万元，下降17.00%,主要原因是：本年功能科目调整，事业单位医疗支出、住房公积金、事业单位离退休费上年度在主科目列支，本年单独列支，导致经费较上年减少。</w:t>
      </w:r>
    </w:p>
    <w:p w14:paraId="21E9EEBB">
      <w:pPr>
        <w:spacing w:line="580" w:lineRule="exact"/>
        <w:ind w:firstLine="640"/>
        <w:jc w:val="both"/>
      </w:pPr>
      <w:r>
        <w:rPr>
          <w:rFonts w:ascii="仿宋_GB2312" w:hAnsi="仿宋_GB2312" w:eastAsia="仿宋_GB2312"/>
          <w:b w:val="0"/>
          <w:sz w:val="32"/>
        </w:rPr>
        <w:t>8.农林水支出(类)农业农村(款)耕地建设与利用(项):支出决算数为35.07万元，比上年决算增加11.54万元，增长49.04%,主要原因是：本年增加国家耕地质量监测点改造与提升项目，导致经费较上年增加。</w:t>
      </w:r>
    </w:p>
    <w:p w14:paraId="1605552D">
      <w:pPr>
        <w:spacing w:line="580" w:lineRule="exact"/>
        <w:ind w:firstLine="640"/>
        <w:jc w:val="both"/>
      </w:pPr>
      <w:r>
        <w:rPr>
          <w:rFonts w:ascii="仿宋_GB2312" w:hAnsi="仿宋_GB2312" w:eastAsia="仿宋_GB2312"/>
          <w:b w:val="0"/>
          <w:sz w:val="32"/>
        </w:rPr>
        <w:t>9.农林水支出(类)农业农村(款)其他农业农村支出(项):支出决算数为3.05万元，比上年决算减少23.89万元，下降88.68%,主要原因是：本年减少天山英才计划--三农骨干人才项目经费，导致经费较上年减少。</w:t>
      </w:r>
    </w:p>
    <w:p w14:paraId="2B0BBC4C">
      <w:pPr>
        <w:spacing w:line="580" w:lineRule="exact"/>
        <w:ind w:firstLine="640"/>
        <w:jc w:val="both"/>
      </w:pPr>
      <w:r>
        <w:rPr>
          <w:rFonts w:ascii="仿宋_GB2312" w:hAnsi="仿宋_GB2312" w:eastAsia="仿宋_GB2312"/>
          <w:b w:val="0"/>
          <w:sz w:val="32"/>
        </w:rPr>
        <w:t>10.住房保障支出(类)住房改革支出(款)住房公积金(项):支出决算数为72.09万元，比上年决算增加72.09万元，增长100.00%,主要原因是：本年功能科目调整，住房公积金上年度在主科目列支，本年单独列支，导致经费较上年增加。</w:t>
      </w:r>
    </w:p>
    <w:p w14:paraId="06368843">
      <w:pPr>
        <w:spacing w:line="580" w:lineRule="exact"/>
        <w:ind w:firstLine="640"/>
        <w:jc w:val="both"/>
      </w:pPr>
      <w:r>
        <w:rPr>
          <w:rFonts w:ascii="仿宋_GB2312" w:hAnsi="仿宋_GB2312" w:eastAsia="仿宋_GB2312"/>
          <w:b w:val="0"/>
          <w:sz w:val="32"/>
        </w:rPr>
        <w:t>11.其他支出(类)其他支出(款)其他支出(项):支出决算数为25.89万元，比上年决算减少17.39万元，下降40.18%,主要原因是：本年为民办实事经费较上年减少，导致经费较上年减少。</w:t>
      </w:r>
    </w:p>
    <w:p w14:paraId="4F2D815D">
      <w:pPr>
        <w:spacing w:line="640" w:lineRule="exact"/>
        <w:ind w:firstLine="640"/>
        <w:jc w:val="both"/>
        <w:outlineLvl w:val="2"/>
      </w:pPr>
      <w:r>
        <w:rPr>
          <w:rFonts w:ascii="黑体" w:hAnsi="黑体" w:eastAsia="黑体"/>
          <w:sz w:val="32"/>
        </w:rPr>
        <w:t>六、一般公共预算财政拨款基本支出决算情况说明</w:t>
      </w:r>
    </w:p>
    <w:p w14:paraId="0E8A6F0B">
      <w:pPr>
        <w:spacing w:line="580" w:lineRule="exact"/>
        <w:ind w:firstLine="640"/>
        <w:jc w:val="both"/>
      </w:pPr>
      <w:r>
        <w:rPr>
          <w:rFonts w:ascii="仿宋_GB2312" w:hAnsi="仿宋_GB2312" w:eastAsia="仿宋_GB2312"/>
          <w:b w:val="0"/>
          <w:sz w:val="32"/>
        </w:rPr>
        <w:t>2024年度一般公共预算财政拨款基本支出1,090.89万元，其中：</w:t>
      </w:r>
      <w:r>
        <w:rPr>
          <w:rFonts w:ascii="仿宋_GB2312" w:hAnsi="仿宋_GB2312" w:eastAsia="仿宋_GB2312"/>
          <w:b w:val="0"/>
          <w:bCs/>
          <w:sz w:val="32"/>
        </w:rPr>
        <w:t>人员经费1,045.75万元，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包括：基本工资、津贴补贴、奖金、机关事业单位基本养老保险缴费、职业年金缴费、职工基本医疗保险缴费、其他社会保障缴费、住房公积金、退休费、抚恤金、生活补助、奖励金。</w:t>
      </w:r>
    </w:p>
    <w:p w14:paraId="0106171C">
      <w:pPr>
        <w:spacing w:line="580" w:lineRule="exact"/>
        <w:ind w:firstLine="640"/>
        <w:jc w:val="both"/>
      </w:pPr>
      <w:r>
        <w:rPr>
          <w:rFonts w:ascii="仿宋_GB2312" w:hAnsi="仿宋_GB2312" w:eastAsia="仿宋_GB2312"/>
          <w:b/>
          <w:sz w:val="32"/>
        </w:rPr>
        <w:t>公用经费45.14万元，</w:t>
      </w:r>
      <w:r>
        <w:rPr>
          <w:rFonts w:ascii="仿宋_GB2312" w:hAnsi="仿宋_GB2312" w:eastAsia="仿宋_GB2312"/>
          <w:b w:val="0"/>
          <w:sz w:val="32"/>
        </w:rPr>
        <w:t>包括：办公费、水费、电费、取暖费、差旅费、工会经费、福利费、公务用车运行维护费、其他商品和服务支出。</w:t>
      </w:r>
    </w:p>
    <w:p w14:paraId="3DF958C7">
      <w:pPr>
        <w:spacing w:line="640" w:lineRule="exact"/>
        <w:ind w:firstLine="640"/>
        <w:jc w:val="both"/>
        <w:outlineLvl w:val="2"/>
      </w:pPr>
      <w:r>
        <w:rPr>
          <w:rFonts w:ascii="黑体" w:hAnsi="黑体" w:eastAsia="黑体"/>
          <w:sz w:val="32"/>
        </w:rPr>
        <w:t>七、政府性基金预算财政拨款收入支出决算情况说明</w:t>
      </w:r>
    </w:p>
    <w:p w14:paraId="2CD7565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AA5A7AB">
      <w:pPr>
        <w:spacing w:line="640" w:lineRule="exact"/>
        <w:ind w:firstLine="640"/>
        <w:jc w:val="both"/>
        <w:outlineLvl w:val="2"/>
      </w:pPr>
      <w:r>
        <w:rPr>
          <w:rFonts w:ascii="黑体" w:hAnsi="黑体" w:eastAsia="黑体"/>
          <w:sz w:val="32"/>
        </w:rPr>
        <w:t>八、国有资本经营预算财政拨款收入支出决算情况说明</w:t>
      </w:r>
    </w:p>
    <w:p w14:paraId="461A29F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661948C">
      <w:pPr>
        <w:spacing w:line="640" w:lineRule="exact"/>
        <w:ind w:firstLine="640"/>
        <w:jc w:val="both"/>
        <w:outlineLvl w:val="2"/>
      </w:pPr>
      <w:r>
        <w:rPr>
          <w:rFonts w:ascii="黑体" w:hAnsi="黑体" w:eastAsia="黑体"/>
          <w:sz w:val="32"/>
        </w:rPr>
        <w:t>九、财政拨款“三公”经费支出决算情况说明</w:t>
      </w:r>
    </w:p>
    <w:p w14:paraId="43C4280C">
      <w:pPr>
        <w:spacing w:line="580" w:lineRule="exact"/>
        <w:ind w:firstLine="640"/>
        <w:jc w:val="both"/>
      </w:pPr>
      <w:r>
        <w:rPr>
          <w:rFonts w:ascii="仿宋_GB2312" w:hAnsi="仿宋_GB2312" w:eastAsia="仿宋_GB2312"/>
          <w:b/>
          <w:sz w:val="32"/>
        </w:rPr>
        <w:t>2024年度财政拨款“三公”经费支出3.00万元，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3.00万元，占100.00%，比上年增加0.00万元，增长0.00%，主要原因是：本单位公务用车运行维护费与上年一致无变化。公务接待费支出0.00万元，占0.00%，比上年增加0.00万元，增长0.00%，主要原因是：2023年与2024年均未安排公务接待费支出。</w:t>
      </w:r>
    </w:p>
    <w:p w14:paraId="277ADCB5">
      <w:pPr>
        <w:spacing w:line="580" w:lineRule="exact"/>
        <w:ind w:firstLine="640"/>
        <w:jc w:val="both"/>
      </w:pPr>
      <w:r>
        <w:rPr>
          <w:rFonts w:ascii="仿宋_GB2312" w:hAnsi="仿宋_GB2312" w:eastAsia="仿宋_GB2312"/>
          <w:b/>
          <w:sz w:val="32"/>
        </w:rPr>
        <w:t>具体情况如下：</w:t>
      </w:r>
    </w:p>
    <w:p w14:paraId="55FB76A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C5B7DFE">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审车费等。公务用车购置数0辆，公务用车保有量2辆。国有资产占用情况中固定资产车辆2辆，与公务用车保有量差异原因是：本单位固定资产车辆与公务用车保有量一致无差异。</w:t>
      </w:r>
    </w:p>
    <w:p w14:paraId="110835A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F25B3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14:paraId="141291DC">
      <w:pPr>
        <w:spacing w:line="640" w:lineRule="exact"/>
        <w:ind w:firstLine="640"/>
        <w:jc w:val="both"/>
        <w:outlineLvl w:val="2"/>
      </w:pPr>
      <w:r>
        <w:rPr>
          <w:rFonts w:ascii="黑体" w:hAnsi="黑体" w:eastAsia="黑体"/>
          <w:sz w:val="32"/>
        </w:rPr>
        <w:t>十、其他重要事项的情况说明</w:t>
      </w:r>
    </w:p>
    <w:p w14:paraId="144370C4">
      <w:pPr>
        <w:spacing w:line="640" w:lineRule="exact"/>
        <w:ind w:firstLine="640"/>
        <w:jc w:val="both"/>
        <w:outlineLvl w:val="3"/>
      </w:pPr>
      <w:r>
        <w:rPr>
          <w:rFonts w:ascii="楷体_GB2312" w:hAnsi="楷体_GB2312" w:eastAsia="楷体_GB2312"/>
          <w:b/>
          <w:sz w:val="32"/>
        </w:rPr>
        <w:t>（一）机关运行经费及公用经费支出情况</w:t>
      </w:r>
    </w:p>
    <w:p w14:paraId="07AC3EF1">
      <w:pPr>
        <w:spacing w:line="580" w:lineRule="exact"/>
        <w:ind w:firstLine="640"/>
        <w:jc w:val="both"/>
      </w:pPr>
      <w:r>
        <w:rPr>
          <w:rFonts w:ascii="仿宋_GB2312" w:hAnsi="仿宋_GB2312" w:eastAsia="仿宋_GB2312"/>
          <w:b w:val="0"/>
          <w:sz w:val="32"/>
        </w:rPr>
        <w:t>2024年度和田地区农业技术推广中心（事业单位）公用经费支出45.14万元，比上年增加6.20万元，增长15.92%，主要原因是：本年增加办公楼修缮费，补充办公用品，办公费增加，导致公用经费较上年增加。</w:t>
      </w:r>
    </w:p>
    <w:p w14:paraId="3A40FCC5">
      <w:pPr>
        <w:spacing w:line="640" w:lineRule="exact"/>
        <w:ind w:firstLine="640"/>
        <w:jc w:val="both"/>
        <w:outlineLvl w:val="3"/>
      </w:pPr>
      <w:r>
        <w:rPr>
          <w:rFonts w:ascii="楷体_GB2312" w:hAnsi="楷体_GB2312" w:eastAsia="楷体_GB2312"/>
          <w:b/>
          <w:sz w:val="32"/>
        </w:rPr>
        <w:t>（二）政府采购情况</w:t>
      </w:r>
    </w:p>
    <w:p w14:paraId="60A1C971">
      <w:pPr>
        <w:spacing w:line="580" w:lineRule="exact"/>
        <w:ind w:firstLine="640"/>
        <w:jc w:val="both"/>
      </w:pPr>
      <w:r>
        <w:rPr>
          <w:rFonts w:ascii="仿宋_GB2312" w:hAnsi="仿宋_GB2312" w:eastAsia="仿宋_GB2312"/>
          <w:b w:val="0"/>
          <w:sz w:val="32"/>
        </w:rPr>
        <w:t>2024年度政府采购支出总额5.66万元，其中：政府采购货物支出3.37万元、政府采购工程支出0.00万元、政府采购服务支出2.29万元。</w:t>
      </w:r>
    </w:p>
    <w:p w14:paraId="00BA1C00">
      <w:pPr>
        <w:spacing w:line="580" w:lineRule="exact"/>
        <w:ind w:firstLine="640"/>
        <w:jc w:val="both"/>
      </w:pPr>
      <w:r>
        <w:rPr>
          <w:rFonts w:ascii="仿宋_GB2312" w:hAnsi="仿宋_GB2312" w:eastAsia="仿宋_GB2312"/>
          <w:b w:val="0"/>
          <w:sz w:val="32"/>
        </w:rPr>
        <w:t>授予中小企业合同金额5.66万元，占政府采购支出总额的100.00%，其中：授予小微企业合同金额4.61万元，占政府采购支出总额的81.45%。</w:t>
      </w:r>
    </w:p>
    <w:p w14:paraId="0B228856">
      <w:pPr>
        <w:spacing w:line="640" w:lineRule="exact"/>
        <w:ind w:firstLine="640"/>
        <w:jc w:val="both"/>
        <w:outlineLvl w:val="3"/>
      </w:pPr>
      <w:r>
        <w:rPr>
          <w:rFonts w:ascii="楷体_GB2312" w:hAnsi="楷体_GB2312" w:eastAsia="楷体_GB2312"/>
          <w:b/>
          <w:sz w:val="32"/>
        </w:rPr>
        <w:t>（三）国有资产占用情况说明</w:t>
      </w:r>
    </w:p>
    <w:p w14:paraId="6B4EA6B8">
      <w:pPr>
        <w:spacing w:line="580" w:lineRule="exact"/>
        <w:ind w:firstLine="640"/>
        <w:jc w:val="both"/>
      </w:pPr>
      <w:r>
        <w:rPr>
          <w:rFonts w:ascii="仿宋_GB2312" w:hAnsi="仿宋_GB2312" w:eastAsia="仿宋_GB2312"/>
          <w:b w:val="0"/>
          <w:sz w:val="32"/>
        </w:rPr>
        <w:t>截至2024年12月31日，房屋2,399.84平方米，价值67.89万元。车辆2辆，价值32.68万元，其中：副部（省）级及以上领导用车0辆、主要负责人用车0辆、机要通信用车0辆、应急保障用车0辆、执法执勤用车0辆、特种专业技术用车0辆、离退休干部服务用车0辆、其他用车2辆，其他用车主要是：下乡指导农业技术服务、调研调查等工作用车。单价100万元（含）以上设备（不含车辆）0台（套）。</w:t>
      </w:r>
    </w:p>
    <w:p w14:paraId="4C271A27">
      <w:pPr>
        <w:spacing w:line="640" w:lineRule="exact"/>
        <w:ind w:firstLine="640"/>
        <w:jc w:val="both"/>
        <w:outlineLvl w:val="2"/>
      </w:pPr>
      <w:r>
        <w:rPr>
          <w:rFonts w:ascii="黑体" w:hAnsi="黑体" w:eastAsia="黑体"/>
          <w:sz w:val="32"/>
        </w:rPr>
        <w:t>十一、预算绩效的情况说明</w:t>
      </w:r>
    </w:p>
    <w:p w14:paraId="03E5D67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1,222.11万元，实际执行总额1,222.11万元；预算绩效评价项目4个，全年预算数96.86万元，全年执行数94.01万元。预算绩效管理取得的成效：本单位2024年度部门整体支出绩效目标，围绕部门职能、中长期规划、年度工作计划、重点工作任务及要求，确定年度部门整体支出的绩效目标，按照确定的部门职责履行情况、部门运行有效情况及部门职能设置具体的指标。拟通过绩效评价分析部门整体支出对单位基本运转及单位职能履职的保障作用，总结经验做法，找出资金使用和管理中的薄弱环节，进一步加强预算管理，提高财政资金使用效益，为部门科学决策、规范管理提供参考。发现的问题及原因：一是由于本单位干部紧缺，存在一人兼职多项工作，有时对项目监管不够到位、费用拨付不及时。二是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下一步改进措施：一是提升专项资金管理人员的素质。专项资金使用部门要学习法律法规，提高政策理论水平，做到依法理财，规范管理，加强会计队伍建设，积极开展思想政治、法律法规、业务知识等专题学习活动，另外为保证项目资金安全使用，不定期组织相关项目单位主要负责人和财会人员的培训和教育，提高其专业水平、职业德</w:t>
      </w:r>
      <w:r>
        <w:rPr>
          <w:rFonts w:hint="eastAsia" w:ascii="仿宋_GB2312" w:hAnsi="仿宋_GB2312" w:eastAsia="仿宋_GB2312"/>
          <w:b w:val="0"/>
          <w:sz w:val="32"/>
          <w:lang w:eastAsia="zh-CN"/>
        </w:rPr>
        <w:t>水</w:t>
      </w:r>
      <w:r>
        <w:rPr>
          <w:rFonts w:ascii="仿宋_GB2312" w:hAnsi="仿宋_GB2312" w:eastAsia="仿宋_GB2312"/>
          <w:b w:val="0"/>
          <w:sz w:val="32"/>
        </w:rPr>
        <w:t>和整体素质。二是扎实推进档案规范化建设，提升档案管理水平。三是进一步完善项目评价资料。项目启动时同步做好档案的归纳与整理，及时整理、收集、汇总，健全档案资料。四是严格落实</w:t>
      </w:r>
      <w:r>
        <w:rPr>
          <w:rFonts w:hint="eastAsia" w:ascii="仿宋_GB2312" w:hAnsi="仿宋_GB2312" w:eastAsia="仿宋_GB2312"/>
          <w:b w:val="0"/>
          <w:sz w:val="32"/>
          <w:lang w:eastAsia="zh-CN"/>
        </w:rPr>
        <w:t>和田</w:t>
      </w:r>
      <w:r>
        <w:rPr>
          <w:rFonts w:ascii="仿宋_GB2312" w:hAnsi="仿宋_GB2312" w:eastAsia="仿宋_GB2312"/>
          <w:b w:val="0"/>
          <w:sz w:val="32"/>
        </w:rPr>
        <w:t>地区关于绩效管理工作档案资料归档的相关要求，强化收集力度，确保归档资料的完整齐全。具体附整体支出绩效自评表，项目支出绩效自评表和评价报告。</w:t>
      </w:r>
    </w:p>
    <w:p w14:paraId="572EE87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16"/>
        <w:gridCol w:w="867"/>
        <w:gridCol w:w="983"/>
        <w:gridCol w:w="983"/>
        <w:gridCol w:w="983"/>
        <w:gridCol w:w="983"/>
        <w:gridCol w:w="983"/>
      </w:tblGrid>
      <w:tr w14:paraId="31909F5E">
        <w:tblPrEx>
          <w:tblCellMar>
            <w:top w:w="0" w:type="dxa"/>
            <w:left w:w="108" w:type="dxa"/>
            <w:bottom w:w="0" w:type="dxa"/>
            <w:right w:w="108" w:type="dxa"/>
          </w:tblCellMar>
        </w:tblPrEx>
        <w:tc>
          <w:tcPr>
            <w:tcW w:w="8847" w:type="dxa"/>
            <w:gridSpan w:val="10"/>
            <w:vAlign w:val="center"/>
          </w:tcPr>
          <w:p w14:paraId="5B1E86A8">
            <w:pPr>
              <w:jc w:val="center"/>
            </w:pPr>
            <w:r>
              <w:rPr>
                <w:rFonts w:ascii="宋体" w:hAnsi="宋体" w:eastAsia="宋体"/>
                <w:sz w:val="24"/>
              </w:rPr>
              <w:t>单位整体支出绩效自评表</w:t>
            </w:r>
          </w:p>
        </w:tc>
      </w:tr>
      <w:tr w14:paraId="592FE782">
        <w:tblPrEx>
          <w:tblCellMar>
            <w:top w:w="0" w:type="dxa"/>
            <w:left w:w="108" w:type="dxa"/>
            <w:bottom w:w="0" w:type="dxa"/>
            <w:right w:w="108" w:type="dxa"/>
          </w:tblCellMar>
        </w:tblPrEx>
        <w:tc>
          <w:tcPr>
            <w:tcW w:w="8847" w:type="dxa"/>
            <w:gridSpan w:val="10"/>
            <w:vAlign w:val="center"/>
          </w:tcPr>
          <w:p w14:paraId="14F5C4F4">
            <w:pPr>
              <w:jc w:val="center"/>
            </w:pPr>
            <w:r>
              <w:rPr>
                <w:rFonts w:ascii="宋体" w:hAnsi="宋体" w:eastAsia="宋体"/>
                <w:sz w:val="24"/>
              </w:rPr>
              <w:t>（2024年度）</w:t>
            </w:r>
          </w:p>
        </w:tc>
      </w:tr>
      <w:tr w14:paraId="679D5E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659A3">
            <w:pPr>
              <w:jc w:val="center"/>
            </w:pPr>
            <w:r>
              <w:rPr>
                <w:rFonts w:ascii="宋体" w:hAnsi="宋体" w:eastAsia="宋体"/>
                <w:sz w:val="16"/>
              </w:rPr>
              <w:t>单位名称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776CD25">
            <w:pPr>
              <w:jc w:val="center"/>
            </w:pPr>
            <w:r>
              <w:rPr>
                <w:rFonts w:ascii="宋体" w:hAnsi="宋体" w:eastAsia="宋体"/>
                <w:sz w:val="16"/>
              </w:rPr>
              <w:t>和田地区农业技术推广中心</w:t>
            </w:r>
          </w:p>
        </w:tc>
      </w:tr>
      <w:tr w14:paraId="22AD13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9C0B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790F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1131A">
            <w:pPr>
              <w:jc w:val="center"/>
            </w:pPr>
            <w:r>
              <w:rPr>
                <w:rFonts w:ascii="宋体" w:hAnsi="宋体" w:eastAsia="宋体"/>
                <w:sz w:val="16"/>
              </w:rPr>
              <w:t>年初预算数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82CA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8BC4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F5BD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4955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1F7F1">
            <w:pPr>
              <w:jc w:val="center"/>
            </w:pPr>
            <w:r>
              <w:rPr>
                <w:rFonts w:ascii="宋体" w:hAnsi="宋体" w:eastAsia="宋体"/>
                <w:sz w:val="16"/>
              </w:rPr>
              <w:t>得分</w:t>
            </w:r>
          </w:p>
        </w:tc>
      </w:tr>
      <w:tr w14:paraId="7E682F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1CAD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46CE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6320A">
            <w:pPr>
              <w:jc w:val="center"/>
            </w:pPr>
            <w:r>
              <w:rPr>
                <w:rFonts w:ascii="宋体" w:hAnsi="宋体" w:eastAsia="宋体"/>
                <w:sz w:val="16"/>
              </w:rPr>
              <w:t>1,184.45</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5423D">
            <w:pPr>
              <w:jc w:val="center"/>
            </w:pPr>
            <w:r>
              <w:rPr>
                <w:rFonts w:ascii="宋体" w:hAnsi="宋体" w:eastAsia="宋体"/>
                <w:sz w:val="16"/>
              </w:rPr>
              <w:t>1,222.11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25A59">
            <w:pPr>
              <w:jc w:val="center"/>
            </w:pPr>
            <w:r>
              <w:rPr>
                <w:rFonts w:ascii="宋体" w:hAnsi="宋体" w:eastAsia="宋体"/>
                <w:sz w:val="16"/>
              </w:rPr>
              <w:t>1,222.11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0E5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050BC">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092D1">
            <w:pPr>
              <w:jc w:val="center"/>
            </w:pPr>
            <w:r>
              <w:rPr>
                <w:rFonts w:ascii="宋体" w:hAnsi="宋体" w:eastAsia="宋体"/>
                <w:sz w:val="16"/>
              </w:rPr>
              <w:t>10</w:t>
            </w:r>
          </w:p>
        </w:tc>
      </w:tr>
      <w:tr w14:paraId="54D792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BF9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C848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6F7BF">
            <w:pPr>
              <w:jc w:val="center"/>
            </w:pPr>
            <w:r>
              <w:rPr>
                <w:rFonts w:ascii="宋体" w:hAnsi="宋体" w:eastAsia="宋体"/>
                <w:sz w:val="16"/>
              </w:rPr>
              <w:t>70.86</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61656">
            <w:pPr>
              <w:jc w:val="center"/>
            </w:pPr>
            <w:r>
              <w:rPr>
                <w:rFonts w:ascii="宋体" w:hAnsi="宋体" w:eastAsia="宋体"/>
                <w:sz w:val="16"/>
              </w:rPr>
              <w:t>69.02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8D835">
            <w:pPr>
              <w:jc w:val="center"/>
            </w:pPr>
            <w:r>
              <w:rPr>
                <w:rFonts w:ascii="宋体" w:hAnsi="宋体" w:eastAsia="宋体"/>
                <w:sz w:val="16"/>
              </w:rPr>
              <w:t>69.02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F4B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6938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0BF13">
            <w:pPr>
              <w:jc w:val="center"/>
            </w:pPr>
            <w:r>
              <w:rPr>
                <w:rFonts w:ascii="宋体" w:hAnsi="宋体" w:eastAsia="宋体"/>
                <w:sz w:val="16"/>
              </w:rPr>
              <w:t>—</w:t>
            </w:r>
          </w:p>
        </w:tc>
      </w:tr>
      <w:tr w14:paraId="1633E6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261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0BAB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D1399">
            <w:pPr>
              <w:jc w:val="center"/>
            </w:pPr>
            <w:r>
              <w:rPr>
                <w:rFonts w:ascii="宋体" w:hAnsi="宋体" w:eastAsia="宋体"/>
                <w:sz w:val="16"/>
              </w:rPr>
              <w:t>1,050.54</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5B6A4">
            <w:pPr>
              <w:jc w:val="center"/>
            </w:pPr>
            <w:r>
              <w:rPr>
                <w:rFonts w:ascii="宋体" w:hAnsi="宋体" w:eastAsia="宋体"/>
                <w:sz w:val="16"/>
              </w:rPr>
              <w:t>1,115.89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D8B12">
            <w:pPr>
              <w:jc w:val="center"/>
            </w:pPr>
            <w:r>
              <w:rPr>
                <w:rFonts w:ascii="宋体" w:hAnsi="宋体" w:eastAsia="宋体"/>
                <w:sz w:val="16"/>
              </w:rPr>
              <w:t>1,115.89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EE6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930D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599DE">
            <w:pPr>
              <w:jc w:val="center"/>
            </w:pPr>
            <w:r>
              <w:rPr>
                <w:rFonts w:ascii="宋体" w:hAnsi="宋体" w:eastAsia="宋体"/>
                <w:sz w:val="16"/>
              </w:rPr>
              <w:t>—</w:t>
            </w:r>
          </w:p>
        </w:tc>
      </w:tr>
      <w:tr w14:paraId="37AFA3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4BD5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833E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44809">
            <w:pPr>
              <w:jc w:val="center"/>
            </w:pPr>
            <w:r>
              <w:rPr>
                <w:rFonts w:ascii="宋体" w:hAnsi="宋体" w:eastAsia="宋体"/>
                <w:sz w:val="16"/>
              </w:rPr>
              <w:t>63.05</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A9A2D">
            <w:pPr>
              <w:jc w:val="center"/>
            </w:pPr>
            <w:r>
              <w:rPr>
                <w:rFonts w:ascii="宋体" w:hAnsi="宋体" w:eastAsia="宋体"/>
                <w:sz w:val="16"/>
              </w:rPr>
              <w:t>37.20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DCB0F">
            <w:pPr>
              <w:jc w:val="center"/>
            </w:pPr>
            <w:r>
              <w:rPr>
                <w:rFonts w:ascii="宋体" w:hAnsi="宋体" w:eastAsia="宋体"/>
                <w:sz w:val="16"/>
              </w:rPr>
              <w:t>37.20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0D2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0FEC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F638F">
            <w:pPr>
              <w:jc w:val="center"/>
            </w:pPr>
            <w:r>
              <w:rPr>
                <w:rFonts w:ascii="宋体" w:hAnsi="宋体" w:eastAsia="宋体"/>
                <w:sz w:val="16"/>
              </w:rPr>
              <w:t>—</w:t>
            </w:r>
          </w:p>
        </w:tc>
      </w:tr>
      <w:tr w14:paraId="7D9A3D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5CBDD">
            <w:pPr>
              <w:jc w:val="center"/>
            </w:pPr>
            <w:r>
              <w:rPr>
                <w:rFonts w:ascii="宋体" w:hAnsi="宋体" w:eastAsia="宋体"/>
                <w:sz w:val="16"/>
              </w:rPr>
              <w:t>年度总体目标</w:t>
            </w:r>
          </w:p>
        </w:tc>
        <w:tc>
          <w:tcPr>
            <w:tcW w:w="294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BA407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8D6AF0">
            <w:pPr>
              <w:jc w:val="center"/>
            </w:pPr>
            <w:r>
              <w:rPr>
                <w:rFonts w:ascii="宋体" w:hAnsi="宋体" w:eastAsia="宋体"/>
                <w:sz w:val="16"/>
              </w:rPr>
              <w:t>实际完成目标</w:t>
            </w:r>
          </w:p>
        </w:tc>
      </w:tr>
      <w:tr w14:paraId="31436B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0FA24"/>
        </w:tc>
        <w:tc>
          <w:tcPr>
            <w:tcW w:w="294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4AE437">
            <w:pPr>
              <w:jc w:val="both"/>
            </w:pPr>
            <w:r>
              <w:rPr>
                <w:rFonts w:ascii="宋体" w:hAnsi="宋体" w:eastAsia="宋体"/>
                <w:sz w:val="16"/>
              </w:rPr>
              <w:t>目标1：确保单位在职及退休职工工资福利及单位正常运转达到1001.94万元；保障公用经费达到48.33万元；保障年初预算项目达到55万元；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目标2：新品种新技术新模式试验示范</w:t>
            </w:r>
            <w:r>
              <w:rPr>
                <w:rFonts w:hint="eastAsia" w:ascii="宋体" w:hAnsi="宋体"/>
                <w:sz w:val="16"/>
                <w:lang w:eastAsia="zh-CN"/>
              </w:rPr>
              <w:t>。</w:t>
            </w:r>
            <w:r>
              <w:rPr>
                <w:rFonts w:ascii="宋体" w:hAnsi="宋体" w:eastAsia="宋体"/>
                <w:sz w:val="16"/>
              </w:rPr>
              <w:t>完成3-5项粮食作物新品种新技术试验研究。2.引进试种瓜蒌、色素辣椒特色作物开展试验观察试验。3.开展花生、大豆等油料作物品种比较试验研究,筛选出适于本地区种植的优良高产品种。4.继续针对新开荒地种植冬小麦开展保水保肥试验研究。5.针对设施温室土壤障碍开展药剂防效试验。6.开展芦笋等小众蔬菜试种试验。每项试验完成并上报试验报告得3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目标3：公益植保,做好主要农作物病虫害监测预报，每月发布预测预报至少1期，一年不少于15期</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目标4：测土配方施肥、督促各县市完成了按国家级自治区级监测标准做好本级4个长期定位监测点调查及土壤取样送检工作，按时按要求取样送检。指导各县市做好其他各监测点的监测数据。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目标5：技术指导服务与调研在生产关键农时开展调研及技术指导，解决生产中的解决各类问题，上报调研报告，为地区领导安排农业生产工作提供参考依据。每季度不少于1篇调研报告，每年不少于4篇；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6：技术培训与宣传推广,通过室内授课、现场指导、技术研讨会等各种形式对地县乡技术人员及种植户开展技术培训，提升县乡技术人员服务水平及种植户种植技术。每年培训技术人员不少于200人次，农民及种植户2000人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849C30">
            <w:pPr>
              <w:jc w:val="both"/>
            </w:pPr>
            <w:r>
              <w:rPr>
                <w:rFonts w:hint="eastAsia" w:ascii="宋体" w:hAnsi="宋体"/>
                <w:sz w:val="16"/>
                <w:lang w:eastAsia="zh-CN"/>
              </w:rPr>
              <w:t>截至2024</w:t>
            </w:r>
            <w:r>
              <w:rPr>
                <w:rFonts w:ascii="宋体" w:hAnsi="宋体" w:eastAsia="宋体"/>
                <w:sz w:val="16"/>
              </w:rPr>
              <w:t>年12月31日，本单位实际支出1222.12万元，实际完成为保证粮食安全提供技术支撑4次；新品种新技术新模式试验示范5项；主要农作物病虫害监测预警15次；督促各县市完成了自治区化肥减量增效测土配方施肥任务4个；技术培训与宣传普及推广232人次，培训农民及种植户5501人次，通过完成以上工作，提高了对县乡村各级技术人员、种植大户、农牧民，提高基层技术人员解决实际问题的能力和水平，提升了农牧民科学种植的意识和管理技术，通过完成以上工作，实现了提升县乡技术人员服务水平及种植户种植技术的效益。</w:t>
            </w:r>
          </w:p>
        </w:tc>
      </w:tr>
      <w:tr w14:paraId="4B018F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4007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1C2A7">
            <w:pPr>
              <w:jc w:val="center"/>
            </w:pPr>
            <w:r>
              <w:rPr>
                <w:rFonts w:ascii="宋体" w:hAnsi="宋体" w:eastAsia="宋体"/>
                <w:sz w:val="16"/>
              </w:rPr>
              <w:t>二级指标</w:t>
            </w:r>
          </w:p>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2DCCE">
            <w:pPr>
              <w:jc w:val="center"/>
            </w:pPr>
            <w:r>
              <w:rPr>
                <w:rFonts w:ascii="宋体" w:hAnsi="宋体" w:eastAsia="宋体"/>
                <w:sz w:val="16"/>
              </w:rPr>
              <w:t>三级指标</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06BC73C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7E71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35BD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711F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F753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612BB">
            <w:pPr>
              <w:jc w:val="center"/>
            </w:pPr>
            <w:r>
              <w:rPr>
                <w:rFonts w:ascii="宋体" w:hAnsi="宋体" w:eastAsia="宋体"/>
                <w:sz w:val="16"/>
              </w:rPr>
              <w:t>得分</w:t>
            </w:r>
          </w:p>
        </w:tc>
      </w:tr>
      <w:tr w14:paraId="30D7F9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7F6B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B0A9D">
            <w:pPr>
              <w:jc w:val="center"/>
            </w:pPr>
            <w:r>
              <w:rPr>
                <w:rFonts w:ascii="宋体" w:hAnsi="宋体" w:eastAsia="宋体"/>
                <w:sz w:val="16"/>
              </w:rPr>
              <w:t>数量指标</w:t>
            </w:r>
          </w:p>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E1FEE">
            <w:pPr>
              <w:jc w:val="center"/>
            </w:pPr>
            <w:r>
              <w:rPr>
                <w:rFonts w:ascii="宋体" w:hAnsi="宋体" w:eastAsia="宋体"/>
                <w:sz w:val="16"/>
              </w:rPr>
              <w:t>新品种新技术新模式试验示范</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1E17053C">
            <w:pPr>
              <w:jc w:val="center"/>
            </w:pPr>
            <w:r>
              <w:rPr>
                <w:rFonts w:ascii="宋体" w:hAnsi="宋体" w:eastAsia="宋体"/>
                <w:sz w:val="16"/>
              </w:rPr>
              <w: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26435">
            <w:pPr>
              <w:jc w:val="center"/>
            </w:pPr>
            <w:r>
              <w:rPr>
                <w:rFonts w:ascii="宋体" w:hAnsi="宋体" w:eastAsia="宋体"/>
                <w:sz w:val="16"/>
              </w:rPr>
              <w:t>2024年度绩效业务指标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7079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FD8EA">
            <w:pPr>
              <w:jc w:val="center"/>
            </w:pPr>
            <w:r>
              <w:rPr>
                <w:rFonts w:ascii="宋体" w:hAnsi="宋体" w:eastAsia="宋体"/>
                <w:sz w:val="16"/>
              </w:rPr>
              <w: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D30C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335CA">
            <w:pPr>
              <w:jc w:val="center"/>
            </w:pPr>
            <w:r>
              <w:rPr>
                <w:rFonts w:ascii="宋体" w:hAnsi="宋体" w:eastAsia="宋体"/>
                <w:sz w:val="16"/>
              </w:rPr>
              <w:t>15</w:t>
            </w:r>
          </w:p>
        </w:tc>
      </w:tr>
      <w:tr w14:paraId="3C9074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E22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01597"/>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84C64">
            <w:pPr>
              <w:jc w:val="center"/>
            </w:pPr>
            <w:r>
              <w:rPr>
                <w:rFonts w:ascii="宋体" w:hAnsi="宋体" w:eastAsia="宋体"/>
                <w:sz w:val="16"/>
              </w:rPr>
              <w:t>主要农作物病虫害监测预报</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560692CC">
            <w:pPr>
              <w:jc w:val="center"/>
            </w:pPr>
            <w:r>
              <w:rPr>
                <w:rFonts w:ascii="宋体" w:hAnsi="宋体" w:eastAsia="宋体"/>
                <w:sz w:val="16"/>
              </w:rPr>
              <w:t>≥15期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DBCC3">
            <w:pPr>
              <w:jc w:val="center"/>
            </w:pPr>
            <w:r>
              <w:rPr>
                <w:rFonts w:ascii="宋体" w:hAnsi="宋体" w:eastAsia="宋体"/>
                <w:sz w:val="16"/>
              </w:rPr>
              <w:t>2024年度绩效业务指标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6330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6411D">
            <w:pPr>
              <w:jc w:val="center"/>
            </w:pPr>
            <w:r>
              <w:rPr>
                <w:rFonts w:ascii="宋体" w:hAnsi="宋体" w:eastAsia="宋体"/>
                <w:sz w:val="16"/>
              </w:rPr>
              <w:t>15期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AD78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6D71C">
            <w:pPr>
              <w:jc w:val="center"/>
            </w:pPr>
            <w:r>
              <w:rPr>
                <w:rFonts w:ascii="宋体" w:hAnsi="宋体" w:eastAsia="宋体"/>
                <w:sz w:val="16"/>
              </w:rPr>
              <w:t>15</w:t>
            </w:r>
          </w:p>
        </w:tc>
      </w:tr>
      <w:tr w14:paraId="45B6A9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26D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1758C"/>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67390">
            <w:pPr>
              <w:jc w:val="center"/>
            </w:pPr>
            <w:r>
              <w:rPr>
                <w:rFonts w:ascii="宋体" w:hAnsi="宋体" w:eastAsia="宋体"/>
                <w:sz w:val="16"/>
              </w:rPr>
              <w:t>测土配方施肥</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07CDD179">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9D3C2">
            <w:pPr>
              <w:jc w:val="center"/>
            </w:pPr>
            <w:r>
              <w:rPr>
                <w:rFonts w:ascii="宋体" w:hAnsi="宋体" w:eastAsia="宋体"/>
                <w:sz w:val="16"/>
              </w:rPr>
              <w:t>2024年度绩效业务指标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DEE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4D264">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D567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D0E62">
            <w:pPr>
              <w:jc w:val="center"/>
            </w:pPr>
            <w:r>
              <w:rPr>
                <w:rFonts w:ascii="宋体" w:hAnsi="宋体" w:eastAsia="宋体"/>
                <w:sz w:val="16"/>
              </w:rPr>
              <w:t>10</w:t>
            </w:r>
          </w:p>
        </w:tc>
      </w:tr>
      <w:tr w14:paraId="241A19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A49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E03C5"/>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31A35">
            <w:pPr>
              <w:jc w:val="center"/>
            </w:pPr>
            <w:r>
              <w:rPr>
                <w:rFonts w:ascii="宋体" w:hAnsi="宋体" w:eastAsia="宋体"/>
                <w:sz w:val="16"/>
              </w:rPr>
              <w:t>技术指导服务与调研</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56BD4246">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AA2E5">
            <w:pPr>
              <w:jc w:val="center"/>
            </w:pPr>
            <w:r>
              <w:rPr>
                <w:rFonts w:ascii="宋体" w:hAnsi="宋体" w:eastAsia="宋体"/>
                <w:sz w:val="16"/>
              </w:rPr>
              <w:t>2024年度绩效业务指标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8AA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52C4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38E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EAF3D">
            <w:pPr>
              <w:jc w:val="center"/>
            </w:pPr>
            <w:r>
              <w:rPr>
                <w:rFonts w:ascii="宋体" w:hAnsi="宋体" w:eastAsia="宋体"/>
                <w:sz w:val="16"/>
              </w:rPr>
              <w:t>10</w:t>
            </w:r>
          </w:p>
        </w:tc>
      </w:tr>
      <w:tr w14:paraId="49C326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889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45B04"/>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B99F0">
            <w:pPr>
              <w:jc w:val="center"/>
            </w:pPr>
            <w:r>
              <w:rPr>
                <w:rFonts w:ascii="宋体" w:hAnsi="宋体" w:eastAsia="宋体"/>
                <w:sz w:val="16"/>
              </w:rPr>
              <w:t>专业技术人员技术培训与宣传推广</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3E00CFC2">
            <w:pPr>
              <w:jc w:val="center"/>
            </w:pPr>
            <w:r>
              <w:rPr>
                <w:rFonts w:ascii="宋体" w:hAnsi="宋体" w:eastAsia="宋体"/>
                <w:sz w:val="16"/>
              </w:rPr>
              <w:t>≥200人次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D074D">
            <w:pPr>
              <w:jc w:val="center"/>
            </w:pPr>
            <w:r>
              <w:rPr>
                <w:rFonts w:ascii="宋体" w:hAnsi="宋体" w:eastAsia="宋体"/>
                <w:sz w:val="16"/>
              </w:rPr>
              <w:t>2024年度绩效业务指标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5C2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9AEA9">
            <w:pPr>
              <w:jc w:val="center"/>
            </w:pPr>
            <w:r>
              <w:rPr>
                <w:rFonts w:ascii="宋体" w:hAnsi="宋体" w:eastAsia="宋体"/>
                <w:sz w:val="16"/>
              </w:rPr>
              <w:t>232人次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BE5C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29E6F">
            <w:pPr>
              <w:jc w:val="center"/>
            </w:pPr>
            <w:r>
              <w:rPr>
                <w:rFonts w:ascii="宋体" w:hAnsi="宋体" w:eastAsia="宋体"/>
                <w:sz w:val="16"/>
              </w:rPr>
              <w:t>10</w:t>
            </w:r>
          </w:p>
        </w:tc>
      </w:tr>
      <w:tr w14:paraId="00A93C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B02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D28F6"/>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88290">
            <w:pPr>
              <w:jc w:val="center"/>
            </w:pPr>
            <w:r>
              <w:rPr>
                <w:rFonts w:ascii="宋体" w:hAnsi="宋体" w:eastAsia="宋体"/>
                <w:sz w:val="16"/>
              </w:rPr>
              <w:t>技术培训农民及种植户</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26B1CF46">
            <w:pPr>
              <w:jc w:val="center"/>
            </w:pPr>
            <w:r>
              <w:rPr>
                <w:rFonts w:ascii="宋体" w:hAnsi="宋体" w:eastAsia="宋体"/>
                <w:sz w:val="16"/>
              </w:rPr>
              <w:t>≥2000人次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EB9DD">
            <w:pPr>
              <w:jc w:val="center"/>
            </w:pPr>
            <w:r>
              <w:rPr>
                <w:rFonts w:ascii="宋体" w:hAnsi="宋体" w:eastAsia="宋体"/>
                <w:sz w:val="16"/>
              </w:rPr>
              <w:t>2024年度绩效业务指标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B5D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22B73">
            <w:pPr>
              <w:jc w:val="center"/>
            </w:pPr>
            <w:r>
              <w:rPr>
                <w:rFonts w:ascii="宋体" w:hAnsi="宋体" w:eastAsia="宋体"/>
                <w:sz w:val="16"/>
              </w:rPr>
              <w:t>5501人次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A4C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A0065">
            <w:pPr>
              <w:jc w:val="center"/>
            </w:pPr>
            <w:r>
              <w:rPr>
                <w:rFonts w:ascii="宋体" w:hAnsi="宋体" w:eastAsia="宋体"/>
                <w:sz w:val="16"/>
              </w:rPr>
              <w:t>10</w:t>
            </w:r>
          </w:p>
        </w:tc>
      </w:tr>
      <w:tr w14:paraId="157DC33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C3AB7">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3B215">
            <w:pPr>
              <w:jc w:val="center"/>
            </w:pPr>
            <w:r>
              <w:rPr>
                <w:rFonts w:ascii="宋体" w:hAnsi="宋体" w:eastAsia="宋体"/>
                <w:sz w:val="16"/>
              </w:rPr>
              <w:t>社会效益指标</w:t>
            </w:r>
          </w:p>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74AA5">
            <w:pPr>
              <w:jc w:val="center"/>
            </w:pPr>
            <w:r>
              <w:rPr>
                <w:rFonts w:ascii="宋体" w:hAnsi="宋体" w:eastAsia="宋体"/>
                <w:sz w:val="16"/>
              </w:rPr>
              <w:t>主要农作物耕种收综合机械化率</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25403BF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7B3FE">
            <w:pPr>
              <w:jc w:val="center"/>
            </w:pPr>
            <w:r>
              <w:rPr>
                <w:rFonts w:ascii="宋体" w:hAnsi="宋体" w:eastAsia="宋体"/>
                <w:sz w:val="16"/>
              </w:rPr>
              <w:t>2024年度绩效业务指标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54A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FB8B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F00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8A04D">
            <w:pPr>
              <w:jc w:val="center"/>
            </w:pPr>
            <w:r>
              <w:rPr>
                <w:rFonts w:ascii="宋体" w:hAnsi="宋体" w:eastAsia="宋体"/>
                <w:sz w:val="16"/>
              </w:rPr>
              <w:t>10</w:t>
            </w:r>
          </w:p>
        </w:tc>
      </w:tr>
      <w:tr w14:paraId="494B6B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D4CD3">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41E63">
            <w:pPr>
              <w:jc w:val="center"/>
            </w:pPr>
            <w:r>
              <w:rPr>
                <w:rFonts w:ascii="宋体" w:hAnsi="宋体" w:eastAsia="宋体"/>
                <w:sz w:val="16"/>
              </w:rPr>
              <w:t>服务对象满意度指标</w:t>
            </w:r>
          </w:p>
        </w:tc>
        <w:tc>
          <w:tcPr>
            <w:tcW w:w="1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969DC">
            <w:pPr>
              <w:jc w:val="center"/>
            </w:pPr>
            <w:r>
              <w:rPr>
                <w:rFonts w:ascii="宋体" w:hAnsi="宋体" w:eastAsia="宋体"/>
                <w:sz w:val="16"/>
              </w:rPr>
              <w:t>试验区群众对改革试验成效的满意度</w:t>
            </w:r>
          </w:p>
        </w:tc>
        <w:tc>
          <w:tcPr>
            <w:tcW w:w="867" w:type="dxa"/>
            <w:tcBorders>
              <w:top w:val="single" w:color="auto" w:sz="10" w:space="0"/>
              <w:left w:val="single" w:color="auto" w:sz="10" w:space="0"/>
              <w:bottom w:val="single" w:color="auto" w:sz="10" w:space="0"/>
              <w:right w:val="single" w:color="auto" w:sz="10" w:space="0"/>
              <w:insideV w:val="single" w:sz="10" w:space="0"/>
            </w:tcBorders>
            <w:vAlign w:val="center"/>
          </w:tcPr>
          <w:p w14:paraId="22B7A88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AAB22">
            <w:pPr>
              <w:jc w:val="center"/>
            </w:pPr>
            <w:r>
              <w:rPr>
                <w:rFonts w:ascii="宋体" w:hAnsi="宋体" w:eastAsia="宋体"/>
                <w:sz w:val="16"/>
              </w:rPr>
              <w:t>预算绩效目标申报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50C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BD94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7842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9C35F">
            <w:pPr>
              <w:jc w:val="center"/>
            </w:pPr>
            <w:r>
              <w:rPr>
                <w:rFonts w:ascii="宋体" w:hAnsi="宋体" w:eastAsia="宋体"/>
                <w:sz w:val="16"/>
              </w:rPr>
              <w:t>10</w:t>
            </w:r>
          </w:p>
        </w:tc>
      </w:tr>
    </w:tbl>
    <w:p w14:paraId="708C694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C9933F">
        <w:tblPrEx>
          <w:tblCellMar>
            <w:top w:w="0" w:type="dxa"/>
            <w:left w:w="108" w:type="dxa"/>
            <w:bottom w:w="0" w:type="dxa"/>
            <w:right w:w="108" w:type="dxa"/>
          </w:tblCellMar>
        </w:tblPrEx>
        <w:tc>
          <w:tcPr>
            <w:tcW w:w="8847" w:type="dxa"/>
            <w:gridSpan w:val="9"/>
            <w:vAlign w:val="center"/>
          </w:tcPr>
          <w:p w14:paraId="2E930394">
            <w:pPr>
              <w:jc w:val="center"/>
            </w:pPr>
            <w:r>
              <w:rPr>
                <w:rFonts w:ascii="宋体" w:hAnsi="宋体" w:eastAsia="宋体"/>
                <w:sz w:val="24"/>
              </w:rPr>
              <w:t>项目支出绩效自评表</w:t>
            </w:r>
          </w:p>
        </w:tc>
      </w:tr>
      <w:tr w14:paraId="67C657A5">
        <w:tblPrEx>
          <w:tblCellMar>
            <w:top w:w="0" w:type="dxa"/>
            <w:left w:w="108" w:type="dxa"/>
            <w:bottom w:w="0" w:type="dxa"/>
            <w:right w:w="108" w:type="dxa"/>
          </w:tblCellMar>
        </w:tblPrEx>
        <w:tc>
          <w:tcPr>
            <w:tcW w:w="8847" w:type="dxa"/>
            <w:gridSpan w:val="9"/>
            <w:vAlign w:val="center"/>
          </w:tcPr>
          <w:p w14:paraId="4223AAC5">
            <w:pPr>
              <w:jc w:val="center"/>
            </w:pPr>
            <w:r>
              <w:rPr>
                <w:rFonts w:ascii="宋体" w:hAnsi="宋体" w:eastAsia="宋体"/>
                <w:sz w:val="24"/>
              </w:rPr>
              <w:t>(2024年度)</w:t>
            </w:r>
          </w:p>
        </w:tc>
      </w:tr>
      <w:tr w14:paraId="393A6F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E152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E0259D">
            <w:pPr>
              <w:jc w:val="center"/>
            </w:pPr>
            <w:r>
              <w:rPr>
                <w:rFonts w:ascii="宋体" w:hAnsi="宋体" w:eastAsia="宋体"/>
                <w:sz w:val="16"/>
              </w:rPr>
              <w:t>2023年上半年自治区驻村工作专项经费项目</w:t>
            </w:r>
          </w:p>
        </w:tc>
      </w:tr>
      <w:tr w14:paraId="3E2A16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47F5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60BD54">
            <w:pPr>
              <w:jc w:val="center"/>
            </w:pPr>
            <w:r>
              <w:rPr>
                <w:rFonts w:ascii="宋体" w:hAnsi="宋体" w:eastAsia="宋体"/>
                <w:sz w:val="16"/>
              </w:rPr>
              <w:t>和田地区农业技术推广中心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4632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C9BDF3">
            <w:pPr>
              <w:jc w:val="center"/>
            </w:pPr>
            <w:r>
              <w:rPr>
                <w:rFonts w:ascii="宋体" w:hAnsi="宋体" w:eastAsia="宋体"/>
                <w:sz w:val="16"/>
              </w:rPr>
              <w:t>和田地区农业技术推广中心</w:t>
            </w:r>
          </w:p>
        </w:tc>
      </w:tr>
      <w:tr w14:paraId="1368D4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3B97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458D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945C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0A87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3C5C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4BBB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180F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6E1D4">
            <w:pPr>
              <w:jc w:val="center"/>
            </w:pPr>
            <w:r>
              <w:rPr>
                <w:rFonts w:ascii="宋体" w:hAnsi="宋体" w:eastAsia="宋体"/>
                <w:sz w:val="16"/>
              </w:rPr>
              <w:t>得分</w:t>
            </w:r>
          </w:p>
        </w:tc>
      </w:tr>
      <w:tr w14:paraId="512B1E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383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2F19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AE0CC">
            <w:pPr>
              <w:jc w:val="center"/>
            </w:pPr>
            <w:r>
              <w:rPr>
                <w:rFonts w:ascii="宋体" w:hAnsi="宋体" w:eastAsia="宋体"/>
                <w:sz w:val="16"/>
              </w:rPr>
              <w:t>2.66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A933B">
            <w:pPr>
              <w:jc w:val="center"/>
            </w:pPr>
            <w:r>
              <w:rPr>
                <w:rFonts w:ascii="宋体" w:hAnsi="宋体" w:eastAsia="宋体"/>
                <w:sz w:val="16"/>
              </w:rPr>
              <w:t>27.33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E54CA">
            <w:pPr>
              <w:jc w:val="center"/>
            </w:pPr>
            <w:r>
              <w:rPr>
                <w:rFonts w:ascii="宋体" w:hAnsi="宋体" w:eastAsia="宋体"/>
                <w:sz w:val="16"/>
              </w:rPr>
              <w:t>25.89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86F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4E46C">
            <w:pPr>
              <w:jc w:val="center"/>
            </w:pPr>
            <w:r>
              <w:rPr>
                <w:rFonts w:ascii="宋体" w:hAnsi="宋体" w:eastAsia="宋体"/>
                <w:sz w:val="16"/>
              </w:rPr>
              <w:t xml:space="preserve">94.73%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BA55C">
            <w:pPr>
              <w:jc w:val="center"/>
            </w:pPr>
            <w:r>
              <w:rPr>
                <w:rFonts w:ascii="宋体" w:hAnsi="宋体" w:eastAsia="宋体"/>
                <w:sz w:val="16"/>
              </w:rPr>
              <w:t>8.68分</w:t>
            </w:r>
          </w:p>
        </w:tc>
      </w:tr>
      <w:tr w14:paraId="59E40F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709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3E7D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26D7C">
            <w:pPr>
              <w:jc w:val="center"/>
            </w:pPr>
            <w:r>
              <w:rPr>
                <w:rFonts w:ascii="宋体" w:hAnsi="宋体" w:eastAsia="宋体"/>
                <w:sz w:val="16"/>
              </w:rPr>
              <w:t>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1C1E8">
            <w:pPr>
              <w:jc w:val="center"/>
            </w:pPr>
            <w:r>
              <w:rPr>
                <w:rFonts w:ascii="宋体" w:hAnsi="宋体" w:eastAsia="宋体"/>
                <w:sz w:val="16"/>
              </w:rPr>
              <w:t>27.33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8A747">
            <w:pPr>
              <w:jc w:val="center"/>
            </w:pPr>
            <w:r>
              <w:rPr>
                <w:rFonts w:ascii="宋体" w:hAnsi="宋体" w:eastAsia="宋体"/>
                <w:sz w:val="16"/>
              </w:rPr>
              <w:t>25.89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336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5B3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32926">
            <w:pPr>
              <w:jc w:val="center"/>
            </w:pPr>
            <w:r>
              <w:rPr>
                <w:rFonts w:ascii="宋体" w:hAnsi="宋体" w:eastAsia="宋体"/>
                <w:sz w:val="16"/>
              </w:rPr>
              <w:t>—</w:t>
            </w:r>
          </w:p>
        </w:tc>
      </w:tr>
      <w:tr w14:paraId="2BCEA4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562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0987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78972">
            <w:pPr>
              <w:jc w:val="center"/>
            </w:pPr>
            <w:r>
              <w:rPr>
                <w:rFonts w:ascii="宋体" w:hAnsi="宋体" w:eastAsia="宋体"/>
                <w:sz w:val="16"/>
              </w:rPr>
              <w:t>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E4B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F32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9A3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1C3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5B4B2">
            <w:pPr>
              <w:jc w:val="center"/>
            </w:pPr>
            <w:r>
              <w:rPr>
                <w:rFonts w:ascii="宋体" w:hAnsi="宋体" w:eastAsia="宋体"/>
                <w:sz w:val="16"/>
              </w:rPr>
              <w:t>—</w:t>
            </w:r>
          </w:p>
        </w:tc>
      </w:tr>
      <w:tr w14:paraId="71C072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EAD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A1A1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08F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1C1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C1E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DBB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26B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5CF05">
            <w:pPr>
              <w:jc w:val="center"/>
            </w:pPr>
            <w:r>
              <w:rPr>
                <w:rFonts w:ascii="宋体" w:hAnsi="宋体" w:eastAsia="宋体"/>
                <w:sz w:val="16"/>
              </w:rPr>
              <w:t>—</w:t>
            </w:r>
          </w:p>
        </w:tc>
      </w:tr>
      <w:tr w14:paraId="5AEE5D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27E4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9B794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62B66C">
            <w:pPr>
              <w:jc w:val="center"/>
            </w:pPr>
            <w:r>
              <w:rPr>
                <w:rFonts w:ascii="宋体" w:hAnsi="宋体" w:eastAsia="宋体"/>
                <w:sz w:val="16"/>
              </w:rPr>
              <w:t>实际完成情况</w:t>
            </w:r>
          </w:p>
        </w:tc>
      </w:tr>
      <w:tr w14:paraId="750010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2298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294D7C">
            <w:pPr>
              <w:jc w:val="both"/>
            </w:pPr>
            <w:r>
              <w:rPr>
                <w:rFonts w:ascii="宋体" w:hAnsi="宋体" w:eastAsia="宋体"/>
                <w:sz w:val="16"/>
              </w:rPr>
              <w:t>本项目主要实施内容为：驻村工作队派出10人，驻村工作队3个，项目总投资为1.33万元，项目计划于2024年12月完成。通过本项目的实施，可有效搬砖群众对党的惠民政策知晓程度，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F08D6B">
            <w:pPr>
              <w:jc w:val="both"/>
            </w:pPr>
            <w:r>
              <w:rPr>
                <w:rFonts w:hint="eastAsia" w:ascii="宋体" w:hAnsi="宋体"/>
                <w:sz w:val="16"/>
                <w:lang w:eastAsia="zh-CN"/>
              </w:rPr>
              <w:t>截至</w:t>
            </w:r>
            <w:r>
              <w:rPr>
                <w:rFonts w:ascii="宋体" w:hAnsi="宋体" w:eastAsia="宋体"/>
                <w:sz w:val="16"/>
              </w:rPr>
              <w:t>2023年12月31日，本项目实际形成支出25.89万元，已</w:t>
            </w:r>
            <w:r>
              <w:rPr>
                <w:rFonts w:hint="eastAsia" w:ascii="宋体" w:hAnsi="宋体"/>
                <w:sz w:val="16"/>
                <w:lang w:eastAsia="zh-CN"/>
              </w:rPr>
              <w:t>完成</w:t>
            </w:r>
            <w:r>
              <w:rPr>
                <w:rFonts w:ascii="宋体" w:hAnsi="宋体" w:eastAsia="宋体"/>
                <w:sz w:val="16"/>
              </w:rPr>
              <w:t>驻村工作队派出人数10人；驻村工作队个数3个；驻村各项工作完成率100%任务，达到了群众对党的惠民政策知晓率100%\落实惠民政策、带动基层党组织的效益，驻村工作队所在村村民满意度达到100%。</w:t>
            </w:r>
          </w:p>
        </w:tc>
      </w:tr>
      <w:tr w14:paraId="122BE0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A55EE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B43C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0252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DC6D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C81E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2AAF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7811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A74E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7BF9E">
            <w:pPr>
              <w:jc w:val="center"/>
            </w:pPr>
            <w:r>
              <w:rPr>
                <w:rFonts w:ascii="宋体" w:hAnsi="宋体" w:eastAsia="宋体"/>
                <w:sz w:val="16"/>
              </w:rPr>
              <w:t>偏差原因分析及改进措施</w:t>
            </w:r>
          </w:p>
        </w:tc>
      </w:tr>
      <w:tr w14:paraId="691F56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F617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B964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05EE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84499">
            <w:pPr>
              <w:jc w:val="center"/>
            </w:pPr>
            <w:r>
              <w:rPr>
                <w:rFonts w:ascii="宋体" w:hAnsi="宋体" w:eastAsia="宋体"/>
                <w:sz w:val="16"/>
              </w:rPr>
              <w:t>驻村工作队派出人数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1A0C9">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37A6C">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72D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5A1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CBB89">
            <w:pPr>
              <w:jc w:val="center"/>
            </w:pPr>
          </w:p>
        </w:tc>
      </w:tr>
      <w:tr w14:paraId="1937A9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ECC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3DB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9B1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FAEBB">
            <w:pPr>
              <w:jc w:val="center"/>
            </w:pPr>
            <w:r>
              <w:rPr>
                <w:rFonts w:ascii="宋体" w:hAnsi="宋体" w:eastAsia="宋体"/>
                <w:sz w:val="16"/>
              </w:rPr>
              <w:t>驻村工作队个数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CF39A">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B03C2">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488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41E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DEC59">
            <w:pPr>
              <w:jc w:val="center"/>
            </w:pPr>
          </w:p>
        </w:tc>
      </w:tr>
      <w:tr w14:paraId="4EDC6E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E99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AAD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F4D5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61583">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B3E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B92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4C4A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EE5E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06247">
            <w:pPr>
              <w:jc w:val="center"/>
            </w:pPr>
          </w:p>
        </w:tc>
      </w:tr>
      <w:tr w14:paraId="034329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324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EAD6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3B6B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36AF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D9F2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2D8D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792F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9F68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C038D">
            <w:pPr>
              <w:jc w:val="center"/>
            </w:pPr>
          </w:p>
        </w:tc>
      </w:tr>
      <w:tr w14:paraId="032D0B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3A6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F41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80C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8B99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9F2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CF0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FEDC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4DB1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2B229">
            <w:pPr>
              <w:jc w:val="center"/>
            </w:pPr>
          </w:p>
        </w:tc>
      </w:tr>
      <w:tr w14:paraId="35E467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E4E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6E7C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C7A4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72263">
            <w:pPr>
              <w:jc w:val="center"/>
            </w:pPr>
            <w:r>
              <w:rPr>
                <w:rFonts w:ascii="宋体" w:hAnsi="宋体" w:eastAsia="宋体"/>
                <w:sz w:val="16"/>
              </w:rPr>
              <w:t>为民办实事支出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8325B">
            <w:pPr>
              <w:jc w:val="center"/>
            </w:pPr>
            <w:bookmarkStart w:id="0" w:name="_GoBack"/>
            <w:r>
              <w:rPr>
                <w:rFonts w:ascii="宋体" w:hAnsi="宋体" w:eastAsia="宋体"/>
                <w:sz w:val="16"/>
              </w:rPr>
              <w:t>≤</w:t>
            </w:r>
            <w:bookmarkEnd w:id="0"/>
            <w:r>
              <w:rPr>
                <w:rFonts w:ascii="宋体" w:hAnsi="宋体" w:eastAsia="宋体"/>
                <w:sz w:val="16"/>
              </w:rPr>
              <w:t>27.33万元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925F4">
            <w:pPr>
              <w:jc w:val="center"/>
            </w:pPr>
            <w:r>
              <w:rPr>
                <w:rFonts w:ascii="宋体" w:hAnsi="宋体" w:eastAsia="宋体"/>
                <w:sz w:val="16"/>
              </w:rPr>
              <w:t>=25.89万元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42D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594E6">
            <w:pPr>
              <w:jc w:val="center"/>
            </w:pPr>
            <w:r>
              <w:rPr>
                <w:rFonts w:ascii="宋体" w:hAnsi="宋体" w:eastAsia="宋体"/>
                <w:sz w:val="16"/>
              </w:rPr>
              <w:t>17.37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DA239">
            <w:pPr>
              <w:jc w:val="center"/>
            </w:pPr>
            <w:r>
              <w:rPr>
                <w:rFonts w:ascii="宋体" w:hAnsi="宋体" w:eastAsia="宋体"/>
                <w:sz w:val="16"/>
              </w:rPr>
              <w:t>偏差原因：该项目是跨年项目一部分经费2025年支出；改进措施：督促工作队人员及时提供报账资料，保障资金及时支出。</w:t>
            </w:r>
          </w:p>
        </w:tc>
      </w:tr>
      <w:tr w14:paraId="4AD883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01D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179D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B889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A02F6">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434B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3F2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B9C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45A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4A2F7">
            <w:pPr>
              <w:jc w:val="center"/>
            </w:pPr>
          </w:p>
        </w:tc>
      </w:tr>
      <w:tr w14:paraId="50C72D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95E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2142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7EEF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40E8B">
            <w:pPr>
              <w:jc w:val="center"/>
            </w:pPr>
            <w:r>
              <w:rPr>
                <w:rFonts w:ascii="宋体" w:hAnsi="宋体" w:eastAsia="宋体"/>
                <w:sz w:val="16"/>
              </w:rPr>
              <w:t>驻村工作队所在村村民满意度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E7BC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572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9DB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DE1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402BD">
            <w:pPr>
              <w:jc w:val="center"/>
            </w:pPr>
          </w:p>
        </w:tc>
      </w:tr>
      <w:tr w14:paraId="4AC77C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F187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D97E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544A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0492C3">
            <w:pPr>
              <w:jc w:val="center"/>
            </w:pPr>
            <w:r>
              <w:rPr>
                <w:rFonts w:ascii="宋体" w:hAnsi="宋体" w:eastAsia="宋体"/>
                <w:sz w:val="16"/>
              </w:rPr>
              <w:t>96.05分</w:t>
            </w:r>
          </w:p>
        </w:tc>
      </w:tr>
    </w:tbl>
    <w:p w14:paraId="57FBB81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E5C27FB">
        <w:tblPrEx>
          <w:tblCellMar>
            <w:top w:w="0" w:type="dxa"/>
            <w:left w:w="108" w:type="dxa"/>
            <w:bottom w:w="0" w:type="dxa"/>
            <w:right w:w="108" w:type="dxa"/>
          </w:tblCellMar>
        </w:tblPrEx>
        <w:tc>
          <w:tcPr>
            <w:tcW w:w="8847" w:type="dxa"/>
            <w:gridSpan w:val="9"/>
            <w:vAlign w:val="center"/>
          </w:tcPr>
          <w:p w14:paraId="474CC684">
            <w:pPr>
              <w:jc w:val="center"/>
            </w:pPr>
            <w:r>
              <w:rPr>
                <w:rFonts w:ascii="宋体" w:hAnsi="宋体" w:eastAsia="宋体"/>
                <w:sz w:val="24"/>
              </w:rPr>
              <w:t>项目支出绩效自评表</w:t>
            </w:r>
          </w:p>
        </w:tc>
      </w:tr>
      <w:tr w14:paraId="6F1C081A">
        <w:tblPrEx>
          <w:tblCellMar>
            <w:top w:w="0" w:type="dxa"/>
            <w:left w:w="108" w:type="dxa"/>
            <w:bottom w:w="0" w:type="dxa"/>
            <w:right w:w="108" w:type="dxa"/>
          </w:tblCellMar>
        </w:tblPrEx>
        <w:tc>
          <w:tcPr>
            <w:tcW w:w="8847" w:type="dxa"/>
            <w:gridSpan w:val="9"/>
            <w:vAlign w:val="center"/>
          </w:tcPr>
          <w:p w14:paraId="35EA2684">
            <w:pPr>
              <w:jc w:val="center"/>
            </w:pPr>
            <w:r>
              <w:rPr>
                <w:rFonts w:ascii="宋体" w:hAnsi="宋体" w:eastAsia="宋体"/>
                <w:sz w:val="24"/>
              </w:rPr>
              <w:t>(2024年度)</w:t>
            </w:r>
          </w:p>
        </w:tc>
      </w:tr>
      <w:tr w14:paraId="52E635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D59D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36CEC7">
            <w:pPr>
              <w:jc w:val="center"/>
            </w:pPr>
            <w:r>
              <w:rPr>
                <w:rFonts w:ascii="宋体" w:hAnsi="宋体" w:eastAsia="宋体"/>
                <w:sz w:val="16"/>
              </w:rPr>
              <w:t>2024年度农业试验项目</w:t>
            </w:r>
          </w:p>
        </w:tc>
      </w:tr>
      <w:tr w14:paraId="36B33F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F089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589834">
            <w:pPr>
              <w:jc w:val="center"/>
            </w:pPr>
            <w:r>
              <w:rPr>
                <w:rFonts w:ascii="宋体" w:hAnsi="宋体" w:eastAsia="宋体"/>
                <w:sz w:val="16"/>
              </w:rPr>
              <w:t>和田地区农业技术推广中心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5464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E7EF13">
            <w:pPr>
              <w:jc w:val="center"/>
            </w:pPr>
            <w:r>
              <w:rPr>
                <w:rFonts w:ascii="宋体" w:hAnsi="宋体" w:eastAsia="宋体"/>
                <w:sz w:val="16"/>
              </w:rPr>
              <w:t>和田地区农业技术推广中心</w:t>
            </w:r>
          </w:p>
        </w:tc>
      </w:tr>
      <w:tr w14:paraId="414F25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D3AD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82F1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81E3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21BE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1D01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8B4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8954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BEBDD">
            <w:pPr>
              <w:jc w:val="center"/>
            </w:pPr>
            <w:r>
              <w:rPr>
                <w:rFonts w:ascii="宋体" w:hAnsi="宋体" w:eastAsia="宋体"/>
                <w:sz w:val="16"/>
              </w:rPr>
              <w:t>得分</w:t>
            </w:r>
          </w:p>
        </w:tc>
      </w:tr>
      <w:tr w14:paraId="6C6935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EC1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974E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8DD0E">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B5EF2">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0AC41">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811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85B9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64F27">
            <w:pPr>
              <w:jc w:val="center"/>
            </w:pPr>
            <w:r>
              <w:rPr>
                <w:rFonts w:ascii="宋体" w:hAnsi="宋体" w:eastAsia="宋体"/>
                <w:sz w:val="16"/>
              </w:rPr>
              <w:t>10.00分</w:t>
            </w:r>
          </w:p>
        </w:tc>
      </w:tr>
      <w:tr w14:paraId="05E40C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AA2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D554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3AC7E">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68987">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6BC4F">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BAC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D81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C4150">
            <w:pPr>
              <w:jc w:val="center"/>
            </w:pPr>
            <w:r>
              <w:rPr>
                <w:rFonts w:ascii="宋体" w:hAnsi="宋体" w:eastAsia="宋体"/>
                <w:sz w:val="16"/>
              </w:rPr>
              <w:t>—</w:t>
            </w:r>
          </w:p>
        </w:tc>
      </w:tr>
      <w:tr w14:paraId="0C15D8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B72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1D9A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2A7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510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36B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5C1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554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D7F81">
            <w:pPr>
              <w:jc w:val="center"/>
            </w:pPr>
            <w:r>
              <w:rPr>
                <w:rFonts w:ascii="宋体" w:hAnsi="宋体" w:eastAsia="宋体"/>
                <w:sz w:val="16"/>
              </w:rPr>
              <w:t>—</w:t>
            </w:r>
          </w:p>
        </w:tc>
      </w:tr>
      <w:tr w14:paraId="1327AF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F92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C4A0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082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C02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E47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C00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CBE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3F719">
            <w:pPr>
              <w:jc w:val="center"/>
            </w:pPr>
            <w:r>
              <w:rPr>
                <w:rFonts w:ascii="宋体" w:hAnsi="宋体" w:eastAsia="宋体"/>
                <w:sz w:val="16"/>
              </w:rPr>
              <w:t>—</w:t>
            </w:r>
          </w:p>
        </w:tc>
      </w:tr>
      <w:tr w14:paraId="49B294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069A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76C27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C68B52">
            <w:pPr>
              <w:jc w:val="center"/>
            </w:pPr>
            <w:r>
              <w:rPr>
                <w:rFonts w:ascii="宋体" w:hAnsi="宋体" w:eastAsia="宋体"/>
                <w:sz w:val="16"/>
              </w:rPr>
              <w:t>实际完成情况</w:t>
            </w:r>
          </w:p>
        </w:tc>
      </w:tr>
      <w:tr w14:paraId="593E1E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15D8B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0BF3BC">
            <w:pPr>
              <w:jc w:val="both"/>
            </w:pPr>
            <w:r>
              <w:rPr>
                <w:rFonts w:ascii="宋体" w:hAnsi="宋体" w:eastAsia="宋体"/>
                <w:sz w:val="16"/>
              </w:rPr>
              <w:t>完成该项目1.为本地区新筛选出极具推广价值的粮、油、菜等主要农作物优良后备品种6-10个。具体为冬小麦品种1-2个、玉米品种1-2个、大豆品种1个、花生品种1个、露地栽培瓜菜品种1-2个。2.后备优育品种的产量与本地区同类作物当前主栽品种产量相比增产</w:t>
            </w:r>
            <w:r>
              <w:rPr>
                <w:rFonts w:hint="eastAsia" w:ascii="宋体" w:hAnsi="宋体"/>
                <w:sz w:val="16"/>
                <w:lang w:eastAsia="zh-CN"/>
              </w:rPr>
              <w:t>幅度</w:t>
            </w:r>
            <w:r>
              <w:rPr>
                <w:rFonts w:ascii="宋体" w:hAnsi="宋体" w:eastAsia="宋体"/>
                <w:sz w:val="16"/>
              </w:rPr>
              <w:t>提高较大。冬小麦品质与当前主栽品种新冬20相当的前提下产量提高10%以上，玉米产量与当前本地区种植面积较大的杰农2828提高10%以上。大豆亩产量达到180公斤、花生干果亩产量达到250公斤。</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F352E2">
            <w:pPr>
              <w:jc w:val="both"/>
            </w:pPr>
            <w:r>
              <w:rPr>
                <w:rFonts w:hint="eastAsia" w:ascii="宋体" w:hAnsi="宋体"/>
                <w:sz w:val="16"/>
                <w:lang w:eastAsia="zh-CN"/>
              </w:rPr>
              <w:t>截至</w:t>
            </w:r>
            <w:r>
              <w:rPr>
                <w:rFonts w:ascii="宋体" w:hAnsi="宋体" w:eastAsia="宋体"/>
                <w:sz w:val="16"/>
              </w:rPr>
              <w:t>2024年12月31日，本项目实际形成支出25万元，已完成实验冬小麦品种6个、玉米品种5个、大豆品种8个、花生品种1个，新品种实验用地85亩，农业专用设备2个。后备优育品种的产量与本地区同类作物当前主栽品种产量相比增产幅度有提高较大，农民增收率达到80%，受益群众满意度达到100%。</w:t>
            </w:r>
          </w:p>
        </w:tc>
      </w:tr>
      <w:tr w14:paraId="042823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FDB5B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FDCA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EE20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AE76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B797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A763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567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9543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24A78">
            <w:pPr>
              <w:jc w:val="center"/>
            </w:pPr>
            <w:r>
              <w:rPr>
                <w:rFonts w:ascii="宋体" w:hAnsi="宋体" w:eastAsia="宋体"/>
                <w:sz w:val="16"/>
              </w:rPr>
              <w:t>偏差原因分析及改进措施</w:t>
            </w:r>
          </w:p>
        </w:tc>
      </w:tr>
      <w:tr w14:paraId="70FC26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5D00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3A3E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58DC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9192E">
            <w:pPr>
              <w:jc w:val="center"/>
            </w:pPr>
            <w:r>
              <w:rPr>
                <w:rFonts w:ascii="宋体" w:hAnsi="宋体" w:eastAsia="宋体"/>
                <w:sz w:val="16"/>
              </w:rPr>
              <w:t>实验冬小麦新品种数量（种）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C43AB">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A17A6">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4C9B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A36C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92CDA">
            <w:pPr>
              <w:jc w:val="center"/>
            </w:pPr>
          </w:p>
        </w:tc>
      </w:tr>
      <w:tr w14:paraId="0AA2A2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3A5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D44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CF6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FFB0C">
            <w:pPr>
              <w:jc w:val="center"/>
            </w:pPr>
            <w:r>
              <w:rPr>
                <w:rFonts w:ascii="宋体" w:hAnsi="宋体" w:eastAsia="宋体"/>
                <w:sz w:val="16"/>
              </w:rPr>
              <w:t>实验玉米新品种数量（种）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0C0B3">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B8316">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414A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363E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83F93">
            <w:pPr>
              <w:jc w:val="center"/>
            </w:pPr>
          </w:p>
        </w:tc>
      </w:tr>
      <w:tr w14:paraId="34F20F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3DD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382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5FC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E371B">
            <w:pPr>
              <w:jc w:val="center"/>
            </w:pPr>
            <w:r>
              <w:rPr>
                <w:rFonts w:ascii="宋体" w:hAnsi="宋体" w:eastAsia="宋体"/>
                <w:sz w:val="16"/>
              </w:rPr>
              <w:t>实验大豆等特色新品种数量（种）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E989B">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49482">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AA8D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1223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16103">
            <w:pPr>
              <w:jc w:val="center"/>
            </w:pPr>
          </w:p>
        </w:tc>
      </w:tr>
      <w:tr w14:paraId="23D849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EA1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C30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098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137D7">
            <w:pPr>
              <w:jc w:val="center"/>
            </w:pPr>
            <w:r>
              <w:rPr>
                <w:rFonts w:ascii="宋体" w:hAnsi="宋体" w:eastAsia="宋体"/>
                <w:sz w:val="16"/>
              </w:rPr>
              <w:t>新品种实验用地（亩）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69CB1">
            <w:pPr>
              <w:jc w:val="center"/>
            </w:pPr>
            <w:r>
              <w:rPr>
                <w:rFonts w:ascii="宋体" w:hAnsi="宋体" w:eastAsia="宋体"/>
                <w:sz w:val="16"/>
              </w:rPr>
              <w:t>≥85亩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0E0CA">
            <w:pPr>
              <w:jc w:val="center"/>
            </w:pPr>
            <w:r>
              <w:rPr>
                <w:rFonts w:ascii="宋体" w:hAnsi="宋体" w:eastAsia="宋体"/>
                <w:sz w:val="16"/>
              </w:rPr>
              <w:t>=85亩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26A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3844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DF6E0">
            <w:pPr>
              <w:jc w:val="center"/>
            </w:pPr>
          </w:p>
        </w:tc>
      </w:tr>
      <w:tr w14:paraId="309C74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76F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FF4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228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4269E">
            <w:pPr>
              <w:jc w:val="center"/>
            </w:pPr>
            <w:r>
              <w:rPr>
                <w:rFonts w:ascii="宋体" w:hAnsi="宋体" w:eastAsia="宋体"/>
                <w:sz w:val="16"/>
              </w:rPr>
              <w:t>实验花生新品种数量（种）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26CB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2CF7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2C96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75F1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DC16C">
            <w:pPr>
              <w:jc w:val="center"/>
            </w:pPr>
          </w:p>
        </w:tc>
      </w:tr>
      <w:tr w14:paraId="169274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818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87A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193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D4A40">
            <w:pPr>
              <w:jc w:val="center"/>
            </w:pPr>
            <w:r>
              <w:rPr>
                <w:rFonts w:ascii="宋体" w:hAnsi="宋体" w:eastAsia="宋体"/>
                <w:sz w:val="16"/>
              </w:rPr>
              <w:t>农业专用设备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2CDED">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50ABA">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175B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4F13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19647">
            <w:pPr>
              <w:jc w:val="center"/>
            </w:pPr>
          </w:p>
        </w:tc>
      </w:tr>
      <w:tr w14:paraId="083C0B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9247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EEF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A5E5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CC98B">
            <w:pPr>
              <w:jc w:val="center"/>
            </w:pPr>
            <w:r>
              <w:rPr>
                <w:rFonts w:ascii="宋体" w:hAnsi="宋体" w:eastAsia="宋体"/>
                <w:sz w:val="16"/>
              </w:rPr>
              <w:t>实验、示范工作完成率（%）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990F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6CE89">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39A4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A4B6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7D2EC">
            <w:pPr>
              <w:jc w:val="center"/>
            </w:pPr>
          </w:p>
        </w:tc>
      </w:tr>
      <w:tr w14:paraId="5FC1D4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B9E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306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7F3D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E78F6">
            <w:pPr>
              <w:jc w:val="center"/>
            </w:pPr>
            <w:r>
              <w:rPr>
                <w:rFonts w:ascii="宋体" w:hAnsi="宋体" w:eastAsia="宋体"/>
                <w:sz w:val="16"/>
              </w:rPr>
              <w:t>项目实施时间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C6D01">
            <w:pPr>
              <w:jc w:val="center"/>
            </w:pPr>
            <w:r>
              <w:rPr>
                <w:rFonts w:ascii="宋体" w:hAnsi="宋体" w:eastAsia="宋体"/>
                <w:sz w:val="16"/>
              </w:rPr>
              <w:t>=2024年1月-12月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BB61C">
            <w:pPr>
              <w:jc w:val="center"/>
            </w:pPr>
            <w:r>
              <w:rPr>
                <w:rFonts w:ascii="宋体" w:hAnsi="宋体" w:eastAsia="宋体"/>
                <w:sz w:val="16"/>
              </w:rPr>
              <w:t>=2024年1月-12月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21BD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C19F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2606D">
            <w:pPr>
              <w:jc w:val="center"/>
            </w:pPr>
          </w:p>
        </w:tc>
      </w:tr>
      <w:tr w14:paraId="5A05FF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8D3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3B65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81B2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908D7">
            <w:pPr>
              <w:jc w:val="center"/>
            </w:pPr>
            <w:r>
              <w:rPr>
                <w:rFonts w:ascii="宋体" w:hAnsi="宋体" w:eastAsia="宋体"/>
                <w:sz w:val="16"/>
              </w:rPr>
              <w:t>对比实验补贴费用（万元）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BCBED">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2F58C">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21B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B88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E20C9">
            <w:pPr>
              <w:jc w:val="center"/>
            </w:pPr>
          </w:p>
        </w:tc>
      </w:tr>
      <w:tr w14:paraId="2E8B5C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1191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883C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4FD4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979AA">
            <w:pPr>
              <w:jc w:val="center"/>
            </w:pPr>
            <w:r>
              <w:rPr>
                <w:rFonts w:ascii="宋体" w:hAnsi="宋体" w:eastAsia="宋体"/>
                <w:sz w:val="16"/>
              </w:rPr>
              <w:t>农民增收率（%）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91156">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8CB6F">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11D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46A3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2CDE8">
            <w:pPr>
              <w:jc w:val="center"/>
            </w:pPr>
          </w:p>
        </w:tc>
      </w:tr>
      <w:tr w14:paraId="16F3C4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7EE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4A08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4A89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58A42">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D51C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D25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804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8BA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CC48F">
            <w:pPr>
              <w:jc w:val="center"/>
            </w:pPr>
          </w:p>
        </w:tc>
      </w:tr>
      <w:tr w14:paraId="7D845F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B7D77">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BF25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880A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34653B">
            <w:pPr>
              <w:jc w:val="center"/>
            </w:pPr>
            <w:r>
              <w:rPr>
                <w:rFonts w:ascii="宋体" w:hAnsi="宋体" w:eastAsia="宋体"/>
                <w:sz w:val="16"/>
              </w:rPr>
              <w:t>100分</w:t>
            </w:r>
          </w:p>
        </w:tc>
      </w:tr>
    </w:tbl>
    <w:p w14:paraId="2018D18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10B3B41">
        <w:tblPrEx>
          <w:tblCellMar>
            <w:top w:w="0" w:type="dxa"/>
            <w:left w:w="108" w:type="dxa"/>
            <w:bottom w:w="0" w:type="dxa"/>
            <w:right w:w="108" w:type="dxa"/>
          </w:tblCellMar>
        </w:tblPrEx>
        <w:tc>
          <w:tcPr>
            <w:tcW w:w="8847" w:type="dxa"/>
            <w:gridSpan w:val="9"/>
            <w:vAlign w:val="center"/>
          </w:tcPr>
          <w:p w14:paraId="17B474B7">
            <w:pPr>
              <w:jc w:val="center"/>
            </w:pPr>
            <w:r>
              <w:rPr>
                <w:rFonts w:ascii="宋体" w:hAnsi="宋体" w:eastAsia="宋体"/>
                <w:sz w:val="24"/>
              </w:rPr>
              <w:t>项目支出绩效自评表</w:t>
            </w:r>
          </w:p>
        </w:tc>
      </w:tr>
      <w:tr w14:paraId="3B883F83">
        <w:tblPrEx>
          <w:tblCellMar>
            <w:top w:w="0" w:type="dxa"/>
            <w:left w:w="108" w:type="dxa"/>
            <w:bottom w:w="0" w:type="dxa"/>
            <w:right w:w="108" w:type="dxa"/>
          </w:tblCellMar>
        </w:tblPrEx>
        <w:tc>
          <w:tcPr>
            <w:tcW w:w="8847" w:type="dxa"/>
            <w:gridSpan w:val="9"/>
            <w:vAlign w:val="center"/>
          </w:tcPr>
          <w:p w14:paraId="622A9FFB">
            <w:pPr>
              <w:jc w:val="center"/>
            </w:pPr>
            <w:r>
              <w:rPr>
                <w:rFonts w:ascii="宋体" w:hAnsi="宋体" w:eastAsia="宋体"/>
                <w:sz w:val="24"/>
              </w:rPr>
              <w:t>(2024年度)</w:t>
            </w:r>
          </w:p>
        </w:tc>
      </w:tr>
      <w:tr w14:paraId="6DE459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A9C1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383AA3">
            <w:pPr>
              <w:jc w:val="center"/>
            </w:pPr>
            <w:r>
              <w:rPr>
                <w:rFonts w:ascii="宋体" w:hAnsi="宋体" w:eastAsia="宋体"/>
                <w:sz w:val="16"/>
              </w:rPr>
              <w:t>国家级耕地质量监测点改造与提升项目</w:t>
            </w:r>
          </w:p>
        </w:tc>
      </w:tr>
      <w:tr w14:paraId="327D58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104F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B4CF40">
            <w:pPr>
              <w:jc w:val="center"/>
            </w:pPr>
            <w:r>
              <w:rPr>
                <w:rFonts w:ascii="宋体" w:hAnsi="宋体" w:eastAsia="宋体"/>
                <w:sz w:val="16"/>
              </w:rPr>
              <w:t>和田地区农业技术推广中心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BC8F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90C9F2">
            <w:pPr>
              <w:jc w:val="center"/>
            </w:pPr>
            <w:r>
              <w:rPr>
                <w:rFonts w:ascii="宋体" w:hAnsi="宋体" w:eastAsia="宋体"/>
                <w:sz w:val="16"/>
              </w:rPr>
              <w:t>和田地区农业技术推广中心</w:t>
            </w:r>
          </w:p>
        </w:tc>
      </w:tr>
      <w:tr w14:paraId="2D5B3F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13A4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683A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B896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3B39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A8FE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55E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3376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0887B">
            <w:pPr>
              <w:jc w:val="center"/>
            </w:pPr>
            <w:r>
              <w:rPr>
                <w:rFonts w:ascii="宋体" w:hAnsi="宋体" w:eastAsia="宋体"/>
                <w:sz w:val="16"/>
              </w:rPr>
              <w:t>得分</w:t>
            </w:r>
          </w:p>
        </w:tc>
      </w:tr>
      <w:tr w14:paraId="1D2E2A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5D5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3DD3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DDF01">
            <w:pPr>
              <w:jc w:val="center"/>
            </w:pPr>
            <w:r>
              <w:rPr>
                <w:rFonts w:ascii="宋体" w:hAnsi="宋体" w:eastAsia="宋体"/>
                <w:sz w:val="16"/>
              </w:rPr>
              <w:t>36.47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F52CE">
            <w:pPr>
              <w:jc w:val="center"/>
            </w:pPr>
            <w:r>
              <w:rPr>
                <w:rFonts w:ascii="宋体" w:hAnsi="宋体" w:eastAsia="宋体"/>
                <w:sz w:val="16"/>
              </w:rPr>
              <w:t>36.47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EDD2F">
            <w:pPr>
              <w:jc w:val="center"/>
            </w:pPr>
            <w:r>
              <w:rPr>
                <w:rFonts w:ascii="宋体" w:hAnsi="宋体" w:eastAsia="宋体"/>
                <w:sz w:val="16"/>
              </w:rPr>
              <w:t>35.07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821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33C0E">
            <w:pPr>
              <w:jc w:val="center"/>
            </w:pPr>
            <w:r>
              <w:rPr>
                <w:rFonts w:ascii="宋体" w:hAnsi="宋体" w:eastAsia="宋体"/>
                <w:sz w:val="16"/>
              </w:rPr>
              <w:t xml:space="preserve">96.16%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42279">
            <w:pPr>
              <w:jc w:val="center"/>
            </w:pPr>
            <w:r>
              <w:rPr>
                <w:rFonts w:ascii="宋体" w:hAnsi="宋体" w:eastAsia="宋体"/>
                <w:sz w:val="16"/>
              </w:rPr>
              <w:t>9.04分</w:t>
            </w:r>
          </w:p>
        </w:tc>
      </w:tr>
      <w:tr w14:paraId="71202B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F66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9808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9831F">
            <w:pPr>
              <w:jc w:val="center"/>
            </w:pPr>
            <w:r>
              <w:rPr>
                <w:rFonts w:ascii="宋体" w:hAnsi="宋体" w:eastAsia="宋体"/>
                <w:sz w:val="16"/>
              </w:rPr>
              <w:t>36.47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F0CFC">
            <w:pPr>
              <w:jc w:val="center"/>
            </w:pPr>
            <w:r>
              <w:rPr>
                <w:rFonts w:ascii="宋体" w:hAnsi="宋体" w:eastAsia="宋体"/>
                <w:sz w:val="16"/>
              </w:rPr>
              <w:t>36.47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2078C">
            <w:pPr>
              <w:jc w:val="center"/>
            </w:pPr>
            <w:r>
              <w:rPr>
                <w:rFonts w:ascii="宋体" w:hAnsi="宋体" w:eastAsia="宋体"/>
                <w:sz w:val="16"/>
              </w:rPr>
              <w:t>35.07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C46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B02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7AB7D">
            <w:pPr>
              <w:jc w:val="center"/>
            </w:pPr>
            <w:r>
              <w:rPr>
                <w:rFonts w:ascii="宋体" w:hAnsi="宋体" w:eastAsia="宋体"/>
                <w:sz w:val="16"/>
              </w:rPr>
              <w:t>—</w:t>
            </w:r>
          </w:p>
        </w:tc>
      </w:tr>
      <w:tr w14:paraId="1BF21F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1AD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6A4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4D6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735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105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825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B3D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73BE6">
            <w:pPr>
              <w:jc w:val="center"/>
            </w:pPr>
            <w:r>
              <w:rPr>
                <w:rFonts w:ascii="宋体" w:hAnsi="宋体" w:eastAsia="宋体"/>
                <w:sz w:val="16"/>
              </w:rPr>
              <w:t>—</w:t>
            </w:r>
          </w:p>
        </w:tc>
      </w:tr>
      <w:tr w14:paraId="55AEC5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817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9E5C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8B2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D63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3F5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0B4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B8C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87D98">
            <w:pPr>
              <w:jc w:val="center"/>
            </w:pPr>
            <w:r>
              <w:rPr>
                <w:rFonts w:ascii="宋体" w:hAnsi="宋体" w:eastAsia="宋体"/>
                <w:sz w:val="16"/>
              </w:rPr>
              <w:t>—</w:t>
            </w:r>
          </w:p>
        </w:tc>
      </w:tr>
      <w:tr w14:paraId="15F94C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00E9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B1443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C09552">
            <w:pPr>
              <w:jc w:val="center"/>
            </w:pPr>
            <w:r>
              <w:rPr>
                <w:rFonts w:ascii="宋体" w:hAnsi="宋体" w:eastAsia="宋体"/>
                <w:sz w:val="16"/>
              </w:rPr>
              <w:t>实际完成情况</w:t>
            </w:r>
          </w:p>
        </w:tc>
      </w:tr>
      <w:tr w14:paraId="377E1C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BEF5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500758">
            <w:pPr>
              <w:jc w:val="both"/>
            </w:pPr>
            <w:r>
              <w:rPr>
                <w:rFonts w:ascii="宋体" w:hAnsi="宋体" w:eastAsia="宋体"/>
                <w:sz w:val="16"/>
              </w:rPr>
              <w:t>本项目主要实施内容为：改造3国家级耕地质量监测点，采购10</w:t>
            </w:r>
            <w:r>
              <w:rPr>
                <w:rFonts w:hint="eastAsia" w:ascii="宋体" w:hAnsi="宋体"/>
                <w:sz w:val="16"/>
                <w:lang w:eastAsia="zh-CN"/>
              </w:rPr>
              <w:t>吨</w:t>
            </w:r>
            <w:r>
              <w:rPr>
                <w:rFonts w:ascii="宋体" w:hAnsi="宋体" w:eastAsia="宋体"/>
                <w:sz w:val="16"/>
              </w:rPr>
              <w:t>肥料、改良剂，1个土壤样品采集设备，2个物联网，1个土壤多参数监测，1个移动式作物生长监测站，2个防雷接地设备，3台数据储存设备，项目总投资为36.47万元，项目计划于2024年12月完成。通过本项目的实施，可有效促进农业健康可持续发展，构建耕地质量提升长效机制，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6F6A4B">
            <w:pPr>
              <w:jc w:val="both"/>
            </w:pPr>
            <w:r>
              <w:rPr>
                <w:rFonts w:hint="eastAsia" w:ascii="宋体" w:hAnsi="宋体"/>
                <w:sz w:val="16"/>
                <w:lang w:eastAsia="zh-CN"/>
              </w:rPr>
              <w:t>截至</w:t>
            </w:r>
            <w:r>
              <w:rPr>
                <w:rFonts w:ascii="宋体" w:hAnsi="宋体" w:eastAsia="宋体"/>
                <w:sz w:val="16"/>
              </w:rPr>
              <w:t>2024年12月31日，本项目实际形成支出35.07万元，已完成改造国家级耕地质量监测点3个；采购10个肥料、改良剂，1个土壤样品采集设备，2个物联网，1个土壤多参数监测，1个移动式作物生长监测站，2个防雷接地设备，3台数据储存设备；设备合格率已达到100%的任务，达到了构建耕地质量提升长效机制，促进农业健康可持续发展的效益，群众满意度达到95%。</w:t>
            </w:r>
          </w:p>
        </w:tc>
      </w:tr>
      <w:tr w14:paraId="2C469F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D96C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9183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EE95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4BEC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6CF9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0357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3A6C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7C35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EBF8D">
            <w:pPr>
              <w:jc w:val="center"/>
            </w:pPr>
            <w:r>
              <w:rPr>
                <w:rFonts w:ascii="宋体" w:hAnsi="宋体" w:eastAsia="宋体"/>
                <w:sz w:val="16"/>
              </w:rPr>
              <w:t>偏差原因分析及改进措施</w:t>
            </w:r>
          </w:p>
        </w:tc>
      </w:tr>
      <w:tr w14:paraId="54F5F6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0202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E692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6707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743DA">
            <w:pPr>
              <w:jc w:val="center"/>
            </w:pPr>
            <w:r>
              <w:rPr>
                <w:rFonts w:ascii="宋体" w:hAnsi="宋体" w:eastAsia="宋体"/>
                <w:sz w:val="16"/>
              </w:rPr>
              <w:t>改造国家级耕地质量监测点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747B2">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136FA">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AEAD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E897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45C55">
            <w:pPr>
              <w:jc w:val="center"/>
            </w:pPr>
          </w:p>
        </w:tc>
      </w:tr>
      <w:tr w14:paraId="5F2169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D97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3F0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625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FB0CB">
            <w:pPr>
              <w:jc w:val="center"/>
            </w:pPr>
            <w:r>
              <w:rPr>
                <w:rFonts w:ascii="宋体" w:hAnsi="宋体" w:eastAsia="宋体"/>
                <w:sz w:val="16"/>
              </w:rPr>
              <w:t>购买肥料、改良剂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E6C81">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3835A">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315B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B607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D07D5">
            <w:pPr>
              <w:jc w:val="center"/>
            </w:pPr>
          </w:p>
        </w:tc>
      </w:tr>
      <w:tr w14:paraId="4EDC57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AA0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F09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404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6A3B0">
            <w:pPr>
              <w:jc w:val="center"/>
            </w:pPr>
            <w:r>
              <w:rPr>
                <w:rFonts w:ascii="宋体" w:hAnsi="宋体" w:eastAsia="宋体"/>
                <w:sz w:val="16"/>
              </w:rPr>
              <w:t>采购土壤样品采集设备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F6FD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7D5C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CAF0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5241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A9A5F">
            <w:pPr>
              <w:jc w:val="center"/>
            </w:pPr>
          </w:p>
        </w:tc>
      </w:tr>
      <w:tr w14:paraId="42BDE6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BF2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026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1C37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AD5CC">
            <w:pPr>
              <w:jc w:val="center"/>
            </w:pPr>
            <w:r>
              <w:rPr>
                <w:rFonts w:ascii="宋体" w:hAnsi="宋体" w:eastAsia="宋体"/>
                <w:sz w:val="16"/>
              </w:rPr>
              <w:t>物联网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6927A">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7F30F">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A604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CA42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54803">
            <w:pPr>
              <w:jc w:val="center"/>
            </w:pPr>
          </w:p>
        </w:tc>
      </w:tr>
      <w:tr w14:paraId="7908D1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ABC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C03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EB52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EB1FA">
            <w:pPr>
              <w:jc w:val="center"/>
            </w:pPr>
            <w:r>
              <w:rPr>
                <w:rFonts w:ascii="宋体" w:hAnsi="宋体" w:eastAsia="宋体"/>
                <w:sz w:val="16"/>
              </w:rPr>
              <w:t>采购土壤多参数监测设备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E35F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5B2A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EA97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7108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70B18">
            <w:pPr>
              <w:jc w:val="center"/>
            </w:pPr>
          </w:p>
        </w:tc>
      </w:tr>
      <w:tr w14:paraId="6209B8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A97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5A6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3BE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AC07E">
            <w:pPr>
              <w:jc w:val="center"/>
            </w:pPr>
            <w:r>
              <w:rPr>
                <w:rFonts w:ascii="宋体" w:hAnsi="宋体" w:eastAsia="宋体"/>
                <w:sz w:val="16"/>
              </w:rPr>
              <w:t>维修移动式作物生长监测站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8B68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3463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EDE5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532E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214F6">
            <w:pPr>
              <w:jc w:val="center"/>
            </w:pPr>
          </w:p>
        </w:tc>
      </w:tr>
      <w:tr w14:paraId="2AA14A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A92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C18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870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9300F">
            <w:pPr>
              <w:jc w:val="center"/>
            </w:pPr>
            <w:r>
              <w:rPr>
                <w:rFonts w:ascii="宋体" w:hAnsi="宋体" w:eastAsia="宋体"/>
                <w:sz w:val="16"/>
              </w:rPr>
              <w:t>采购防雷接地设备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96BA9">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7223E">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E9BD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1F3D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101D8">
            <w:pPr>
              <w:jc w:val="center"/>
            </w:pPr>
          </w:p>
        </w:tc>
      </w:tr>
      <w:tr w14:paraId="432316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BBD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F94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07A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7ED88">
            <w:pPr>
              <w:jc w:val="center"/>
            </w:pPr>
            <w:r>
              <w:rPr>
                <w:rFonts w:ascii="宋体" w:hAnsi="宋体" w:eastAsia="宋体"/>
                <w:sz w:val="16"/>
              </w:rPr>
              <w:t>采购数据存储设备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6D952">
            <w:pPr>
              <w:jc w:val="center"/>
            </w:pPr>
            <w:r>
              <w:rPr>
                <w:rFonts w:ascii="宋体" w:hAnsi="宋体" w:eastAsia="宋体"/>
                <w:sz w:val="16"/>
              </w:rPr>
              <w:t>≥3台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14EE5">
            <w:pPr>
              <w:jc w:val="center"/>
            </w:pPr>
            <w:r>
              <w:rPr>
                <w:rFonts w:ascii="宋体" w:hAnsi="宋体" w:eastAsia="宋体"/>
                <w:sz w:val="16"/>
              </w:rPr>
              <w:t>=3台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8574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76C4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E3E5E">
            <w:pPr>
              <w:jc w:val="center"/>
            </w:pPr>
          </w:p>
        </w:tc>
      </w:tr>
      <w:tr w14:paraId="2D5DE9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7EE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776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AF04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48286">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4FE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775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3EE5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17A3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28B6C">
            <w:pPr>
              <w:jc w:val="center"/>
            </w:pPr>
          </w:p>
        </w:tc>
      </w:tr>
      <w:tr w14:paraId="516C85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05D2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2F0F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F417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A85F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27510">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F909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0ACF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A892F">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9C1A4">
            <w:pPr>
              <w:jc w:val="center"/>
            </w:pPr>
          </w:p>
        </w:tc>
      </w:tr>
      <w:tr w14:paraId="26B0EC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5BB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76F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C47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47BC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11E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04D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4DCF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0CA1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86E94">
            <w:pPr>
              <w:jc w:val="center"/>
            </w:pPr>
          </w:p>
        </w:tc>
      </w:tr>
      <w:tr w14:paraId="3A5102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ACD0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0DE2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D5F4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6D3D7">
            <w:pPr>
              <w:jc w:val="center"/>
            </w:pPr>
            <w:r>
              <w:rPr>
                <w:rFonts w:ascii="宋体" w:hAnsi="宋体" w:eastAsia="宋体"/>
                <w:sz w:val="16"/>
              </w:rPr>
              <w:t>项目经费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8763D">
            <w:pPr>
              <w:jc w:val="center"/>
            </w:pPr>
            <w:r>
              <w:rPr>
                <w:rFonts w:ascii="宋体" w:hAnsi="宋体" w:eastAsia="宋体"/>
                <w:sz w:val="16"/>
              </w:rPr>
              <w:t>≤36.47万元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6A4B6">
            <w:pPr>
              <w:jc w:val="center"/>
            </w:pPr>
            <w:r>
              <w:rPr>
                <w:rFonts w:ascii="宋体" w:hAnsi="宋体" w:eastAsia="宋体"/>
                <w:sz w:val="16"/>
              </w:rPr>
              <w:t>=35.07万元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00F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F9F42">
            <w:pPr>
              <w:jc w:val="center"/>
            </w:pPr>
            <w:r>
              <w:rPr>
                <w:rFonts w:ascii="宋体" w:hAnsi="宋体" w:eastAsia="宋体"/>
                <w:sz w:val="16"/>
              </w:rPr>
              <w:t>18.08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41945">
            <w:pPr>
              <w:jc w:val="center"/>
            </w:pPr>
            <w:r>
              <w:rPr>
                <w:rFonts w:ascii="宋体" w:hAnsi="宋体" w:eastAsia="宋体"/>
                <w:sz w:val="16"/>
              </w:rPr>
              <w:t>偏差原因：通过政府采购节约项目资金，改进措施：提高测算能力。</w:t>
            </w:r>
          </w:p>
        </w:tc>
      </w:tr>
      <w:tr w14:paraId="14EFE5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9D10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5CB22">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23F70">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18128">
            <w:pPr>
              <w:jc w:val="center"/>
            </w:pPr>
            <w:r>
              <w:rPr>
                <w:rFonts w:ascii="宋体" w:hAnsi="宋体" w:eastAsia="宋体"/>
                <w:sz w:val="16"/>
              </w:rPr>
              <w:t>构建耕地质量提升长效机制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3F7F6">
            <w:pPr>
              <w:jc w:val="center"/>
            </w:pPr>
            <w:r>
              <w:rPr>
                <w:rFonts w:ascii="宋体" w:hAnsi="宋体" w:eastAsia="宋体"/>
                <w:sz w:val="16"/>
              </w:rPr>
              <w:t>长期提升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398A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4A8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C55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ECBBF">
            <w:pPr>
              <w:jc w:val="center"/>
            </w:pPr>
          </w:p>
        </w:tc>
      </w:tr>
      <w:tr w14:paraId="7BE64C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12B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BCCA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20A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3FF70">
            <w:pPr>
              <w:jc w:val="center"/>
            </w:pPr>
            <w:r>
              <w:rPr>
                <w:rFonts w:ascii="宋体" w:hAnsi="宋体" w:eastAsia="宋体"/>
                <w:sz w:val="16"/>
              </w:rPr>
              <w:t>促进农业健康可持续发展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A8D72">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08B3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297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D7B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3EA53">
            <w:pPr>
              <w:jc w:val="center"/>
            </w:pPr>
          </w:p>
        </w:tc>
      </w:tr>
      <w:tr w14:paraId="142437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C1A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846E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C058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641A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8057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FFA9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2CF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94F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57CF3">
            <w:pPr>
              <w:jc w:val="center"/>
            </w:pPr>
          </w:p>
        </w:tc>
      </w:tr>
      <w:tr w14:paraId="1BFFFF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532B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C4B3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47FC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CAE321">
            <w:pPr>
              <w:jc w:val="center"/>
            </w:pPr>
            <w:r>
              <w:rPr>
                <w:rFonts w:ascii="宋体" w:hAnsi="宋体" w:eastAsia="宋体"/>
                <w:sz w:val="16"/>
              </w:rPr>
              <w:t>97.12分</w:t>
            </w:r>
          </w:p>
        </w:tc>
      </w:tr>
    </w:tbl>
    <w:p w14:paraId="2F89D87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786BE3">
        <w:tblPrEx>
          <w:tblCellMar>
            <w:top w:w="0" w:type="dxa"/>
            <w:left w:w="108" w:type="dxa"/>
            <w:bottom w:w="0" w:type="dxa"/>
            <w:right w:w="108" w:type="dxa"/>
          </w:tblCellMar>
        </w:tblPrEx>
        <w:tc>
          <w:tcPr>
            <w:tcW w:w="8847" w:type="dxa"/>
            <w:gridSpan w:val="9"/>
            <w:vAlign w:val="center"/>
          </w:tcPr>
          <w:p w14:paraId="0FAFEC8D">
            <w:pPr>
              <w:jc w:val="center"/>
            </w:pPr>
            <w:r>
              <w:rPr>
                <w:rFonts w:ascii="宋体" w:hAnsi="宋体" w:eastAsia="宋体"/>
                <w:sz w:val="24"/>
              </w:rPr>
              <w:t>项目支出绩效自评表</w:t>
            </w:r>
          </w:p>
        </w:tc>
      </w:tr>
      <w:tr w14:paraId="17409905">
        <w:tblPrEx>
          <w:tblCellMar>
            <w:top w:w="0" w:type="dxa"/>
            <w:left w:w="108" w:type="dxa"/>
            <w:bottom w:w="0" w:type="dxa"/>
            <w:right w:w="108" w:type="dxa"/>
          </w:tblCellMar>
        </w:tblPrEx>
        <w:tc>
          <w:tcPr>
            <w:tcW w:w="8847" w:type="dxa"/>
            <w:gridSpan w:val="9"/>
            <w:vAlign w:val="center"/>
          </w:tcPr>
          <w:p w14:paraId="0DB9B2E1">
            <w:pPr>
              <w:jc w:val="center"/>
            </w:pPr>
            <w:r>
              <w:rPr>
                <w:rFonts w:ascii="宋体" w:hAnsi="宋体" w:eastAsia="宋体"/>
                <w:sz w:val="24"/>
              </w:rPr>
              <w:t>(2024年度)</w:t>
            </w:r>
          </w:p>
        </w:tc>
      </w:tr>
      <w:tr w14:paraId="70103F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E217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49FD23">
            <w:pPr>
              <w:jc w:val="center"/>
            </w:pPr>
            <w:r>
              <w:rPr>
                <w:rFonts w:ascii="宋体" w:hAnsi="宋体" w:eastAsia="宋体"/>
                <w:sz w:val="16"/>
              </w:rPr>
              <w:t>天山英才培养计划-三农骨干人才-农业技术推广人才</w:t>
            </w:r>
          </w:p>
        </w:tc>
      </w:tr>
      <w:tr w14:paraId="3C0D79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EDE0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70A7FC">
            <w:pPr>
              <w:jc w:val="center"/>
            </w:pPr>
            <w:r>
              <w:rPr>
                <w:rFonts w:ascii="宋体" w:hAnsi="宋体" w:eastAsia="宋体"/>
                <w:sz w:val="16"/>
              </w:rPr>
              <w:t>和田地区农业技术推广中心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700A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649FD1">
            <w:pPr>
              <w:jc w:val="center"/>
            </w:pPr>
            <w:r>
              <w:rPr>
                <w:rFonts w:ascii="宋体" w:hAnsi="宋体" w:eastAsia="宋体"/>
                <w:sz w:val="16"/>
              </w:rPr>
              <w:t>和田地区农业技术推广中心</w:t>
            </w:r>
          </w:p>
        </w:tc>
      </w:tr>
      <w:tr w14:paraId="565980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A0F2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9A9F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89F4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360A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F04D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502D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0A97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FA1D0">
            <w:pPr>
              <w:jc w:val="center"/>
            </w:pPr>
            <w:r>
              <w:rPr>
                <w:rFonts w:ascii="宋体" w:hAnsi="宋体" w:eastAsia="宋体"/>
                <w:sz w:val="16"/>
              </w:rPr>
              <w:t>得分</w:t>
            </w:r>
          </w:p>
        </w:tc>
      </w:tr>
      <w:tr w14:paraId="6076D4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F5E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759A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9D3BA">
            <w:pPr>
              <w:jc w:val="center"/>
            </w:pPr>
            <w:r>
              <w:rPr>
                <w:rFonts w:ascii="宋体" w:hAnsi="宋体" w:eastAsia="宋体"/>
                <w:sz w:val="16"/>
              </w:rPr>
              <w:t>8.06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CAB6B">
            <w:pPr>
              <w:jc w:val="center"/>
            </w:pPr>
            <w:r>
              <w:rPr>
                <w:rFonts w:ascii="宋体" w:hAnsi="宋体" w:eastAsia="宋体"/>
                <w:sz w:val="16"/>
              </w:rPr>
              <w:t>8.06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DE50D">
            <w:pPr>
              <w:jc w:val="center"/>
            </w:pPr>
            <w:r>
              <w:rPr>
                <w:rFonts w:ascii="宋体" w:hAnsi="宋体" w:eastAsia="宋体"/>
                <w:sz w:val="16"/>
              </w:rPr>
              <w:t>8.05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DCE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25731">
            <w:pPr>
              <w:jc w:val="center"/>
            </w:pPr>
            <w:r>
              <w:rPr>
                <w:rFonts w:ascii="宋体" w:hAnsi="宋体" w:eastAsia="宋体"/>
                <w:sz w:val="16"/>
              </w:rPr>
              <w:t xml:space="preserve">99.88%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E589C">
            <w:pPr>
              <w:jc w:val="center"/>
            </w:pPr>
            <w:r>
              <w:rPr>
                <w:rFonts w:ascii="宋体" w:hAnsi="宋体" w:eastAsia="宋体"/>
                <w:sz w:val="16"/>
              </w:rPr>
              <w:t>10.00分</w:t>
            </w:r>
          </w:p>
        </w:tc>
      </w:tr>
      <w:tr w14:paraId="46A873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7B7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A188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3B95F">
            <w:pPr>
              <w:jc w:val="center"/>
            </w:pPr>
            <w:r>
              <w:rPr>
                <w:rFonts w:ascii="宋体" w:hAnsi="宋体" w:eastAsia="宋体"/>
                <w:sz w:val="16"/>
              </w:rPr>
              <w:t>8.06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AFAC0">
            <w:pPr>
              <w:jc w:val="center"/>
            </w:pPr>
            <w:r>
              <w:rPr>
                <w:rFonts w:ascii="宋体" w:hAnsi="宋体" w:eastAsia="宋体"/>
                <w:sz w:val="16"/>
              </w:rPr>
              <w:t>8.06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1128D">
            <w:pPr>
              <w:jc w:val="center"/>
            </w:pPr>
            <w:r>
              <w:rPr>
                <w:rFonts w:ascii="宋体" w:hAnsi="宋体" w:eastAsia="宋体"/>
                <w:sz w:val="16"/>
              </w:rPr>
              <w:t>8.05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636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D32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19CAB">
            <w:pPr>
              <w:jc w:val="center"/>
            </w:pPr>
            <w:r>
              <w:rPr>
                <w:rFonts w:ascii="宋体" w:hAnsi="宋体" w:eastAsia="宋体"/>
                <w:sz w:val="16"/>
              </w:rPr>
              <w:t>—</w:t>
            </w:r>
          </w:p>
        </w:tc>
      </w:tr>
      <w:tr w14:paraId="354F8F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001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9783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660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D11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89A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CF6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2CF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7DDB6">
            <w:pPr>
              <w:jc w:val="center"/>
            </w:pPr>
            <w:r>
              <w:rPr>
                <w:rFonts w:ascii="宋体" w:hAnsi="宋体" w:eastAsia="宋体"/>
                <w:sz w:val="16"/>
              </w:rPr>
              <w:t>—</w:t>
            </w:r>
          </w:p>
        </w:tc>
      </w:tr>
      <w:tr w14:paraId="6BED0B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05C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720F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091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71F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9D4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D4E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F3F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BD41B">
            <w:pPr>
              <w:jc w:val="center"/>
            </w:pPr>
            <w:r>
              <w:rPr>
                <w:rFonts w:ascii="宋体" w:hAnsi="宋体" w:eastAsia="宋体"/>
                <w:sz w:val="16"/>
              </w:rPr>
              <w:t>—</w:t>
            </w:r>
          </w:p>
        </w:tc>
      </w:tr>
      <w:tr w14:paraId="365BAB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D0A1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BE62A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AE64EF">
            <w:pPr>
              <w:jc w:val="center"/>
            </w:pPr>
            <w:r>
              <w:rPr>
                <w:rFonts w:ascii="宋体" w:hAnsi="宋体" w:eastAsia="宋体"/>
                <w:sz w:val="16"/>
              </w:rPr>
              <w:t>实际完成情况</w:t>
            </w:r>
          </w:p>
        </w:tc>
      </w:tr>
      <w:tr w14:paraId="61E510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479AA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86307A">
            <w:pPr>
              <w:jc w:val="both"/>
            </w:pPr>
            <w:r>
              <w:rPr>
                <w:rFonts w:ascii="宋体" w:hAnsi="宋体" w:eastAsia="宋体"/>
                <w:sz w:val="16"/>
              </w:rPr>
              <w:t>本项目主要实施内容为：建立试验示范点3个，建立试验示范温室大棚60座，示范点番茄潜叶蛾防治率达到90%以上，项目总投资为8.06万元，项目计划于2024年12月完成。通过本项目的实施，可有效提高农产品质量安全，每座棚番茄增产率达到10%以上，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4E043">
            <w:pPr>
              <w:jc w:val="both"/>
            </w:pPr>
            <w:r>
              <w:rPr>
                <w:rFonts w:hint="eastAsia" w:ascii="宋体" w:hAnsi="宋体"/>
                <w:sz w:val="16"/>
                <w:lang w:eastAsia="zh-CN"/>
              </w:rPr>
              <w:t>截至</w:t>
            </w:r>
            <w:r>
              <w:rPr>
                <w:rFonts w:ascii="宋体" w:hAnsi="宋体" w:eastAsia="宋体"/>
                <w:sz w:val="16"/>
              </w:rPr>
              <w:t>2024年12月31日，本项目实际形成支出8.05万元，已完成试验示范点3个，已完成试验示范温室大棚60座，示范点番茄潜叶蛾防治率达到90%以上，达到了提高农产品质量安全的效益，每座棚番茄增产率达到10%，使受益人群满意度达到100%。</w:t>
            </w:r>
          </w:p>
        </w:tc>
      </w:tr>
      <w:tr w14:paraId="077E58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DA3B6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35D5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ED58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0B07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6F26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BE8A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E0F5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20A0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FF52C">
            <w:pPr>
              <w:jc w:val="center"/>
            </w:pPr>
            <w:r>
              <w:rPr>
                <w:rFonts w:ascii="宋体" w:hAnsi="宋体" w:eastAsia="宋体"/>
                <w:sz w:val="16"/>
              </w:rPr>
              <w:t>偏差原因分析及改进措施</w:t>
            </w:r>
          </w:p>
        </w:tc>
      </w:tr>
      <w:tr w14:paraId="4A8EC8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9F1D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1A26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8AB6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B2FF2">
            <w:pPr>
              <w:jc w:val="center"/>
            </w:pPr>
            <w:r>
              <w:rPr>
                <w:rFonts w:ascii="宋体" w:hAnsi="宋体" w:eastAsia="宋体"/>
                <w:sz w:val="16"/>
              </w:rPr>
              <w:t>建立试验示范点数量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91299">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F4629">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2C0A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243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E84B6">
            <w:pPr>
              <w:jc w:val="center"/>
            </w:pPr>
          </w:p>
        </w:tc>
      </w:tr>
      <w:tr w14:paraId="443E9C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19A7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574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D27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99A97">
            <w:pPr>
              <w:jc w:val="center"/>
            </w:pPr>
            <w:r>
              <w:rPr>
                <w:rFonts w:ascii="宋体" w:hAnsi="宋体" w:eastAsia="宋体"/>
                <w:sz w:val="16"/>
              </w:rPr>
              <w:t>试验示范温室大棚数量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0ACCA">
            <w:pPr>
              <w:jc w:val="center"/>
            </w:pPr>
            <w:r>
              <w:rPr>
                <w:rFonts w:ascii="宋体" w:hAnsi="宋体" w:eastAsia="宋体"/>
                <w:sz w:val="16"/>
              </w:rPr>
              <w:t>≥60座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D576C">
            <w:pPr>
              <w:jc w:val="center"/>
            </w:pPr>
            <w:r>
              <w:rPr>
                <w:rFonts w:ascii="宋体" w:hAnsi="宋体" w:eastAsia="宋体"/>
                <w:sz w:val="16"/>
              </w:rPr>
              <w:t>=60座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D7C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EC3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1AEB0">
            <w:pPr>
              <w:jc w:val="center"/>
            </w:pPr>
          </w:p>
        </w:tc>
      </w:tr>
      <w:tr w14:paraId="66664B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C4F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787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7B39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0EAB3">
            <w:pPr>
              <w:jc w:val="center"/>
            </w:pPr>
            <w:r>
              <w:rPr>
                <w:rFonts w:ascii="宋体" w:hAnsi="宋体" w:eastAsia="宋体"/>
                <w:sz w:val="16"/>
              </w:rPr>
              <w:t>示范点番茄潜叶蛾防治率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4263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3F2B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940A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77E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4C8D1">
            <w:pPr>
              <w:jc w:val="center"/>
            </w:pPr>
          </w:p>
        </w:tc>
      </w:tr>
      <w:tr w14:paraId="690997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1FA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6EF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B79B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2BB5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162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AF4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BFBB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8E57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2EF38">
            <w:pPr>
              <w:jc w:val="center"/>
            </w:pPr>
          </w:p>
        </w:tc>
      </w:tr>
      <w:tr w14:paraId="5B7DE1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2C9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137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9E69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7D4C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FA888">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E362B">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723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D855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125AF">
            <w:pPr>
              <w:jc w:val="center"/>
            </w:pPr>
          </w:p>
        </w:tc>
      </w:tr>
      <w:tr w14:paraId="24859E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8A97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F506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89DD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4AA7E">
            <w:pPr>
              <w:jc w:val="center"/>
            </w:pPr>
            <w:r>
              <w:rPr>
                <w:rFonts w:ascii="宋体" w:hAnsi="宋体" w:eastAsia="宋体"/>
                <w:sz w:val="16"/>
              </w:rPr>
              <w:t>个人奖励性补助经费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FA3F1">
            <w:pPr>
              <w:jc w:val="center"/>
            </w:pPr>
            <w:r>
              <w:rPr>
                <w:rFonts w:ascii="宋体" w:hAnsi="宋体" w:eastAsia="宋体"/>
                <w:sz w:val="16"/>
              </w:rPr>
              <w:t>≤1.50万元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3A08C">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022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0FF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93073">
            <w:pPr>
              <w:jc w:val="center"/>
            </w:pPr>
          </w:p>
        </w:tc>
      </w:tr>
      <w:tr w14:paraId="6FCE62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868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B49A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D5F1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BB3F5">
            <w:pPr>
              <w:jc w:val="center"/>
            </w:pPr>
            <w:r>
              <w:rPr>
                <w:rFonts w:ascii="宋体" w:hAnsi="宋体" w:eastAsia="宋体"/>
                <w:sz w:val="16"/>
              </w:rPr>
              <w:t>采购防治物资经费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D0797">
            <w:pPr>
              <w:jc w:val="center"/>
            </w:pPr>
            <w:r>
              <w:rPr>
                <w:rFonts w:ascii="宋体" w:hAnsi="宋体" w:eastAsia="宋体"/>
                <w:sz w:val="16"/>
              </w:rPr>
              <w:t>≤6.55万元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C59B5">
            <w:pPr>
              <w:jc w:val="center"/>
            </w:pPr>
            <w:r>
              <w:rPr>
                <w:rFonts w:ascii="宋体" w:hAnsi="宋体" w:eastAsia="宋体"/>
                <w:sz w:val="16"/>
              </w:rPr>
              <w:t>=6.55万元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F0A7F">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6A93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0BA79">
            <w:pPr>
              <w:jc w:val="center"/>
            </w:pPr>
          </w:p>
        </w:tc>
      </w:tr>
      <w:tr w14:paraId="7236A9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C6007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7398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179CB">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C0547">
            <w:pPr>
              <w:jc w:val="center"/>
            </w:pPr>
            <w:r>
              <w:rPr>
                <w:rFonts w:ascii="宋体" w:hAnsi="宋体" w:eastAsia="宋体"/>
                <w:sz w:val="16"/>
              </w:rPr>
              <w:t>每座棚番茄增产率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29D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3F2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AA2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B10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2AFFC">
            <w:pPr>
              <w:jc w:val="center"/>
            </w:pPr>
          </w:p>
        </w:tc>
      </w:tr>
      <w:tr w14:paraId="58EE00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4C2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B11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0D54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1A122">
            <w:pPr>
              <w:jc w:val="center"/>
            </w:pPr>
            <w:r>
              <w:rPr>
                <w:rFonts w:ascii="宋体" w:hAnsi="宋体" w:eastAsia="宋体"/>
                <w:sz w:val="16"/>
              </w:rPr>
              <w:t>提高农产品质量安全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9AF2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34B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62E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FD1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FF4B1">
            <w:pPr>
              <w:jc w:val="center"/>
            </w:pPr>
          </w:p>
        </w:tc>
      </w:tr>
      <w:tr w14:paraId="7616D5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785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3AF6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4E00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2642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E73A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041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A9A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A93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185FF">
            <w:pPr>
              <w:jc w:val="center"/>
            </w:pPr>
          </w:p>
        </w:tc>
      </w:tr>
      <w:tr w14:paraId="2ABCCAC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0B0D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B02B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EA67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693911">
            <w:pPr>
              <w:jc w:val="center"/>
            </w:pPr>
            <w:r>
              <w:rPr>
                <w:rFonts w:ascii="宋体" w:hAnsi="宋体" w:eastAsia="宋体"/>
                <w:sz w:val="16"/>
              </w:rPr>
              <w:t>100分</w:t>
            </w:r>
          </w:p>
        </w:tc>
      </w:tr>
    </w:tbl>
    <w:p w14:paraId="39CDEEB4">
      <w:r>
        <w:br w:type="page"/>
      </w:r>
    </w:p>
    <w:p w14:paraId="5ED67018">
      <w:pPr>
        <w:spacing w:line="640" w:lineRule="exact"/>
        <w:ind w:firstLine="640"/>
        <w:jc w:val="both"/>
        <w:outlineLvl w:val="2"/>
      </w:pPr>
      <w:r>
        <w:rPr>
          <w:rFonts w:ascii="黑体" w:hAnsi="黑体" w:eastAsia="黑体"/>
          <w:sz w:val="32"/>
        </w:rPr>
        <w:t>十二、其他需说明的事项</w:t>
      </w:r>
    </w:p>
    <w:p w14:paraId="36AB18CB">
      <w:pPr>
        <w:spacing w:line="580" w:lineRule="exact"/>
        <w:ind w:firstLine="640"/>
        <w:jc w:val="both"/>
      </w:pPr>
      <w:r>
        <w:rPr>
          <w:rFonts w:ascii="仿宋_GB2312" w:hAnsi="仿宋_GB2312" w:eastAsia="仿宋_GB2312"/>
          <w:b w:val="0"/>
          <w:sz w:val="32"/>
        </w:rPr>
        <w:t>本单位无其他需说明的事项。</w:t>
      </w:r>
    </w:p>
    <w:p w14:paraId="448185C9">
      <w:r>
        <w:br w:type="page"/>
      </w:r>
    </w:p>
    <w:p w14:paraId="01861F1F">
      <w:pPr>
        <w:spacing w:line="240" w:lineRule="auto"/>
        <w:jc w:val="center"/>
        <w:outlineLvl w:val="1"/>
      </w:pPr>
      <w:r>
        <w:rPr>
          <w:rFonts w:ascii="黑体" w:hAnsi="黑体" w:eastAsia="黑体"/>
          <w:sz w:val="32"/>
        </w:rPr>
        <w:t>第三部分 专业名词解释</w:t>
      </w:r>
    </w:p>
    <w:p w14:paraId="2EA9365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CD263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9930FC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6C9E3C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73156D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ED6F9F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BA3AB7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63FA68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FEFFF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4E948E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4D680F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80D3ED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DC06AA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973E8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CEEA76F">
      <w:r>
        <w:br w:type="page"/>
      </w:r>
    </w:p>
    <w:p w14:paraId="7E218A9B">
      <w:pPr>
        <w:spacing w:line="240" w:lineRule="auto"/>
        <w:jc w:val="center"/>
        <w:outlineLvl w:val="1"/>
      </w:pPr>
      <w:r>
        <w:rPr>
          <w:rFonts w:ascii="黑体" w:hAnsi="黑体" w:eastAsia="黑体"/>
          <w:sz w:val="32"/>
        </w:rPr>
        <w:t>第四部分 部门决算报表（见附表）</w:t>
      </w:r>
    </w:p>
    <w:p w14:paraId="71BE8703">
      <w:pPr>
        <w:spacing w:line="240" w:lineRule="auto"/>
        <w:ind w:firstLine="640"/>
        <w:jc w:val="both"/>
      </w:pPr>
      <w:r>
        <w:rPr>
          <w:rFonts w:ascii="仿宋_GB2312" w:hAnsi="仿宋_GB2312" w:eastAsia="仿宋_GB2312"/>
          <w:b w:val="0"/>
          <w:sz w:val="32"/>
        </w:rPr>
        <w:t>一、《收入支出决算总表》</w:t>
      </w:r>
    </w:p>
    <w:p w14:paraId="1BD29354">
      <w:pPr>
        <w:spacing w:line="240" w:lineRule="auto"/>
        <w:ind w:firstLine="640"/>
        <w:jc w:val="both"/>
      </w:pPr>
      <w:r>
        <w:rPr>
          <w:rFonts w:ascii="仿宋_GB2312" w:hAnsi="仿宋_GB2312" w:eastAsia="仿宋_GB2312"/>
          <w:b w:val="0"/>
          <w:sz w:val="32"/>
        </w:rPr>
        <w:t>二、《收入决算表》</w:t>
      </w:r>
    </w:p>
    <w:p w14:paraId="6B50380A">
      <w:pPr>
        <w:spacing w:line="240" w:lineRule="auto"/>
        <w:ind w:firstLine="640"/>
        <w:jc w:val="both"/>
      </w:pPr>
      <w:r>
        <w:rPr>
          <w:rFonts w:ascii="仿宋_GB2312" w:hAnsi="仿宋_GB2312" w:eastAsia="仿宋_GB2312"/>
          <w:b w:val="0"/>
          <w:sz w:val="32"/>
        </w:rPr>
        <w:t>三、《支出决算表》</w:t>
      </w:r>
    </w:p>
    <w:p w14:paraId="14A06F01">
      <w:pPr>
        <w:spacing w:line="240" w:lineRule="auto"/>
        <w:ind w:firstLine="640"/>
        <w:jc w:val="both"/>
      </w:pPr>
      <w:r>
        <w:rPr>
          <w:rFonts w:ascii="仿宋_GB2312" w:hAnsi="仿宋_GB2312" w:eastAsia="仿宋_GB2312"/>
          <w:b w:val="0"/>
          <w:sz w:val="32"/>
        </w:rPr>
        <w:t>四、《财政拨款收入支出决算总表》</w:t>
      </w:r>
    </w:p>
    <w:p w14:paraId="5287D1ED">
      <w:pPr>
        <w:spacing w:line="240" w:lineRule="auto"/>
        <w:ind w:firstLine="640"/>
        <w:jc w:val="both"/>
      </w:pPr>
      <w:r>
        <w:rPr>
          <w:rFonts w:ascii="仿宋_GB2312" w:hAnsi="仿宋_GB2312" w:eastAsia="仿宋_GB2312"/>
          <w:b w:val="0"/>
          <w:sz w:val="32"/>
        </w:rPr>
        <w:t>五、《一般公共预算财政拨款支出决算表》</w:t>
      </w:r>
    </w:p>
    <w:p w14:paraId="7F2B06DF">
      <w:pPr>
        <w:spacing w:line="240" w:lineRule="auto"/>
        <w:ind w:firstLine="640"/>
        <w:jc w:val="both"/>
      </w:pPr>
      <w:r>
        <w:rPr>
          <w:rFonts w:ascii="仿宋_GB2312" w:hAnsi="仿宋_GB2312" w:eastAsia="仿宋_GB2312"/>
          <w:b w:val="0"/>
          <w:sz w:val="32"/>
        </w:rPr>
        <w:t>六、《一般公共预算财政拨款基本支出决算表》</w:t>
      </w:r>
    </w:p>
    <w:p w14:paraId="450E2857">
      <w:pPr>
        <w:spacing w:line="240" w:lineRule="auto"/>
        <w:ind w:firstLine="640"/>
        <w:jc w:val="both"/>
      </w:pPr>
      <w:r>
        <w:rPr>
          <w:rFonts w:ascii="仿宋_GB2312" w:hAnsi="仿宋_GB2312" w:eastAsia="仿宋_GB2312"/>
          <w:b w:val="0"/>
          <w:sz w:val="32"/>
        </w:rPr>
        <w:t>七、《政府性基金预算财政拨款收入支出决算表》</w:t>
      </w:r>
    </w:p>
    <w:p w14:paraId="19FFB4EF">
      <w:pPr>
        <w:spacing w:line="240" w:lineRule="auto"/>
        <w:ind w:firstLine="640"/>
        <w:jc w:val="both"/>
      </w:pPr>
      <w:r>
        <w:rPr>
          <w:rFonts w:ascii="仿宋_GB2312" w:hAnsi="仿宋_GB2312" w:eastAsia="仿宋_GB2312"/>
          <w:b w:val="0"/>
          <w:sz w:val="32"/>
        </w:rPr>
        <w:t>八、《国有资本经营预算财政拨款收入支出决算表》</w:t>
      </w:r>
    </w:p>
    <w:p w14:paraId="328F3D99">
      <w:pPr>
        <w:spacing w:line="240" w:lineRule="auto"/>
        <w:ind w:firstLine="640"/>
        <w:jc w:val="both"/>
      </w:pPr>
      <w:r>
        <w:rPr>
          <w:rFonts w:ascii="仿宋_GB2312" w:hAnsi="仿宋_GB2312" w:eastAsia="仿宋_GB2312"/>
          <w:b w:val="0"/>
          <w:sz w:val="32"/>
        </w:rPr>
        <w:t>九、《财政拨款“三公”经费支出决算表》</w:t>
      </w:r>
    </w:p>
    <w:p w14:paraId="110C61D4">
      <w:pPr>
        <w:spacing w:line="240" w:lineRule="auto"/>
        <w:ind w:firstLine="640"/>
        <w:jc w:val="both"/>
      </w:pPr>
    </w:p>
    <w:p w14:paraId="1061D23E">
      <w:pPr>
        <w:spacing w:line="240" w:lineRule="auto"/>
        <w:ind w:firstLine="640"/>
        <w:jc w:val="both"/>
      </w:pPr>
    </w:p>
    <w:p w14:paraId="74D0490F">
      <w:pPr>
        <w:spacing w:line="240" w:lineRule="auto"/>
        <w:ind w:firstLine="640"/>
        <w:jc w:val="both"/>
      </w:pPr>
    </w:p>
    <w:p w14:paraId="77D2E6A9">
      <w:pPr>
        <w:spacing w:line="240" w:lineRule="auto"/>
        <w:ind w:firstLine="640"/>
        <w:jc w:val="both"/>
      </w:pPr>
    </w:p>
    <w:p w14:paraId="5F4ED9B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0FAF2FD5"/>
    <w:rsid w:val="11E15093"/>
    <w:rsid w:val="120E0809"/>
    <w:rsid w:val="19071D6C"/>
    <w:rsid w:val="19B5554D"/>
    <w:rsid w:val="1B8F2D19"/>
    <w:rsid w:val="1BAE0C8B"/>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3A0554"/>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5375</Words>
  <Characters>6154</Characters>
  <Lines>0</Lines>
  <Paragraphs>0</Paragraphs>
  <TotalTime>3</TotalTime>
  <ScaleCrop>false</ScaleCrop>
  <LinksUpToDate>false</LinksUpToDate>
  <CharactersWithSpaces>6162</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2025-09-12T10:23:45Z</cp:lastPrinted>
  <dcterms:modified xsi:type="dcterms:W3CDTF">2025-09-12T10:23:48Z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