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w w:val="100"/>
          <w:sz w:val="44"/>
          <w:szCs w:val="44"/>
          <w:highlight w:val="none"/>
          <w:lang w:val="en-US" w:eastAsia="zh-CN"/>
        </w:rPr>
      </w:pPr>
      <w:r>
        <w:rPr>
          <w:rFonts w:hint="default" w:ascii="Times New Roman" w:hAnsi="Times New Roman" w:eastAsia="方正小标宋简体" w:cs="Times New Roman"/>
          <w:w w:val="100"/>
          <w:sz w:val="44"/>
          <w:szCs w:val="44"/>
          <w:highlight w:val="none"/>
          <w:lang w:val="en-US" w:eastAsia="zh-CN"/>
        </w:rPr>
        <w:t>和田地区体育发展“十五五”规划</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方正小标宋简体" w:cs="Times New Roman"/>
          <w:w w:val="100"/>
          <w:sz w:val="44"/>
          <w:szCs w:val="44"/>
          <w:highlight w:val="none"/>
          <w:lang w:val="en-US" w:eastAsia="zh-CN"/>
        </w:rPr>
        <w:t>（2026—2030年）</w:t>
      </w:r>
      <w:r>
        <w:rPr>
          <w:rFonts w:hint="eastAsia" w:ascii="方正小标宋简体" w:hAnsi="方正小标宋简体" w:eastAsia="方正小标宋简体" w:cs="方正小标宋简体"/>
          <w:sz w:val="44"/>
          <w:szCs w:val="44"/>
          <w:highlight w:val="none"/>
          <w:lang w:eastAsia="zh-CN"/>
        </w:rPr>
        <w:t>（公开征求意见稿）</w:t>
      </w:r>
    </w:p>
    <w:p>
      <w:pPr>
        <w:pStyle w:val="2"/>
        <w:rPr>
          <w:rFonts w:hint="default"/>
          <w:highlight w:val="none"/>
          <w:lang w:val="en-US" w:eastAsia="zh-CN"/>
        </w:rPr>
      </w:pPr>
    </w:p>
    <w:p>
      <w:pPr>
        <w:pStyle w:val="21"/>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“十四五”期间</w:t>
      </w:r>
      <w:r>
        <w:rPr>
          <w:rFonts w:hint="eastAsia" w:ascii="Times New Roman" w:hAnsi="Times New Roman" w:cs="Times New Roman"/>
          <w:highlight w:val="none"/>
          <w:lang w:val="en-US" w:eastAsia="zh-CN"/>
        </w:rPr>
        <w:t>和田</w:t>
      </w:r>
      <w:r>
        <w:rPr>
          <w:rFonts w:hint="default" w:ascii="Times New Roman" w:hAnsi="Times New Roman" w:cs="Times New Roman"/>
          <w:highlight w:val="none"/>
          <w:lang w:val="en-US" w:eastAsia="zh-CN"/>
        </w:rPr>
        <w:t>地区体育发展取得显著成就</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全民健身取得惠民新成效</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秉持以人民为中心的发展理念，提高体育公共服务和产品供给的质量。到2024年为止，和田地区体育场地总面积达到485.66万平方米，人均体育场地面积为2.02平方米，民众健身的便捷性得到提升。按照“参与度+覆盖面+可持续+有创新”的过程标准，广泛开展“和美杯”乡村篮球联赛、“京津皖和杯”农牧民篮球、</w:t>
      </w:r>
      <w:r>
        <w:rPr>
          <w:rFonts w:hint="eastAsia" w:ascii="Times New Roman" w:hAnsi="Times New Roman" w:eastAsia="仿宋_GB2312" w:cs="Times New Roman"/>
          <w:color w:val="auto"/>
          <w:spacing w:val="0"/>
          <w:kern w:val="2"/>
          <w:position w:val="0"/>
          <w:sz w:val="32"/>
          <w:szCs w:val="24"/>
          <w:highlight w:val="none"/>
          <w:shd w:val="clear" w:fill="auto"/>
          <w:lang w:val="en" w:eastAsia="zh-CN" w:bidi="ar-SA"/>
        </w:rPr>
        <w:t>“石榴籽一家亲”</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等系列群众体育赛事活动，营造全民健身良好氛围。据统计显示，从2023年开始，和田地区连续两年开展群众体育赛事活动位于全疆第一。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竞技体育彰显地区新风貌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体育健儿奋力拼搏，赛事成绩斐然。截至2024年底，在自治区及以上级别赛事中，共摘得金牌31枚、银牌35枚、铜牌52枚。其中，在自治区第十届少数民族传统体育运动会上荣获2个一等奖、24个二等奖、14个三等奖，奖牌总数位列全疆第5名；在自治区第十四届运动会取得金牌6枚、铜牌12枚，位居全疆第15名；在自治区第一届冬季运动会获得金牌1枚、铜牌2枚，排名全疆第12名；在自治区第二届冬季运动会夺得金牌11枚、银牌16枚、铜牌10枚，位列全疆第4名，实现参赛成绩的历史性突破，展现和田体育健儿的优秀精神风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体育产业成为经济新引擎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体育产业不断发展，推动区域经济高质量前行。体育产业主体规模持续扩大，2021-2024年地区体育产业法人单位由160个增长至184个，年均增长率约为4.8%。大型品牌赛事的影响力日益提升，赛事经济带动旅游消费，中国环塔（国际）拉力赛对旅游收入的拉动成效显著。冰雪产业加速发展，和田县昆仑山七星滑雪场、洛浦县丝路冰雪游乐场、墨玉县舞伊纳克滑雪场构建综合性旅游场地，促使“冷资源”变为“热经济”。体育培训、体育场馆运营、体育用品销售等产业稳定发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体育文化展现时代新活力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将坚定文化自信与弘扬中华体育精神相融合，用体育文化传承中华优秀传统，铸牢中华民族共同体意识。持续开展“京和杯”农牧民篮球赛、青少年足球赛以及“石榴籽杯”群众三大球联赛，在中国环塔（国际）拉力赛、环塔摩旅骑行赛期间举办民族团结活动，积极推广麦热球、民族式摔跤等传统体育项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体育援疆开创发展新局面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体育援疆迈向全方位、多层次、宽领域的合作新阶段。加强体育交流，截至2024年，已成功举办9届“京和杯”农牧民篮球赛、8届青少年足球赛，多次组织“京和杯”冠军队伍前往北京交流，并常态化开展“足球小巴郎”活动，选派青少年到天津学习。推动体育设施建设，天津市全额援建和田策勒县第一小学的400米标准化田径场地与国际标准11人制足球场，优化了足球训练环境。北京援疆干部人才和田市工作队启动“心安助农·乡村多功能足球场项目”，在伊里其乡依盖尔其小学建成5人制足球场，弥补了乡村体育场地的不足。</w:t>
      </w:r>
    </w:p>
    <w:p>
      <w:pPr>
        <w:pStyle w:val="21"/>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机遇与挑战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和田体育发展借助国家政策红利获得机遇，同时需应对多领域现实难题。从机遇来看，国家对民族工作的高度关注，为和田挖掘与传承少数民族传统体育项目、促成民俗体育和公共服务融合给予政策助力。乡村振兴战略的深度推进，促使体育基础设施向农牧区及偏远乡镇扩展，弥补农村体育服务的不足。全民健身国家战略的不断深入，带动公共体育服务资源下移，为和田拓宽健身服务范围、营造群众健身风尚提供了可能。体育产业作为国家重点发展的幸福产业，为和田探索“体育+文旅”“体育+农特产品”等融合模式、激发本地体育消费活力给予发展空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从挑战来说，在全民健身方面，体育设施总量不够且对偏远乡镇、农牧区覆盖有限，面向老年人、妇女等群体的个性化健身服务短缺，社会体育指导员的数量与专业水平难以符合需求。在竞技体育方面，专业教练员与运动员储备不足，仅在少数民族传统项目上稍有优势，系统化训练体系还未构建，在全疆赛事中的竞争力不强。在体育产业方面，市场规模小、产业链短，体育用品销售、赛事运营等业态发展不充分，居民体育消费意愿与能力有待提高。在体育文化方面，民俗体育资源挖掘不深，缺乏系统整理与传承，品牌化包装与市场化开发程度低。在援疆协作方面，援疆带来的体育资源与和田本地实际需求契合度不高，资源落地后缺乏可持续运营机制，难以完全发挥长期作用。</w:t>
      </w:r>
    </w:p>
    <w:p>
      <w:pPr>
        <w:pStyle w:val="21"/>
        <w:bidi w:val="0"/>
        <w:rPr>
          <w:rFonts w:hint="default" w:ascii="Times New Roman" w:hAnsi="Times New Roman" w:cs="Times New Roman"/>
          <w:highlight w:val="none"/>
          <w:shd w:val="clear"/>
          <w:lang w:val="en-US" w:eastAsia="zh-CN"/>
        </w:rPr>
      </w:pPr>
      <w:r>
        <w:rPr>
          <w:rFonts w:hint="default" w:ascii="Times New Roman" w:hAnsi="Times New Roman" w:cs="Times New Roman"/>
          <w:highlight w:val="none"/>
          <w:shd w:val="clear"/>
          <w:lang w:val="en-US" w:eastAsia="zh-CN"/>
        </w:rPr>
        <w:t>总体要求和发展目标</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指导思想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以习近平新时代中国特色社会主义思想为指导，全面贯彻党的二十大</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和</w:t>
      </w:r>
      <w:bookmarkStart w:id="0" w:name="_GoBack"/>
      <w:bookmarkEnd w:id="0"/>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二十届二中、三中全会精神，全面贯彻习近平总书记关于体育工作的重要论述与对新疆工作的重要指示精神，完整准确全面贯彻新时代党的治疆方略，紧紧围绕社会稳定和长治久安总目标，锚定国家体育强国、自治区体育强区建设部署要求，结合地区社会经济发展实际，立足区域民族文化特色及乡村振兴、新型城镇化发展需求，以铸牢中华民族共同体意识为主线、满足各族群众日益增长的体育需求为根本，着力推动群众体育普惠化、竞技体育特色化、体育产业融合化、体育文化品牌化发展，加快构建具有和田特色的现代体育发展体系，充分发挥体育在促进民族团结、改善民生福祉、赋能经济发展、传承优秀文化中的重要作用，为和田地区高质量发展、谱写中国式现代化和田篇章注入强劲体育动能。</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1.铸牢主线，交融共进：</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将铸牢中华民族共同体意识贯穿体育工作各环节，以体育活动为载体搭建各民族交往交流交融平台，强化“五个认同”，助力营造团结奋斗、繁荣发展的社会氛围。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2.民生为本，普惠均等：</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聚焦各族群众体育健康需求，强化政府公共体育服务职责，推动体育资源向基层、乡村倾斜，优化城乡体育设施布局与服务供给，提升公共体育服务均等化水平，助力健康和田建设。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3.创新驱动，开放协同：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深化体育管理体制与运行机制改革，统筹政府引导与市场作用，推动体育资源向社会开放。融入全疆及全国体育发展格局，加强跨区域合作，引入先进经验与资源，激活体育发展活力。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4.特色引领，融合赋能：</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立足和田自然资源与文化底蕴，挖掘少数民族传统体育、体育非遗等特色资源，构建“体育+文旅+农业+康养”融合发展模式，延伸产业链条，培育特色体育品牌，以体育赋能区域经济社会发展。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5.安全绿色，可持续发展：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坚持科学规划、因地制宜，严守安全底线，推动体育设施建设与运营的绿色低碳转型。结合乡村振兴战略培育乡村体育文化、发展乡村体育产业，为新型城镇化建设注入长效体育动能。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（三）发展目标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截至2030年，初步建成体育强区目标，建立体育强区的指标体系。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建成自治区体育助力乡村振兴示范区。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建成自治区少数民族传统体育示范区。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建成自治区“文体旅商展”融合发展示范区。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建成自治区体育非遗示范区。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建成自治区体育援疆示范区。</w:t>
      </w:r>
    </w:p>
    <w:p>
      <w:pPr>
        <w:pStyle w:val="21"/>
        <w:bidi w:val="0"/>
        <w:rPr>
          <w:rFonts w:hint="default" w:ascii="Times New Roman" w:hAnsi="Times New Roman" w:cs="Times New Roman"/>
          <w:highlight w:val="none"/>
          <w:shd w:val="clear"/>
          <w:lang w:val="en-US" w:eastAsia="zh-CN"/>
        </w:rPr>
      </w:pPr>
      <w:r>
        <w:rPr>
          <w:rFonts w:hint="default" w:ascii="Times New Roman" w:hAnsi="Times New Roman" w:cs="Times New Roman"/>
          <w:highlight w:val="none"/>
          <w:shd w:val="clear"/>
          <w:lang w:val="en-US" w:eastAsia="zh-CN"/>
        </w:rPr>
        <w:t>主要任务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（一）</w:t>
      </w: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坚持以人民为中心，打造人人参与、人人受益的活力区域</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加快</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全民健身公共服务体系建设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动城乡全民健身公共服务资源均衡分布，全面贯彻国家全民健身基本公共服务标准，以县域为单位推动城乡互动发展，优化区域功能布局。结合实际完善乡村服务网络，推进村（社区）运动场地及设施提升改造项目，稳步推进各县（市）新时代乡村体育“四有”工程，确保乡村具备健身场地、健身组织、赛事活动、健身指导。深化体育与卫生健康部门协同，优化运动健康服务，支持和田市积极试点、推广运动处方，构建“测、评、导、练”一体化服务闭环，建立数字化个人运动健康档案。推动支持将运动促进健康项目纳入居民健康管理内容，推动国民体质监测指标纳入居民健康体检常规内容。强化乡村体育科普工作，建立运动促进健康宣传教育体系，丰富乡村公共宣传栏、广播等载体的体育内容，推广主动健康理念，开展贴近群众的运动促进健康主题宣讲，营造“会健身”“常健身”“爱健身”的社会氛围。积极推进政府购买全民健身公共服务，鼓励社会力量参与体育设施运营和活动组织，提升服务供给效率。</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实施</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全民健身场地设施提升行动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建设</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完善全民健身场地设施。</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推进</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和田市“城区十五分钟健身圈”建设，在社区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建设配置适老化健身器材的多功能健身场地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增加青少年适龄化器材，推动地区场馆服务中心、和田市体育中心升级改造，推进建设地区体育综合体，加强地区体育设施维护。</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持续推进公共体育场馆和全民健身中心向社会免费或低收费开放。支持有条件的县（市）依托全民健身中心、社区卫生服务中心开设运动健康指导门诊、慢性病运动干预门诊，推动体育场地与医疗机构合作开展运动康复服务。构建地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数字体育平台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整合场馆预约、设施报修、健身指导、社群互动等功能。结合建设宜居宜业和美乡村，加快构建县（市）、乡镇（街道）、村（社区）三级全民健身设施网络，积极争取各类资金，在各县（市）新建一批体育公园、全民健身中心、健身广场、公共体育场、健身步道、多功能体育场、各类足球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，重点推进和田县全民体育运动中心、民丰县全民健身活动中心、于田县大型室内综合体育馆、昆冈体育公园建设</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。充分利用公益平台接收体育物资捐赠。</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举办</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各族群众全民健身赛事活动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构建多层次、广覆盖、具特色的全民健身赛事活动体系，推动群众体育赛事活动品牌</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化发展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，培育“和田品牌”。持续常态化</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举办</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“和美杯”“京和杯”“石榴籽杯”、地区农牧民传统体育运动会</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系列体育活动</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等赛事</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活动</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创办和田体育综合大型比赛，</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重点打造兼具鲜明“三农”特色、深厚传统文化底蕴、广泛社会影响力与较强可持续性的群众体育品牌赛事</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结合新春、端午、重阳等传统节日，策划社火健身、龙舟赛、登高活动等节庆体育活动。聚焦老年人、妇女、儿童、农牧民、残疾人等群体需求，开展差异化赛事活动，并引导社会力量、企事业单位开展“送体下乡”等公益行动，全面丰富各族群众健身选择。</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4.</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构建</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覆盖广泛的全民健身组织网络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加强各级各类体育组织建设，推动地区级体育协会规范化发展，健全组织架构、配齐工作人员，吸纳社会力量参与运营管理，充分发挥其在标准制定、人员培训、活动指导及行业自律中的作用。建立健全地县两级“三大球”协会，实现地、县级“三大球”协会全覆盖。夯实基层组织</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基础</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，推进乡村体育指导站</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建设</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，推动优质体育资源与服务下沉。鼓励群众自发组建健身团队，给予规范化发展指导，切实激发基层群众健身热情与体育参与内生动力，构建覆盖广泛、运行高效的全民健身组织网络。</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5.提高体育服务水平增强健康素养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支持援疆省市高校、自治区高校及研究机构在本地设立体育助力乡村振兴研究机构，开展专项研究与成果推广。拓宽全民健身知识传播渠道，依托抖音、微博、小红书等网络平台推送体育科普内容。完善社会体育指导员培训体系与工作机制，重点培育乡村社会体育指导员领军人才、体育骨干及女性指导员</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，组建运动促进健康专业服务队伍</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。开展自治区体育专业毕业生基层成长计划、体育人才下乡支教等专项活动，培育选树体育领域先进典型，增强乡村体育工作者荣誉感与责任感，全面提升体育服务效能与群众健康素养。</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针对老年人群，科学管控运动风险，增强肌肉力量，重视肌少症预防，降低跌倒风险；针对儿童青少年，加强科学健身知识普及，防控儿童青少年肥胖、近视、脊柱侧弯及心理健康等问题；针对职业人群，积极营造工作场所的运动支持性环境，引导职工积极参与运动；针对女性健康，加强全周期的运动指导，提升女性的身心健康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（二）</w:t>
      </w: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创新竞技体育模式，</w:t>
      </w: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增强</w:t>
      </w: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为地区争光的综合实力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创建</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多元合作队伍</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建设</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调整竞技队伍培育布局，强化地区级业余体校建设，促使各县（市）达成业余体校全覆盖并依照标准配全专业教练员，稳固基层人才培养基地，彰显业余体校核心功能。携手传统体育特色学校、青少年体育俱乐部共同组建队伍，打造“业余体校+特色学校+青少年体育俱乐部”协作模式，确定各方在队伍构建、日常训练、赛事参与、市场开发中的权利与责任，明确划分管理职责、经费投入、成果所属，保证业余体校主导人才挑选与基础训练、特色学校进行课余训练、俱乐部接纳社会力量参加赛事运作，创建分工清晰、权责相等的竞技队伍组建与管理机制</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改善</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竞技体育项目布局体系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促使竞技体育项目层次化、特色化发展，打造地区竞技体育项目“333”布局体系，即确定排球、拳击、摔跤为优势发展项目，足球、篮球、跆拳道为重点发展项目，击剑、轮滑、电子竞技为扶持发展项目。对于优势发展项目，借助地区业余体校构建训赛一体化培育机制，健全从青少年后备人才选拔、常态化集训到自治区级以上赛事参赛的全链条体系，推动优势项目朝着“南疆标杆、自治区领先”方向迈进。对于重点发展项目，以县（市）业余体校、特色学校建设为切入点，配足教练员，通过举办地区级联赛、开展跨县（市）交流集训扩大项目参与范围与人才储备量，逐渐提高重点项目竞技水平。对于扶持发展项目，制定专门培育方案，建立青少年人才培养基地，每年依据参赛成绩、人才储备、群众参与度调节资源投入比例，确保“333”布局体系有效实施，为地区竞技体育高质量发展奠定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健全</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竞技体育人才培养机制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创建科学规范的后备人才选拔培养体系，设立多渠道、多元化运动员选拔、培养与输送机制。强化与援疆省市对接，凭借援疆资金保障各县市青训中心正常运转，深入合作新建3家以上专业青训中心。完善小学、初中、高中“一条龙”升学保障机制，通过学校特招吸收体育特长生，容许初中生随校队在市域内成建制流动，支持高中生保留学籍进入职业俱乐部梯队训练。激励和田学院围绕排球、拳击等9个竞技项目设置体育教育、运动训练相关专业方向及匹配课程，达成专业与项目需求精准对接，着重培育裁判员、教练员队伍，巩固本土竞技体育人才根基。</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4</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促进</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青少年体育人才库建设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构建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和田地区数字化青少年体育人才数据库，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涵盖</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全地区所有竞技体育项目及广大青少年群体，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达成</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人才选拔、注册、培养、输送全流程数字化管理。</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创建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年度常态化选材机制，通过基层推荐、赛事选拔等多渠道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录入</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青少年人才信息，并实行动态更新机制。</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促使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数据库与自治区体育局各训练大队选材系统互联互通，打通人才向上输送通道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。充分运用</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援疆机制，与援疆省市共享数字化训练资源，选派库内优秀苗子</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参加</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跨区域集训和高水平竞赛，全面提升青少年体育人才培养质量与输送效率。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（三）激发体育产业活力，构建现代体育产业体系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打造</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现代化体育产业体系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加速形成以竞赛表演产业、户外运动产业、冰雪产业、体育装备制造业、运动促进健康产业为引领的现代体育产业体系，创建契合南疆发展的特色产业布局。竞赛表演业着重提升赛事品质，借助举办中国环塔国际拉力赛，在本地设置赛事大本营与正式赛段。户外运动产业深挖资源特色，依托本地自然优势，重点建设昆仑山山地户外运动目的地与塔克拉玛干沙漠户外运动基地两大核心载体，发展沙漠越野、徒步探险等特色项目，完善沿线服务设施配套，推动“户外+旅游”深度融合。冰雪产业强化“设施—活动”互动，有序开展冰雪场地建设，促使冰雪运动“进景区、进街区、进商圈”，举办群众喜爱的冰雪赛事，挖掘冬季体育消费潜力。体育装备制造业专注产业转型，推动北京和田工业园区涉足体育装备制造领域，培育产业新增长点，构建具备竞争力且富有和田特色的现代体育产业体系。运动促进健康产业与教育、医疗等业态融合发展，打造多元业态复合型服务场景，合理规划运动促进健康服务机构建设，在和田地区试点建设运动促进健康中心，鼓励医疗机构开设运动健康指导、运动干预、科学健身等特色门诊，逐步将运动促进健康产业打造为体育产业新亮点、经济发展新动力、提振消费新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健全</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体育产业核心要素保障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把</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体育产业用地纳入和田地区城乡规划、土地利用总体规划，在新区建设</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县域开发中预留体育公园、健身广场及户外运动配套设施用地，优先</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确保</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昆仑山山地户外运动目的地、塔克拉玛干沙漠户外运动基地等重点项目用地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设立地区体育产业发展专项资金，对洛浦县、墨玉县的“体育+旅游”“体育+文化”融合项目给予补贴，</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促使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金融机构推出“体育产业专项贷款”，简化审批流程，为户外赛事运营、体育场馆建设等企业解决资金</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难题。</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联合和田学院开设体育运营、户外指导相关专业，</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定向培育</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本地专业人才，引进疆内外体育产业运营团队，为产业发展提供人才</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支持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构建</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多元化体育消费场景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结合和田自然资源与民族特色，在墨玉县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建造</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沙漠越野营地、徒步探险驿站，配套设置特色餐饮区与民俗体验区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融入当地桑皮纸非遗文化展示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在</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于田县、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皮山县规划健身休闲绿道与登山步道，打造“古驿道+徒步研学”基地。在洛浦县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创建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兼具</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沙漠</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田园风光与乡土风情的体育特色村庄，建设亲子户外乐园、老年健身广场、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户外运动</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基地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在策勒县山区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建造</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露营基地，推出“草原骑行+民族歌舞展演”组合消费场景，形成覆盖全年龄段、融合自然景观与少数民族文化的多元化体育消费体系，满足不同群体户外休闲需求。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4.推动体育市场主体培育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强化地区体育协会</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主体功能</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，依托协会开展教练员、裁判员及社会体育指导员培训，提升本</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体育专业人才储备，</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促使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协会承接农牧民运动会、少数民族传统体育赛事等活动，承担区域内赛事运</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营的</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核心职能。优化体育场馆运营模式，对各县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市</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体育场馆进行市场化改造，引入专业团队提供场地租赁、体育培训、赛事承办等多元化服务，激活场馆运营活力。在和田大巴扎、县域商贸中心设立体育用品专区，重点推广传统体育器材与户外健身装备，培育本</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体育用品销售主体。对接援疆省市资源，设立体育产业孵化基地，吸引援疆体育企业入驻，孵化本</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中小微体育企业，逐步构建“协会引领、场馆支撑、企业协同、援疆助力”的体育市场主体培育体系。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5.促进体育彩票业规范健康发展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凸显</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彩票公益性，将体彩公益金重点用于支持本地体育设施建设、群众体育活动开展及社会公益事业。扩大体彩销售网点覆盖，在商圈、周末集市、乡村集市增设临时销售点，结合大型体育赛事、节庆活动投放即时开奖型彩票，鼓励社会力量参与销售服务，提升群众购买便利性。开展销售网点标准化建设，组织销售人员培训，强化专业知识、服务礼仪与诚信意识。联合公安、市场监管部门开展专项行动，严厉打击“私彩”“黑彩”等违法违规行为，维护体彩市场秩序，统筹推进体彩销售稳增长与风险防控，实现规范健康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（四）深化体教融合推进，加强体育人才基础保障支撑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强化</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青少年体育素养培育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广校园“体卫教”融合干预机制，为地区青少年设立学期体质健康测试机制，重点关注视力、脊柱形态等指标，为学生建立动态健康档案。每年安排专家前往学校开展近视、脊柱侧弯专项筛查与干预工作。根据学校实际情况，配备含坐姿矫正器、视力保护指南的健康包，利用当地光照充足的优势，指导开展户外远眺护眼活动。通过校园广播普及健康知识，依托麦西来甫健身操、沙坑趣味运动等本地特色项目设计体育课程，严格执行每天1小时校内运动要求，确保青少年掌握2项实用运动技能，打造适配地域特点的健康保障体系。</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2.构建青少年体育赛事体系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联合教育部门制定青少年体育赛事体系建设规划，以“双减”课外活动</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为主要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载体，重点设置三大球、乒乓球、羽毛球等普及性项目，融入麦西来甫健身操、押</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伽</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、民族式摔跤等本地传统体育内容，</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形成</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主流项目+民族特色”的赛事矩阵。规划搭建“班—校—县—地”四级赛事网络，以班级周赛为基础、校级月赛为选拔、县级学期赛为整合、地区年度总决赛为标杆，实现“周周有比赛、层层有选拔”。将赛事与课后服务</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相结合</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，指导学校组建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相关</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兴趣小组</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丰富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课后内容，并强化赛事安全管理，赛前排查场地隐患、宣讲安全规则，赛中配备医护人员与应急物资，全面保障赛事有序</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进行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夯实</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青少年体育人才培养阵地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构建“学校+俱乐部+业余体校”三位一体青少年体育人才培养阵地体系。以学校为主阵地，积极鼓励校社合作，推动学校与青少年体育俱乐部深度联动，补充课余体育资源</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扩大俱乐部覆盖面、推进“一地一体校”建设，拓宽人才发掘与专业训练路径。按阵地需求配足配齐体育教师、教练员及裁判员，通过专业培训提升队伍能力，建立“学校选拔—俱乐部培育—业余体校提升”衔接机制，夯实人才培养根基，推动阵地建设规范化、专业化。</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4.</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培养</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青少年体育精神品质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坚持以“立德树人”为根本目标，以体育活动为载体，将奥林匹克精神与中华体育坚韧拼搏、团结协作的品格融入日常教学、训练及赛事，通过主题宣讲、竞技实践深化青少年精神认知</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结合冰雪运动推广，开展冰雪体验课、趣味赛等活动，让青少年感受冰雪文化魅力，培育不畏挑战的意志</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并依托校园体育、俱乐部活动及业余体校训练建立“以赛育人”机制，在赛事交流中强化规则意识、抗挫折能力与集体荣誉感，全方位</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培养</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青少年德智体美劳全面发展的体育精神品质，为成长注入精神力量。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（五）加速推进赛事经济，全力塑造和田赛事之城品牌</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1.完善赛事政策体系构建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全面梳理地区内竞技体育与群众体育资源，创建“和田地区重点体育赛事名录库”，实施分级分类动态化管理，打造多层次赛事体系，以竞技赛事为引领、群众赛事促普及、特色赛事添光彩。完善赛事发展扶持机制，整合各级财政资金成立“和田地区赛事专项资金”，针对纳入名录库的赛事，在场地保障、宣传推广、人才补贴等方面提供精准支持。优化赛事审批服务，简化群众及特色赛事备案流程，降低社会力量参与门槛，激励企业和社会组织参与赛事运营，形成“政府主导、市场运作、社会参与”的赛事发展新格局，筑牢和田赛事之城的政策根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重点打造十大标志性赛事</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中国环塔（国际）拉力赛（和田赛区）、和田马拉松、石榴籽杯三大球联赛、和田热雪节、和田昆仑山徒步赛、和田春节社火健身大赛、和田龙舟赛、和田重阳登高大会，构建特色多元的地区赛事体系。</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2.激发体育赛事消费新动能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积极推进摔跤、赛马、叼羊、斗鸡、斗狗等民俗赛事产业链，协同推进赛事门票销售体系、商业赞助资源以及赛事衍生品开发运营建设，完善赛事经济业态布局，提高赛事综合效益。推行赛事精准消费激励政策，激发参赛群体消费潜力，在全民健身赛事中融合多种业态，设置特色农产品展销专区，带动农民增收，助力乡村振兴。实行“赛事票证消费优惠”机制，参赛选手与观众凭当日赛事门票或电子凭证可在合作商圈、餐饮、酒店、景区享受专属优惠或增值服务。发行“和田赛事消费册”，聚合线上线下商户资源，通过打卡集章、消费满减、抽奖兑换等方式增强消费黏性。开设“赛事主题夜间市集”，结合文艺表演与互动体验，进一步激活夜间经济，为区域经济发展注入新动力。</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3.发挥赛事引流带动效应</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做</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好</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“赛事+”融合文章，</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促使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赛事与文化、商务、旅游等领域深度</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融合</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，在赛事举办地周边</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设立</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特色农产品、体育文创展销区，开发“和田礼物”系列赛事衍生商品，发展赛事装备租赁、销售及相关配套产业，吸引参赛人员、观众、服务人员参与观光消费，带动乡村特产销售、民宿餐饮、休闲旅游等产业协同发展。做深“+赛事”场景赋能，</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推动</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赛事深度融入相关业态，</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推进</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“体育赛事进景区、进街区、进商圈”，</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借助</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赛事流量激活消费市场，助力本地经济发展，并以赛事为契机强化品牌与素养建设，开展“文明和田”相关活动，进一步提升城市形象与市民文明素养。</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4.创新赛事宣传推广方式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highlight w:val="none"/>
          <w:lang w:val="en-US" w:eastAsia="zh-CN"/>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用好“和田是个好地方”“体育昆仑”等宣传账号。</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构建“线上+线下”立体化赛事宣传矩阵，一方面</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借助</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主流媒体，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充分利用网络</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直播、短视频等平台传播体育正能量、</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展示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美丽和田新风貌，在抖音、快手、小红书等平台打造和田赛事新媒体矩阵，开设“乡村体育达人”“和田赛事直击”专栏，直播村排、村超、村BA等群众赛事，并邀请体育明星、网络达人参与宣传</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另一方面在赛事场馆设置融合和田自然风光、民俗文化与赛事元素的体育文化宣传牌，打造和田体育文化展示长廊。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（六）充分开发自然资源，打造高品质户外运动目的地</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1.加强自然资源开发利用与保护</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基于和田“北沙南山”生态格局，对接生态保护红线与国土空间总体规划，制定户外运动相关的自然资源保护开发专项规划。构建重点区域生态监测体系，按季度实施生态评估，动态调整开发策略。规范沙漠徒步、玉石文化体验等运动项目的资源使用流程，将生态保护要求贯穿项目审批、建设、运营全过程，推动户外运动发展与自然资源可持续利用相互促进。</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健全</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户外运动设施体系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着重</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建设塔克拉玛干沙漠户外运动基地，推进新疆和田地区和田县决战沙海户外主题设施建设项目</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打造标准化沙漠越野赛道、徒步露营区及沙漠运动体验场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建设昆仑山山地户外营地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慕士山登山营地，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设置</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攀岩训练场、山地徒步步道与高山露营平台，修缮山间便民步道。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完善</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和田县风景道户外运动公共服务设施</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在塔克拉玛干沙漠户外运动基地、昆仑山山地户外营地周边规划生态停车场、环保厕所与应急救援站，布设多语言指示标识及智慧定位系统</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沿线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设立</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补给驿站，提供饮水、简餐与医疗急救服务。</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设施建设全程采用环保材料，融入当地自然景观，确保场地功能与配套服务相匹配，构建“核心场地+全域配套”的户外运动设施网络。</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完善</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配套产品服务体系​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围绕塔克拉玛干沙漠户外运动基地，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沙漠越野、星空露营、徒步探险项目</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针对昆仑山山地户外营地，设计攀岩</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培训</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山地徒步、高山观星活动。引入合规机构提供沙漠防沙装备、山地徒步器材租赁服务，联合专业团队开展户外安全培训与急救教学，配备持证向导及救援人员。在户外运动基地周边布局特色餐饮点与文创商店，推出和田玉石、沙漠文化主题文创产品</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开通市区至户外目的地的直达接驳班车，构建“产品多元、服务专业、衔接便捷”的配套服务生态。</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4.</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创建“昆仑”户外</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赛事活动品牌​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重点打造</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昆仑</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古道徒步赛</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昆仑山山地越野赛</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、昆仑</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雪山滑雪锦标赛，构建“国际+国内+区域”赛事层级体系，</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力争</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每年举办国际级赛事、国内及区域级赛事，开展赛事转播与品牌推广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策划草原徒步节</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冰雪嘉年华</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露营大会等群众性活动，设置差异化组别，融入民俗文化展示与特色产业宣传，通过“专业赛事树品牌、群众活动聚人气”，形成特色鲜明、层级清晰、影响广泛的赛事活动生态。</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5.</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推进</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产业融合发展布局​</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依托地域特色，推动多产业融合。挖掘</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昆仑文化，开发昆仑秘境体验项目，打造“体育+文化”产品</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结合乡村民宿与和田玉枣、薄皮核桃等农</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产品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，发展“户外赛事+民宿”“越野活动+农</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产品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产销”模式，带动乡村旅游与农</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产品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增收</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依托山地、森林资源，建森林康养步道、林下基地，结合高海拔特点设运动康复中心，形成“户外+康养”产业链，构建特色鲜明、效益联动的产业布局，助力和田经济高质量发展</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（七）加速冰雪产业发展，建设南疆冰雪运动先锋地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1.不断推进冰雪运动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大力推广大众参与的冰雪运动，实施“冰雪惠民计划”，每年开展“和田冰雪运动季”等品牌活动，吸引群众参加适合的冰雪运动。促进青少年冰雪运动发展，开展“冰雪进校园”活动，鼓励有条件的中小学校将冰雪运动纳入体育与健康课程专项内容。构建完善的冰雪项目青少年赛事体系，举办覆盖各学段的冰雪比赛和展示活动。推动冰雪项目竞赛表演产业发展，以高水准、高质量、安全有序的比赛带动冰雪经济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2.健全冰雪经济产业链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以“特色培育、链条延伸”为要点打造合适产业链。</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上游整合洛浦县、和田县现有</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的</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冰雪场地，联合文旅、农业农村开发“冰雪+民俗”“冰雪+沙漠研学”产品，挖掘艾德莱斯绸等文化元素设计体验</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路线</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促使</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本地企业与科研机构合作研发</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适合</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干旱气候的冰雪服饰装备</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中游引入专业运营团队</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创建</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标准化服务体系，联合北疆融入南疆冰雪旅游环线，</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扶持</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本</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地</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机构开展滑雪指导员等培训</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下游举办县域冰雪嘉年华、大众挑战赛，</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拉动</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餐饮住宿消费，开发冰雪主题文创产品，</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逐步形成</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“资源开发—运营服务—消费延伸”的完整冰雪经济产业链。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3.改善基础设施与配套服务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根据实际情况</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构建差异化冰雪场地体系。</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优先改造升级现有场地，重点提高洛浦县丝路冰雪游乐场、昆仑山七星滑雪场设施水平，增加高效造雪机、专业压雪车等设备，优化雪道布局并新增初级练习道与中级雪道，完善雪具租赁、安全防护及餐饮休憩等配套，满足群众健身与初级竞技需求。实现</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县域小型场地全覆盖，在人口密集县（市），利用城市公园、闲置场地</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建设</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季节性户外滑冰场与戏雪乐园，配置标准化维护设备及基础器材</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4.扩大冰雪经济经营主体规模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highlight w:val="none"/>
          <w:lang w:val="en-US" w:eastAsia="zh-CN"/>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围绕冰雪经济经营主体壮大，构建“龙头引领、本土跟进、载体支撑”格局。对接全疆冰雪产业招商体系，出台场地使用、税收优惠专项政策，</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吸引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区内外知名冰雪运营企业，参与洛浦县、和田县冰雪场地投资运营并导入标准化管理模式</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。支持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本</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主体，设立冰雪产业发展专项资金，重点</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扶持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本地文旅、装备类中小企业，引导其开发“冰雪+民俗”“冰雪+研学”产品，培育区域特色专精特新经营主体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培育市场载体，推动成立和田冰雪产业联盟，规范冰雪运动俱乐部、培训机构发展，力争实现县域冰雪俱乐部、培训机构全覆盖。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5.</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加强</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冰雪经济要素保障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结合和田冰雪产业实际状况，强化有效保障。简化冰雪项目审批流程，优先利用现有场地资源，以租赁模式供企业使用、严格控制新增建设投入。建立常态化沟通机制，高效回应企业运营需求。合理分配专项经费，主要用于现有冰雪场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设备</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维护及简易造雪设施优化。对接本地金融机构开发合适的小额信贷产品，降低中小经营主体融资门槛。依托本地职业院校开展短期技能培训，聚焦雪场服务、安全管理等基础岗位培养实用人才，暂不引进高成本外地人才，通过“边运营边完善”逐步稳固产业发展根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（八）</w:t>
      </w: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弘扬中华体育精神，</w:t>
      </w: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铸牢中华民族共同体意识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强化</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铸牢中华民族共同体意识教育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系统开展中华民族共同体意识教育，着重加强体育院校“大思政课”建设，将其融入教学核心部分。</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在各运动队日常训练与各类体育赛事中，</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深入</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融合爱国主义与中华体育精神教育，</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深</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植家国情怀。优先推广麦热球、中华太极操、龙舟等传统体育项目，充分发挥传统体育项目的健身功效</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推动其</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常规</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纳入各级学校体育教学体系，</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达成</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文化传承与体育教育有机结合。广泛开展中华传统体育文化体验传播活动，定期组织</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开展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青少年体育夏令营、文化体验交流活动，</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增强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青少年文化认同与情感交融，</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巩固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中华民族共同体思想根基。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2</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注重</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体育非物质文化遗产保护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深入开展麦热球项目</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系统</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整理与研究，全面梳理其历史渊源、技艺流程及民俗内涵，通过文字记录、影像采集等方式建立专项非遗档案，实现资料妥善</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保存</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与便捷查阅。创新传承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方式</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，依托民俗活动、特色赛事推动麦热球回归乡村日常生活，激发民众参与热情，</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营造</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自发传承氛围。在墨玉县、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于田县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等重点区域，推进麦热球非遗工坊、传承体验中心及旅游体验基地建设，推动传统体育文化与乡村体育赛事、乡村旅游深度融合，打造特色体育旅游线路，促进文化价值转化与产业协同发展，构建传承保护与开发利用良性互动</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局面</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.加强体育文化阵地建设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激励</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建设传统体育展示博物馆，内设“麦热球展区”“中华太极操展区”“龙舟展区”，配套互动体验区，提供麦热球实操体验、太极操专业教学、龙舟模拟竞赛等服务，打造沉浸式体育文化体验空间。加快推进麦热球、中华太极操、龙舟运动的线上展示传播平台搭建与线下教育实践基地建设，拓宽文化传播与教学实践渠道。定期组织开展三大运动“进校园、进社区、进乡村”活动，策划举办村级麦热球联赛、中华太极操展演、龙舟竞赛等赛事活动，以多样化体育活动激发群众参与热情，强化体育文化阵地的服务功能与育人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4.推动体育文化传播推广工作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围绕麦热球、赛乃姆健身操、克里雅河龙舟赛等具有和田地域特色的体育项目，开发主题文创产品，涵盖运动装备周边、民俗文化手办等，推动体育文化具象化传播。依托本地媒体平台，搭建地区数字体育台，开设“和田体育文化”专属栏目，分设“麦热球非遗故事”“赛乃姆健身指南”板块，采用直播赛事、短视频教学等形式，扩大本土体育项目影响力。在和田玉文化旅游节、农民运动会等各类活动期间，拍摄《麦热球：和田人的田间运动》《龙舟竞渡克里雅》等纪录片，挖掘体育项目背后的民俗底蕴。利用乡镇文化栏、社区户外墙体及本地短视频账号，植入体育促民族团结宣传内容，营造全民健身与中华民族一家亲的浓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（九）强化体育援疆协作，推动援疆体育文化繁荣发展</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1.健全体育援疆协同机制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制定《地区“十五五”体育援疆工作规划》，明确重点领域，建立动态管理的体育援疆项目库，为援疆工作提供方向指引和具体抓手。积极对接北京、天津、安徽等援疆省市体育部门，签署《地区体育援疆合作协议》，将合作内容分解为年度具体任务，落实各方责任。构建常态化沟通协调机制，每年召开“体育援疆工作座谈会”，聚焦合作中的难点堵点问题，及时沟通解决，确保援疆项目按计划高效推进，逐步形成权责清晰、运行顺畅、保障有力的体育援疆协同体系。</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2.推进援疆体育人才交流培养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依托“京和杯”“津和杯”“皖和杯”项目，在“三大球”、拳击、摔跤等领域开展教练员、裁判员培训与交流活动。每年选派前往援疆省市学习，并邀请援疆省市专家到地区开展培训，提升本地人才专业水平。实施“和田青少年体育援疆游学计划”，每年组织青少年赴援疆省市参加体育夏令营，开展友谊赛与文化交流，建立“援疆省市—和田”青少年体育结对关系，推动长效化交流，夯实地区体育人才基础。</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3.构建援疆体育成果转化机制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highlight w:val="none"/>
          <w:shd w:val="clear"/>
          <w:lang w:val="en-US" w:eastAsia="zh-CN"/>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搭建援疆体育成果展示平台，举办“和田体育援疆成果展”，编制《和田体育援疆成果报告》，向社会公开援疆成效，扩大体育援疆</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的社会</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影响力。</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围绕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成果本土化落地，系统梳理援疆省市在先进训练方法、赛事运营模式、体育教学经验等方面的优势资源，结合和田地域</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特色</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与体育发展实际，</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进行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适应性调整与优化，转化</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可复制、可推广的实施方案，推动援疆体育成果从“引进来”向“用得好”转变，切实将援疆资源转化为地区体育事业发展</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的</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实</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际成效</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p>
    <w:p>
      <w:pPr>
        <w:pStyle w:val="21"/>
        <w:numPr>
          <w:ilvl w:val="0"/>
          <w:numId w:val="0"/>
        </w:numPr>
        <w:bidi w:val="0"/>
        <w:ind w:firstLine="640" w:firstLineChars="200"/>
        <w:rPr>
          <w:rFonts w:hint="default" w:ascii="Times New Roman" w:hAnsi="Times New Roman" w:cs="Times New Roman"/>
          <w:highlight w:val="none"/>
          <w:shd w:val="clear"/>
          <w:lang w:val="en-US" w:eastAsia="zh-CN"/>
        </w:rPr>
      </w:pPr>
      <w:r>
        <w:rPr>
          <w:rFonts w:hint="eastAsia" w:cs="Times New Roman"/>
          <w:highlight w:val="none"/>
          <w:shd w:val="clear"/>
          <w:lang w:val="en-US" w:eastAsia="zh-CN"/>
        </w:rPr>
        <w:t>五、</w:t>
      </w:r>
      <w:r>
        <w:rPr>
          <w:rFonts w:hint="default" w:ascii="Times New Roman" w:hAnsi="Times New Roman" w:cs="Times New Roman"/>
          <w:highlight w:val="none"/>
          <w:shd w:val="clear"/>
          <w:lang w:val="en-US" w:eastAsia="zh-CN"/>
        </w:rPr>
        <w:t>组织保障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（一）强化统筹协调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立体育工作联席会议制度，完善体育部门与发改、财政、人社、教育、卫健、自然资源、农业农村、残联等部门的协同机制，明确分工、整合资源。推进“放管服”改革，促进政府体育管理职能转变，引导社会力量参与，形成“政府主导、部门协作、社会参与、多元共治”的体育治理模式。</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（二）夯实政策支撑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构建“财政+社会+援疆”多渠道资金支持体系，重点扶持全民健身、青少年体育、竞技体育薄弱环节及基础设施建设，提升资金使用效率。将基本体育公共服务经费纳入财政预算，统筹援疆资金和专项债券满足民生需求。将体育发展融入地区总体规划，健身设施建设列入国土空间规划与用地计划，优先保障用地需求。出台激励社会力量参与体育领域的政策，明确税费优惠与用地支持措施。</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（三）建强人才队伍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打造“培养+引进+激励”体育人才体系，实施“体育人才培育工程”，分层次培训基层体育教师、指导员、教练员及管理人员。深化与援疆省市合作，通过“请进来、派出去、挂职锻炼”提升本地人才能力，柔性引进紧缺专业人才。优化退役运动员安置政策，鼓励其参与基层体育服务。完善评价机制，对乡村体育贡献者在职称、待遇、项目上给予倾斜支持。</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（四）深化改革创新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推动体育事业与产业融合</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发展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，建立“政府主导+市场运作”机制，通过购买服务、委托运营引入专业机构参与场馆管理</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与</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赛事策划。</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推进体育社会组织改革，促进协会、俱乐部实体化运作，增强服务能力。</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健全市场监管体系，制定地方标准，</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强化</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事中事后监管。与援疆省市</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共建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“赛事联动、人才互派、资源共享”机制，引入优质资源。</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（五）严格实施管理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小标宋简体" w:hAnsi="方正小标宋简体" w:eastAsia="方正小标宋简体" w:cs="方正小标宋简体"/>
          <w:color w:val="auto"/>
          <w:spacing w:val="0"/>
          <w:kern w:val="2"/>
          <w:position w:val="0"/>
          <w:sz w:val="36"/>
          <w:szCs w:val="36"/>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将规划目标任务分解到年度、县市及部门，明确责任与时限要求。建立“年度监测+中期评估+终期考核”管控体系，搭建大数据监测平台跟踪进展，中期评估调整任务，终期考核纳入绩效评价。加强县市督导，定期通报落实情况，确保目标如期实现。</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隶书">
    <w:altName w:val="方正隶书_GBK"/>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等线">
    <w:altName w:val="汉仪中圆B5"/>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4F4C6"/>
    <w:multiLevelType w:val="singleLevel"/>
    <w:tmpl w:val="BB04F4C6"/>
    <w:lvl w:ilvl="0" w:tentative="0">
      <w:start w:val="1"/>
      <w:numFmt w:val="chineseCounting"/>
      <w:suff w:val="nothing"/>
      <w:lvlText w:val="（%1）"/>
      <w:lvlJc w:val="left"/>
      <w:rPr>
        <w:rFonts w:hint="eastAsia"/>
      </w:rPr>
    </w:lvl>
  </w:abstractNum>
  <w:abstractNum w:abstractNumId="1">
    <w:nsid w:val="143851D1"/>
    <w:multiLevelType w:val="singleLevel"/>
    <w:tmpl w:val="143851D1"/>
    <w:lvl w:ilvl="0" w:tentative="0">
      <w:start w:val="1"/>
      <w:numFmt w:val="chineseCounting"/>
      <w:suff w:val="nothing"/>
      <w:lvlText w:val="（%1）"/>
      <w:lvlJc w:val="left"/>
      <w:rPr>
        <w:rFonts w:hint="eastAsia"/>
      </w:rPr>
    </w:lvl>
  </w:abstractNum>
  <w:abstractNum w:abstractNumId="2">
    <w:nsid w:val="377152D3"/>
    <w:multiLevelType w:val="singleLevel"/>
    <w:tmpl w:val="377152D3"/>
    <w:lvl w:ilvl="0" w:tentative="0">
      <w:start w:val="1"/>
      <w:numFmt w:val="chineseCounting"/>
      <w:pStyle w:val="21"/>
      <w:suff w:val="nothing"/>
      <w:lvlText w:val="%1、"/>
      <w:lvlJc w:val="left"/>
      <w:rPr>
        <w:rFonts w:hint="eastAsia"/>
      </w:rPr>
    </w:lvl>
  </w:abstractNum>
  <w:abstractNum w:abstractNumId="3">
    <w:nsid w:val="4671ECEE"/>
    <w:multiLevelType w:val="singleLevel"/>
    <w:tmpl w:val="4671ECEE"/>
    <w:lvl w:ilvl="0" w:tentative="0">
      <w:start w:val="2"/>
      <w:numFmt w:val="chineseCounting"/>
      <w:suff w:val="nothing"/>
      <w:lvlText w:val="（%1）"/>
      <w:lvlJc w:val="left"/>
      <w:pPr>
        <w:ind w:left="-13"/>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8075A"/>
    <w:rsid w:val="01467425"/>
    <w:rsid w:val="028440C8"/>
    <w:rsid w:val="045D2A8D"/>
    <w:rsid w:val="0532605E"/>
    <w:rsid w:val="05DF52A0"/>
    <w:rsid w:val="067072C4"/>
    <w:rsid w:val="08931509"/>
    <w:rsid w:val="08F17FDE"/>
    <w:rsid w:val="0913490C"/>
    <w:rsid w:val="0A9C0E58"/>
    <w:rsid w:val="0E7C4871"/>
    <w:rsid w:val="0FDBBE03"/>
    <w:rsid w:val="1178129C"/>
    <w:rsid w:val="142E5C70"/>
    <w:rsid w:val="15B904C0"/>
    <w:rsid w:val="16C8416D"/>
    <w:rsid w:val="177F68F4"/>
    <w:rsid w:val="1B012302"/>
    <w:rsid w:val="1DF34EFE"/>
    <w:rsid w:val="1E5C41DF"/>
    <w:rsid w:val="1EB53B30"/>
    <w:rsid w:val="2195649B"/>
    <w:rsid w:val="2C6415AE"/>
    <w:rsid w:val="2DB9376D"/>
    <w:rsid w:val="2F7F4117"/>
    <w:rsid w:val="30E252E7"/>
    <w:rsid w:val="32696762"/>
    <w:rsid w:val="34B3174B"/>
    <w:rsid w:val="35026713"/>
    <w:rsid w:val="36FB0302"/>
    <w:rsid w:val="38F44DFD"/>
    <w:rsid w:val="3973267A"/>
    <w:rsid w:val="3AF7B211"/>
    <w:rsid w:val="3CDF74FB"/>
    <w:rsid w:val="3EB78581"/>
    <w:rsid w:val="3F676329"/>
    <w:rsid w:val="3F7FED18"/>
    <w:rsid w:val="3FCA5AB6"/>
    <w:rsid w:val="3FF62ABB"/>
    <w:rsid w:val="3FFFDF7B"/>
    <w:rsid w:val="40055B41"/>
    <w:rsid w:val="405A3F7E"/>
    <w:rsid w:val="409F1AF2"/>
    <w:rsid w:val="42197710"/>
    <w:rsid w:val="48E55C95"/>
    <w:rsid w:val="4B1C1CAE"/>
    <w:rsid w:val="4DA70238"/>
    <w:rsid w:val="5078557F"/>
    <w:rsid w:val="5367649F"/>
    <w:rsid w:val="536776B5"/>
    <w:rsid w:val="539A6875"/>
    <w:rsid w:val="53AC7F03"/>
    <w:rsid w:val="56ED206D"/>
    <w:rsid w:val="57EA5FBC"/>
    <w:rsid w:val="59DF380A"/>
    <w:rsid w:val="5B9C2177"/>
    <w:rsid w:val="5C1F025F"/>
    <w:rsid w:val="5CAE4C07"/>
    <w:rsid w:val="5D6F3343"/>
    <w:rsid w:val="5E01537D"/>
    <w:rsid w:val="5F7EC721"/>
    <w:rsid w:val="5FF4AEA6"/>
    <w:rsid w:val="5FFF565F"/>
    <w:rsid w:val="61D24880"/>
    <w:rsid w:val="62D6719E"/>
    <w:rsid w:val="67E759A9"/>
    <w:rsid w:val="680574A6"/>
    <w:rsid w:val="69112CDD"/>
    <w:rsid w:val="6A35744C"/>
    <w:rsid w:val="6AFD6E6E"/>
    <w:rsid w:val="6B66DEE5"/>
    <w:rsid w:val="6CCF10EC"/>
    <w:rsid w:val="6F165569"/>
    <w:rsid w:val="6FDF1400"/>
    <w:rsid w:val="72A652EC"/>
    <w:rsid w:val="73AEC843"/>
    <w:rsid w:val="748051BB"/>
    <w:rsid w:val="75941B54"/>
    <w:rsid w:val="75F74ECC"/>
    <w:rsid w:val="75FD4190"/>
    <w:rsid w:val="762F079B"/>
    <w:rsid w:val="77B3A66F"/>
    <w:rsid w:val="78DF930E"/>
    <w:rsid w:val="7A5F1954"/>
    <w:rsid w:val="7A676A88"/>
    <w:rsid w:val="7A9939C4"/>
    <w:rsid w:val="7BB9188D"/>
    <w:rsid w:val="7BDFA3A1"/>
    <w:rsid w:val="7DAD1030"/>
    <w:rsid w:val="7E7B714D"/>
    <w:rsid w:val="7E7F29C9"/>
    <w:rsid w:val="7EFD7030"/>
    <w:rsid w:val="7F7FED52"/>
    <w:rsid w:val="7F881B29"/>
    <w:rsid w:val="7FBE9899"/>
    <w:rsid w:val="7FE772D7"/>
    <w:rsid w:val="7FEF02C1"/>
    <w:rsid w:val="7FF7E80D"/>
    <w:rsid w:val="9ED72C91"/>
    <w:rsid w:val="A7FFC161"/>
    <w:rsid w:val="AC3BC425"/>
    <w:rsid w:val="AD9F40ED"/>
    <w:rsid w:val="B39623E9"/>
    <w:rsid w:val="BA6FBAE6"/>
    <w:rsid w:val="BFBF3FAC"/>
    <w:rsid w:val="BFDFAE5C"/>
    <w:rsid w:val="BFFD8954"/>
    <w:rsid w:val="C73730E1"/>
    <w:rsid w:val="CFFD07C5"/>
    <w:rsid w:val="D55DAEA3"/>
    <w:rsid w:val="D7FF0C96"/>
    <w:rsid w:val="DADBE903"/>
    <w:rsid w:val="DBFDBE6E"/>
    <w:rsid w:val="DEDDE591"/>
    <w:rsid w:val="DEF64503"/>
    <w:rsid w:val="DF4FE93B"/>
    <w:rsid w:val="DFBFDAE7"/>
    <w:rsid w:val="DFFBF7CD"/>
    <w:rsid w:val="EDBD9C7B"/>
    <w:rsid w:val="EE3FD459"/>
    <w:rsid w:val="EEB15CAB"/>
    <w:rsid w:val="EFB70D6B"/>
    <w:rsid w:val="EFBF886A"/>
    <w:rsid w:val="F57F272F"/>
    <w:rsid w:val="F5FBC1DB"/>
    <w:rsid w:val="F69178AC"/>
    <w:rsid w:val="F6CD0B76"/>
    <w:rsid w:val="F6FB2305"/>
    <w:rsid w:val="F9FA52E3"/>
    <w:rsid w:val="FB56BE17"/>
    <w:rsid w:val="FBBD046A"/>
    <w:rsid w:val="FF6BC15C"/>
    <w:rsid w:val="FF7E9119"/>
    <w:rsid w:val="FF975C5A"/>
    <w:rsid w:val="FFBBB229"/>
    <w:rsid w:val="FFFD5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pPr>
    <w:rPr>
      <w:rFonts w:eastAsia="隶书"/>
      <w:kern w:val="0"/>
      <w:sz w:val="32"/>
      <w:szCs w:val="20"/>
    </w:rPr>
  </w:style>
  <w:style w:type="paragraph" w:customStyle="1" w:styleId="3">
    <w:name w:val="Body Text 21"/>
    <w:basedOn w:val="1"/>
    <w:qFormat/>
    <w:uiPriority w:val="0"/>
    <w:pPr>
      <w:spacing w:after="120" w:line="480" w:lineRule="auto"/>
    </w:pPr>
    <w:rPr>
      <w:rFonts w:eastAsia="仿宋_GB2312"/>
      <w:sz w:val="32"/>
      <w:szCs w:val="32"/>
    </w:rPr>
  </w:style>
  <w:style w:type="paragraph" w:styleId="8">
    <w:name w:val="index 8"/>
    <w:basedOn w:val="1"/>
    <w:next w:val="1"/>
    <w:qFormat/>
    <w:uiPriority w:val="0"/>
    <w:pPr>
      <w:ind w:left="1400" w:leftChars="1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BodyText"/>
    <w:basedOn w:val="1"/>
    <w:next w:val="1"/>
    <w:qFormat/>
    <w:uiPriority w:val="0"/>
    <w:rPr>
      <w:rFonts w:ascii="Times New Roman" w:hAnsi="Times New Roman"/>
    </w:rPr>
  </w:style>
  <w:style w:type="character" w:customStyle="1" w:styleId="17">
    <w:name w:val="cf01"/>
    <w:basedOn w:val="14"/>
    <w:qFormat/>
    <w:uiPriority w:val="0"/>
    <w:rPr>
      <w:b/>
      <w:bCs/>
      <w:sz w:val="22"/>
      <w:szCs w:val="22"/>
    </w:rPr>
  </w:style>
  <w:style w:type="character" w:customStyle="1" w:styleId="18">
    <w:name w:val="cf11"/>
    <w:basedOn w:val="14"/>
    <w:qFormat/>
    <w:uiPriority w:val="0"/>
    <w:rPr>
      <w:rFonts w:ascii="微软雅黑" w:hAnsi="微软雅黑" w:eastAsia="微软雅黑" w:cs="微软雅黑"/>
      <w:b/>
      <w:bCs/>
      <w:sz w:val="22"/>
      <w:szCs w:val="22"/>
    </w:rPr>
  </w:style>
  <w:style w:type="character" w:customStyle="1" w:styleId="19">
    <w:name w:val="cf21"/>
    <w:basedOn w:val="14"/>
    <w:qFormat/>
    <w:uiPriority w:val="0"/>
    <w:rPr>
      <w:rFonts w:hint="eastAsia" w:ascii="微软雅黑" w:hAnsi="微软雅黑" w:eastAsia="微软雅黑" w:cs="微软雅黑"/>
      <w:b/>
      <w:bCs/>
      <w:sz w:val="22"/>
      <w:szCs w:val="22"/>
    </w:rPr>
  </w:style>
  <w:style w:type="character" w:customStyle="1" w:styleId="20">
    <w:name w:val="cf31"/>
    <w:basedOn w:val="14"/>
    <w:qFormat/>
    <w:uiPriority w:val="0"/>
    <w:rPr>
      <w:b/>
      <w:bCs/>
      <w:sz w:val="22"/>
      <w:szCs w:val="22"/>
    </w:rPr>
  </w:style>
  <w:style w:type="paragraph" w:customStyle="1" w:styleId="21">
    <w:name w:val="1级"/>
    <w:basedOn w:val="1"/>
    <w:qFormat/>
    <w:uiPriority w:val="0"/>
    <w:pPr>
      <w:numPr>
        <w:ilvl w:val="0"/>
        <w:numId w:val="1"/>
      </w:numPr>
      <w:spacing w:line="560" w:lineRule="exact"/>
      <w:ind w:firstLine="640" w:firstLineChars="200"/>
    </w:pPr>
    <w:rPr>
      <w:rFonts w:ascii="Times New Roman" w:hAnsi="Times New Roman" w:eastAsia="黑体" w:cs="Times New Roman"/>
      <w:color w:val="auto"/>
      <w:sz w:val="32"/>
      <w:shd w:val="clear" w:fill="auto"/>
    </w:rPr>
  </w:style>
  <w:style w:type="paragraph" w:customStyle="1" w:styleId="22">
    <w:name w:val="样式1"/>
    <w:basedOn w:val="8"/>
    <w:qFormat/>
    <w:uiPriority w:val="0"/>
    <w:pPr>
      <w:adjustRightInd w:val="0"/>
      <w:snapToGrid w:val="0"/>
      <w:spacing w:line="560" w:lineRule="exact"/>
      <w:ind w:firstLine="602" w:firstLineChars="200"/>
    </w:pPr>
    <w:rPr>
      <w:snapToGrid w:val="0"/>
      <w:sz w:val="32"/>
      <w:szCs w:val="22"/>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3425</Words>
  <Characters>3516</Characters>
  <Lines>0</Lines>
  <Paragraphs>0</Paragraphs>
  <TotalTime>7</TotalTime>
  <ScaleCrop>false</ScaleCrop>
  <LinksUpToDate>false</LinksUpToDate>
  <CharactersWithSpaces>3516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2025-08-31T12:16:00Z</dcterms:created>
  <dc:creator>刘</dc:creator>
  <cp:lastModifiedBy>user</cp:lastModifiedBy>
  <cp:lastPrinted>2025-10-10T13:19:00Z</cp:lastPrinted>
  <dcterms:modified xsi:type="dcterms:W3CDTF">2025-11-20T18:35:39Z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D351A0EFB6164DF3923B42B1EE78B129_13</vt:lpwstr>
  </property>
  <property fmtid="{D5CDD505-2E9C-101B-9397-08002B2CF9AE}" pid="4" name="KSOTemplateDocerSaveRecord">
    <vt:lpwstr>eyJoZGlkIjoiNTllZDIwMTg0ZjJmMGNmYzZlMTQ4MjNjMDQ4MWU2ODIiLCJ1c2VySWQiOiIyMjcyNTg0NDEifQ==</vt:lpwstr>
  </property>
</Properties>
</file>