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AAAFEF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新疆维吾尔自治区和田地区药品检验所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val="0"/>
          <w:bCs w:val="0"/>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_Toc31918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sz w:val="32"/>
          <w:szCs w:val="32"/>
          <w:highlight w:val="none"/>
        </w:rPr>
        <w:t>第一部分 单位概况</w:t>
      </w:r>
      <w:r>
        <w:rPr>
          <w:rFonts w:hint="eastAsia" w:ascii="仿宋_GB2312" w:hAnsi="仿宋_GB2312" w:eastAsia="仿宋_GB2312" w:cs="仿宋_GB2312"/>
          <w:b w:val="0"/>
          <w:bCs w:val="0"/>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val="0"/>
          <w:bCs w:val="0"/>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_Toc7559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sz w:val="32"/>
          <w:szCs w:val="32"/>
          <w:highlight w:val="none"/>
        </w:rPr>
        <w:t>第</w:t>
      </w:r>
      <w:r>
        <w:rPr>
          <w:rFonts w:hint="eastAsia" w:ascii="仿宋_GB2312" w:hAnsi="仿宋_GB2312" w:eastAsia="仿宋_GB2312" w:cs="仿宋_GB2312"/>
          <w:b w:val="0"/>
          <w:bCs w:val="0"/>
          <w:sz w:val="32"/>
          <w:szCs w:val="32"/>
          <w:highlight w:val="none"/>
          <w:lang w:val="en-US" w:eastAsia="zh-CN"/>
        </w:rPr>
        <w:t>二</w:t>
      </w:r>
      <w:r>
        <w:rPr>
          <w:rFonts w:hint="eastAsia" w:ascii="仿宋_GB2312" w:hAnsi="仿宋_GB2312" w:eastAsia="仿宋_GB2312" w:cs="仿宋_GB2312"/>
          <w:b w:val="0"/>
          <w:bCs w:val="0"/>
          <w:sz w:val="32"/>
          <w:szCs w:val="32"/>
          <w:highlight w:val="none"/>
        </w:rPr>
        <w:t>部分 部门决算情况说明</w:t>
      </w:r>
      <w:r>
        <w:rPr>
          <w:rFonts w:hint="eastAsia" w:ascii="仿宋_GB2312" w:hAnsi="仿宋_GB2312" w:eastAsia="仿宋_GB2312" w:cs="仿宋_GB2312"/>
          <w:b w:val="0"/>
          <w:bCs w:val="0"/>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_Toc30038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sz w:val="32"/>
          <w:szCs w:val="32"/>
          <w:highlight w:val="none"/>
        </w:rPr>
        <w:t>第</w:t>
      </w:r>
      <w:r>
        <w:rPr>
          <w:rFonts w:hint="eastAsia" w:ascii="仿宋_GB2312" w:hAnsi="仿宋_GB2312" w:eastAsia="仿宋_GB2312" w:cs="仿宋_GB2312"/>
          <w:b w:val="0"/>
          <w:bCs w:val="0"/>
          <w:sz w:val="32"/>
          <w:szCs w:val="32"/>
          <w:highlight w:val="none"/>
          <w:lang w:val="en-US" w:eastAsia="zh-CN"/>
        </w:rPr>
        <w:t>三</w:t>
      </w:r>
      <w:r>
        <w:rPr>
          <w:rFonts w:hint="eastAsia" w:ascii="仿宋_GB2312" w:hAnsi="仿宋_GB2312" w:eastAsia="仿宋_GB2312" w:cs="仿宋_GB2312"/>
          <w:b w:val="0"/>
          <w:bCs w:val="0"/>
          <w:sz w:val="32"/>
          <w:szCs w:val="32"/>
          <w:highlight w:val="none"/>
        </w:rPr>
        <w:t>部分 专业名词解释</w:t>
      </w:r>
      <w:r>
        <w:rPr>
          <w:rFonts w:hint="eastAsia" w:ascii="仿宋_GB2312" w:hAnsi="仿宋_GB2312" w:eastAsia="仿宋_GB2312" w:cs="仿宋_GB2312"/>
          <w:b w:val="0"/>
          <w:bCs w:val="0"/>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val="0"/>
          <w:bCs w:val="0"/>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_Toc6831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sz w:val="32"/>
          <w:szCs w:val="32"/>
          <w:highlight w:val="none"/>
        </w:rPr>
        <w:t>第四部分 部门决算报表（见附表）</w:t>
      </w:r>
      <w:r>
        <w:rPr>
          <w:rFonts w:hint="eastAsia" w:ascii="仿宋_GB2312" w:hAnsi="仿宋_GB2312" w:eastAsia="仿宋_GB2312" w:cs="仿宋_GB2312"/>
          <w:b w:val="0"/>
          <w:bCs w:val="0"/>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815FCEE">
      <w:r>
        <w:br w:type="page"/>
      </w:r>
    </w:p>
    <w:p w14:paraId="02C28EB0">
      <w:pPr>
        <w:spacing w:line="640" w:lineRule="exact"/>
        <w:jc w:val="center"/>
        <w:outlineLvl w:val="1"/>
      </w:pPr>
      <w:r>
        <w:rPr>
          <w:rFonts w:ascii="黑体" w:hAnsi="黑体" w:eastAsia="黑体"/>
          <w:sz w:val="32"/>
        </w:rPr>
        <w:t>第一部分 单位概况</w:t>
      </w:r>
    </w:p>
    <w:p w14:paraId="179C2786">
      <w:pPr>
        <w:spacing w:line="640" w:lineRule="exact"/>
        <w:ind w:firstLine="640"/>
        <w:jc w:val="both"/>
        <w:outlineLvl w:val="2"/>
      </w:pPr>
      <w:r>
        <w:rPr>
          <w:rFonts w:ascii="黑体" w:hAnsi="黑体" w:eastAsia="黑体"/>
          <w:sz w:val="32"/>
        </w:rPr>
        <w:t>一、主要职能</w:t>
      </w:r>
    </w:p>
    <w:p w14:paraId="086DFBE6">
      <w:pPr>
        <w:spacing w:line="580" w:lineRule="exact"/>
        <w:ind w:firstLine="640"/>
        <w:jc w:val="both"/>
      </w:pPr>
      <w:r>
        <w:rPr>
          <w:rFonts w:hint="eastAsia" w:ascii="仿宋_GB2312" w:hAnsi="仿宋_GB2312" w:eastAsia="仿宋_GB2312"/>
          <w:sz w:val="32"/>
          <w:lang w:val="en-US" w:eastAsia="zh-CN"/>
        </w:rPr>
        <w:t>1、</w:t>
      </w:r>
      <w:r>
        <w:rPr>
          <w:rFonts w:ascii="仿宋_GB2312" w:hAnsi="仿宋_GB2312" w:eastAsia="仿宋_GB2312"/>
          <w:sz w:val="32"/>
        </w:rPr>
        <w:t>在检验检测方面：它负责对和田地区的药品进行抽查检验、复验和委托检验。通过专业的技术手段和精密的仪器设备，对药品的成分、纯度、有效性、安全性等进行全面检测，确保药品质量符合国家相关标准和规定。同时，积极组织实施上级主管部门委托的辖区内药品抽验计划，承担国家和本辖区药品计划抽验的抽样和检验工作，为药品质量监管提供准确可靠的数据支持，并为发布本辖区内药品质量公告提供技术数据和质量分析报告。</w:t>
      </w:r>
    </w:p>
    <w:p w14:paraId="2F1C8F6D">
      <w:pPr>
        <w:spacing w:line="580" w:lineRule="exact"/>
        <w:ind w:firstLine="640"/>
        <w:jc w:val="both"/>
      </w:pPr>
      <w:r>
        <w:rPr>
          <w:rFonts w:hint="eastAsia" w:ascii="仿宋_GB2312" w:hAnsi="仿宋_GB2312" w:eastAsia="仿宋_GB2312"/>
          <w:sz w:val="32"/>
          <w:lang w:val="en-US" w:eastAsia="zh-CN"/>
        </w:rPr>
        <w:t>2、</w:t>
      </w:r>
      <w:r>
        <w:rPr>
          <w:rFonts w:ascii="仿宋_GB2312" w:hAnsi="仿宋_GB2312" w:eastAsia="仿宋_GB2312"/>
          <w:sz w:val="32"/>
        </w:rPr>
        <w:t>在技术指导方面</w:t>
      </w:r>
      <w:r>
        <w:rPr>
          <w:rFonts w:hint="eastAsia" w:ascii="仿宋_GB2312" w:hAnsi="仿宋_GB2312" w:eastAsia="仿宋_GB2312"/>
          <w:sz w:val="32"/>
          <w:lang w:eastAsia="zh-CN"/>
        </w:rPr>
        <w:t>。</w:t>
      </w:r>
      <w:r>
        <w:rPr>
          <w:rFonts w:ascii="仿宋_GB2312" w:hAnsi="仿宋_GB2312" w:eastAsia="仿宋_GB2312"/>
          <w:sz w:val="32"/>
        </w:rPr>
        <w:t>为辖区内的药品生产、经营企业及医疗机构提供药品检验技术指导，帮助他们提高药品质量管理水平，确保药品在各个环节都能得到有效的质量控制。</w:t>
      </w:r>
    </w:p>
    <w:p w14:paraId="0723791C">
      <w:pPr>
        <w:spacing w:line="580" w:lineRule="exact"/>
        <w:ind w:firstLine="640"/>
        <w:jc w:val="both"/>
      </w:pPr>
      <w:r>
        <w:rPr>
          <w:rFonts w:hint="eastAsia" w:ascii="仿宋_GB2312" w:hAnsi="仿宋_GB2312" w:eastAsia="仿宋_GB2312"/>
          <w:sz w:val="32"/>
          <w:lang w:val="en-US" w:eastAsia="zh-CN"/>
        </w:rPr>
        <w:t>3、</w:t>
      </w:r>
      <w:r>
        <w:rPr>
          <w:rFonts w:ascii="仿宋_GB2312" w:hAnsi="仿宋_GB2312" w:eastAsia="仿宋_GB2312"/>
          <w:sz w:val="32"/>
        </w:rPr>
        <w:t>在科研创新方面</w:t>
      </w:r>
      <w:r>
        <w:rPr>
          <w:rFonts w:hint="eastAsia" w:ascii="仿宋_GB2312" w:hAnsi="仿宋_GB2312" w:eastAsia="仿宋_GB2312"/>
          <w:sz w:val="32"/>
          <w:lang w:eastAsia="zh-CN"/>
        </w:rPr>
        <w:t>。</w:t>
      </w:r>
      <w:r>
        <w:rPr>
          <w:rFonts w:ascii="仿宋_GB2312" w:hAnsi="仿宋_GB2312" w:eastAsia="仿宋_GB2312"/>
          <w:sz w:val="32"/>
        </w:rPr>
        <w:t>积极开展与药品检验、药品质量等有关的科研工作。致力于研究新的检验技术和方法，不断提升自身的检验能力和水平。通过科研创新，不仅能更好地应对日益复杂的药品质量问题，还能为药品监管政策的制定提供科学依据。</w:t>
      </w:r>
    </w:p>
    <w:p w14:paraId="2CD2A03D">
      <w:pPr>
        <w:spacing w:line="640" w:lineRule="exact"/>
        <w:ind w:firstLine="640"/>
        <w:jc w:val="both"/>
        <w:outlineLvl w:val="2"/>
      </w:pPr>
      <w:r>
        <w:rPr>
          <w:rFonts w:ascii="黑体" w:hAnsi="黑体" w:eastAsia="黑体"/>
          <w:sz w:val="32"/>
        </w:rPr>
        <w:t>二、机构设置及人员情况</w:t>
      </w:r>
    </w:p>
    <w:p w14:paraId="1D0583DA">
      <w:pPr>
        <w:spacing w:line="580" w:lineRule="exact"/>
        <w:ind w:firstLine="640"/>
        <w:jc w:val="both"/>
      </w:pPr>
      <w:r>
        <w:rPr>
          <w:rFonts w:ascii="仿宋_GB2312" w:hAnsi="仿宋_GB2312" w:eastAsia="仿宋_GB2312"/>
          <w:sz w:val="32"/>
        </w:rPr>
        <w:t>新疆维吾尔自治区和田地区药品检验所2024年度，实有人数13人，其中：在职人员9人，减少2人；离休人员0人，增加0人；退休人员4人,增加1人。</w:t>
      </w:r>
    </w:p>
    <w:p w14:paraId="7C089792">
      <w:pPr>
        <w:spacing w:line="580" w:lineRule="exact"/>
        <w:ind w:firstLine="640"/>
        <w:jc w:val="both"/>
      </w:pPr>
      <w:r>
        <w:rPr>
          <w:rFonts w:ascii="仿宋_GB2312" w:hAnsi="仿宋_GB2312" w:eastAsia="仿宋_GB2312"/>
          <w:sz w:val="32"/>
        </w:rPr>
        <w:t>新疆维吾尔自治区和田地区药品检验所无下属预算单位，下设3个科室，分别是：财务室、办公室、业务室。</w:t>
      </w:r>
    </w:p>
    <w:p w14:paraId="272E62C2">
      <w:r>
        <w:br w:type="page"/>
      </w:r>
    </w:p>
    <w:p w14:paraId="05CDE0B9">
      <w:pPr>
        <w:spacing w:line="240" w:lineRule="auto"/>
        <w:jc w:val="center"/>
        <w:outlineLvl w:val="1"/>
      </w:pPr>
      <w:r>
        <w:rPr>
          <w:rFonts w:ascii="黑体" w:hAnsi="黑体" w:eastAsia="黑体"/>
          <w:sz w:val="32"/>
        </w:rPr>
        <w:t>第二部分 部门决算情况说明</w:t>
      </w:r>
    </w:p>
    <w:p w14:paraId="79B8F4A0">
      <w:pPr>
        <w:spacing w:line="640" w:lineRule="exact"/>
        <w:ind w:firstLine="640"/>
        <w:jc w:val="both"/>
        <w:outlineLvl w:val="2"/>
      </w:pPr>
      <w:r>
        <w:rPr>
          <w:rFonts w:ascii="黑体" w:hAnsi="黑体" w:eastAsia="黑体"/>
          <w:sz w:val="32"/>
        </w:rPr>
        <w:t>一、收入支出决算总体情况说明</w:t>
      </w:r>
    </w:p>
    <w:p w14:paraId="38091B6F">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2024年度收入总计313.14万元</w:t>
      </w:r>
      <w:r>
        <w:rPr>
          <w:rFonts w:hint="eastAsia" w:ascii="仿宋_GB2312" w:hAnsi="仿宋_GB2312" w:eastAsia="仿宋_GB2312"/>
          <w:b w:val="0"/>
          <w:sz w:val="32"/>
          <w:lang w:eastAsia="zh-CN"/>
        </w:rPr>
        <w:t>。</w:t>
      </w:r>
      <w:r>
        <w:rPr>
          <w:rFonts w:ascii="仿宋_GB2312" w:hAnsi="仿宋_GB2312" w:eastAsia="仿宋_GB2312"/>
          <w:b w:val="0"/>
          <w:sz w:val="32"/>
        </w:rPr>
        <w:t>其中：本年收入合计313.14万元，使用非财政拨款结余（含专用结余）0.00万元，年初结转和结余0.00万元。</w:t>
      </w:r>
    </w:p>
    <w:p w14:paraId="65BCD936">
      <w:pPr>
        <w:spacing w:line="580" w:lineRule="exact"/>
        <w:ind w:firstLine="640"/>
        <w:jc w:val="both"/>
      </w:pPr>
      <w:r>
        <w:rPr>
          <w:rFonts w:ascii="仿宋_GB2312" w:hAnsi="仿宋_GB2312" w:eastAsia="仿宋_GB2312"/>
          <w:b w:val="0"/>
          <w:sz w:val="32"/>
        </w:rPr>
        <w:t>2024年度支出总计313.14万元</w:t>
      </w:r>
      <w:r>
        <w:rPr>
          <w:rFonts w:hint="eastAsia" w:ascii="仿宋_GB2312" w:hAnsi="仿宋_GB2312" w:eastAsia="仿宋_GB2312"/>
          <w:b w:val="0"/>
          <w:sz w:val="32"/>
          <w:lang w:eastAsia="zh-CN"/>
        </w:rPr>
        <w:t>。</w:t>
      </w:r>
      <w:r>
        <w:rPr>
          <w:rFonts w:ascii="仿宋_GB2312" w:hAnsi="仿宋_GB2312" w:eastAsia="仿宋_GB2312"/>
          <w:b w:val="0"/>
          <w:sz w:val="32"/>
        </w:rPr>
        <w:t>其中：本年支出合计313.14万元，结余分配0.00万元，年末结转和结余0.00万元。</w:t>
      </w:r>
    </w:p>
    <w:p w14:paraId="1AFB60E9">
      <w:pPr>
        <w:spacing w:line="580" w:lineRule="exact"/>
        <w:ind w:firstLine="640"/>
        <w:jc w:val="both"/>
      </w:pPr>
      <w:r>
        <w:rPr>
          <w:rFonts w:ascii="仿宋_GB2312" w:hAnsi="仿宋_GB2312" w:eastAsia="仿宋_GB2312"/>
          <w:b w:val="0"/>
          <w:sz w:val="32"/>
        </w:rPr>
        <w:t>收入支出总体与上年相比，减少21.11万元，下降6.32%，主要原因是：本年科技三项经费、药检经费等项目资金较上年减少，导致经费较上年减少。</w:t>
      </w:r>
    </w:p>
    <w:p w14:paraId="6E2D03BD">
      <w:pPr>
        <w:spacing w:line="640" w:lineRule="exact"/>
        <w:ind w:firstLine="640"/>
        <w:jc w:val="both"/>
        <w:outlineLvl w:val="2"/>
      </w:pPr>
      <w:r>
        <w:rPr>
          <w:rFonts w:ascii="黑体" w:hAnsi="黑体" w:eastAsia="黑体"/>
          <w:sz w:val="32"/>
        </w:rPr>
        <w:t>二、收入决算情况说明</w:t>
      </w:r>
    </w:p>
    <w:p w14:paraId="4E944FE3">
      <w:pPr>
        <w:spacing w:line="580" w:lineRule="exact"/>
        <w:ind w:firstLine="640"/>
        <w:jc w:val="both"/>
      </w:pPr>
      <w:r>
        <w:rPr>
          <w:rFonts w:ascii="仿宋_GB2312" w:hAnsi="仿宋_GB2312" w:eastAsia="仿宋_GB2312"/>
          <w:b w:val="0"/>
          <w:sz w:val="32"/>
        </w:rPr>
        <w:t>本年收入313.14万元，</w:t>
      </w:r>
      <w:r>
        <w:rPr>
          <w:rFonts w:ascii="仿宋_GB2312" w:hAnsi="仿宋_GB2312" w:eastAsia="仿宋_GB2312"/>
          <w:b w:val="0"/>
          <w:sz w:val="32"/>
        </w:rPr>
        <w:t>其中：财政拨款收入313.14万元，占100.00%；上级补助收入0.00万元，占0.00%；事业收入0.00万元，占0.00%；经营收入0.00万元，占0.00%；附属单位上缴收入0.00万元，占0.00%；其他收入0.00万元，占0.00%。</w:t>
      </w:r>
    </w:p>
    <w:p w14:paraId="6B119A5A">
      <w:pPr>
        <w:spacing w:line="640" w:lineRule="exact"/>
        <w:ind w:firstLine="640"/>
        <w:jc w:val="both"/>
        <w:outlineLvl w:val="2"/>
      </w:pPr>
      <w:r>
        <w:rPr>
          <w:rFonts w:ascii="黑体" w:hAnsi="黑体" w:eastAsia="黑体"/>
          <w:sz w:val="32"/>
        </w:rPr>
        <w:t>三、支出决算情况说明</w:t>
      </w:r>
    </w:p>
    <w:p w14:paraId="6F3E6B6A">
      <w:pPr>
        <w:spacing w:line="580" w:lineRule="exact"/>
        <w:ind w:firstLine="640"/>
        <w:jc w:val="both"/>
      </w:pPr>
      <w:r>
        <w:rPr>
          <w:rFonts w:ascii="仿宋_GB2312" w:hAnsi="仿宋_GB2312" w:eastAsia="仿宋_GB2312"/>
          <w:b w:val="0"/>
          <w:sz w:val="32"/>
        </w:rPr>
        <w:t>本年支出313.14万元，</w:t>
      </w:r>
      <w:r>
        <w:rPr>
          <w:rFonts w:ascii="仿宋_GB2312" w:hAnsi="仿宋_GB2312" w:eastAsia="仿宋_GB2312"/>
          <w:b w:val="0"/>
          <w:sz w:val="32"/>
        </w:rPr>
        <w:t>其中：基本支出238.41万元，占76.14%；项目支出74.73万元，占23.86%；上缴上级支出0.00万元，占0.00%；经营支出0.00万元，占0.00%；对附属单位补助支出0.00万元，占0.00%。</w:t>
      </w:r>
    </w:p>
    <w:p w14:paraId="2778B29E">
      <w:pPr>
        <w:spacing w:line="640" w:lineRule="exact"/>
        <w:ind w:firstLine="640"/>
        <w:jc w:val="both"/>
        <w:outlineLvl w:val="2"/>
      </w:pPr>
      <w:r>
        <w:rPr>
          <w:rFonts w:ascii="黑体" w:hAnsi="黑体" w:eastAsia="黑体"/>
          <w:sz w:val="32"/>
        </w:rPr>
        <w:t>四、财政拨款收入支出决算总体情况说明</w:t>
      </w:r>
    </w:p>
    <w:p w14:paraId="65B6FCCD">
      <w:pPr>
        <w:spacing w:line="580" w:lineRule="exact"/>
        <w:ind w:firstLine="640"/>
        <w:jc w:val="both"/>
      </w:pPr>
      <w:r>
        <w:rPr>
          <w:rFonts w:ascii="仿宋_GB2312" w:hAnsi="仿宋_GB2312" w:eastAsia="仿宋_GB2312"/>
          <w:b w:val="0"/>
          <w:sz w:val="32"/>
        </w:rPr>
        <w:t>2024年度财政拨款收入总计313.14万元，</w:t>
      </w:r>
      <w:r>
        <w:rPr>
          <w:rFonts w:ascii="仿宋_GB2312" w:hAnsi="仿宋_GB2312" w:eastAsia="仿宋_GB2312"/>
          <w:b w:val="0"/>
          <w:sz w:val="32"/>
        </w:rPr>
        <w:t>其中：年初财政拨款结转和结余0.00万元，本年财政拨款收入313.14万元。财政拨款支出总计313.14万元，其中：年末财政拨款结转和结余0.00万元，本年财政拨款支出313.14万元。</w:t>
      </w:r>
    </w:p>
    <w:p w14:paraId="3F9DD75E">
      <w:pPr>
        <w:spacing w:line="580" w:lineRule="exact"/>
        <w:ind w:firstLine="640"/>
        <w:jc w:val="both"/>
      </w:pPr>
      <w:r>
        <w:rPr>
          <w:rFonts w:ascii="仿宋_GB2312" w:hAnsi="仿宋_GB2312" w:eastAsia="仿宋_GB2312"/>
          <w:b w:val="0"/>
          <w:sz w:val="32"/>
        </w:rPr>
        <w:t>财政拨款收入支出总体与上年相比，</w:t>
      </w:r>
      <w:r>
        <w:rPr>
          <w:rFonts w:ascii="仿宋_GB2312" w:hAnsi="仿宋_GB2312" w:eastAsia="仿宋_GB2312"/>
          <w:b w:val="0"/>
          <w:sz w:val="32"/>
        </w:rPr>
        <w:t>减少17.72万元，下降5.36%，主要原因是：本年科技三项经费、药检经费等项目资金较上年减少，导致经费较上年减少。与年初预算相比，</w:t>
      </w:r>
      <w:r>
        <w:rPr>
          <w:rFonts w:ascii="仿宋_GB2312" w:hAnsi="仿宋_GB2312" w:eastAsia="仿宋_GB2312"/>
          <w:b w:val="0"/>
          <w:sz w:val="32"/>
        </w:rPr>
        <w:t>年初预算数257.14万元，决算数313.14万元，预决算差异率21.78%，主要原因是：年中追加自治区药品抽检项目经费，导致预决算存在差异。</w:t>
      </w:r>
    </w:p>
    <w:p w14:paraId="6A1A4144">
      <w:pPr>
        <w:spacing w:line="640" w:lineRule="exact"/>
        <w:ind w:firstLine="640"/>
        <w:jc w:val="both"/>
        <w:outlineLvl w:val="2"/>
      </w:pPr>
      <w:r>
        <w:rPr>
          <w:rFonts w:ascii="黑体" w:hAnsi="黑体" w:eastAsia="黑体"/>
          <w:sz w:val="32"/>
        </w:rPr>
        <w:t>五、一般公共预算财政拨款支出决算情况说明</w:t>
      </w:r>
    </w:p>
    <w:p w14:paraId="349AE287">
      <w:pPr>
        <w:spacing w:line="640" w:lineRule="exact"/>
        <w:ind w:firstLine="640"/>
        <w:jc w:val="both"/>
        <w:outlineLvl w:val="3"/>
      </w:pPr>
      <w:r>
        <w:rPr>
          <w:rFonts w:ascii="楷体_GB2312" w:hAnsi="楷体_GB2312" w:eastAsia="楷体_GB2312"/>
          <w:b/>
          <w:sz w:val="32"/>
        </w:rPr>
        <w:t>（一）一般公共预算财政拨款支出决算总体情况</w:t>
      </w:r>
    </w:p>
    <w:p w14:paraId="6BC78F00">
      <w:pPr>
        <w:spacing w:line="580" w:lineRule="exact"/>
        <w:ind w:firstLine="640"/>
        <w:jc w:val="both"/>
      </w:pPr>
      <w:r>
        <w:rPr>
          <w:rFonts w:ascii="仿宋_GB2312" w:hAnsi="仿宋_GB2312" w:eastAsia="仿宋_GB2312"/>
          <w:b w:val="0"/>
          <w:sz w:val="32"/>
        </w:rPr>
        <w:t>2024年度一般公共预算财政拨款支出313.14万元，</w:t>
      </w:r>
      <w:r>
        <w:rPr>
          <w:rFonts w:ascii="仿宋_GB2312" w:hAnsi="仿宋_GB2312" w:eastAsia="仿宋_GB2312"/>
          <w:b w:val="0"/>
          <w:sz w:val="32"/>
        </w:rPr>
        <w:t>占本年支出合计的100.00%。与上年相比，</w:t>
      </w:r>
      <w:r>
        <w:rPr>
          <w:rFonts w:ascii="仿宋_GB2312" w:hAnsi="仿宋_GB2312" w:eastAsia="仿宋_GB2312"/>
          <w:b w:val="0"/>
          <w:sz w:val="32"/>
        </w:rPr>
        <w:t>减少17.72万元，下降5.36%，主要原因是：本年科技三项经费、药检经费等项目资金较上年减少，导致经费较上年减少。与年初预算相比,</w:t>
      </w:r>
      <w:r>
        <w:rPr>
          <w:rFonts w:ascii="仿宋_GB2312" w:hAnsi="仿宋_GB2312" w:eastAsia="仿宋_GB2312"/>
          <w:b w:val="0"/>
          <w:sz w:val="32"/>
        </w:rPr>
        <w:t>年初预算数257.14万元，决算数313.14万元，预决算差异率21.78%，主要原因是：年中追加自治区药品抽检项目经费，导致预决算存在差异。</w:t>
      </w:r>
    </w:p>
    <w:p w14:paraId="1EC60A96">
      <w:pPr>
        <w:spacing w:line="640" w:lineRule="exact"/>
        <w:ind w:firstLine="640"/>
        <w:jc w:val="both"/>
        <w:outlineLvl w:val="3"/>
      </w:pPr>
      <w:r>
        <w:rPr>
          <w:rFonts w:ascii="楷体_GB2312" w:hAnsi="楷体_GB2312" w:eastAsia="楷体_GB2312"/>
          <w:b/>
          <w:sz w:val="32"/>
        </w:rPr>
        <w:t>（二）一般公共预算财政拨款支出决算结构情况</w:t>
      </w:r>
    </w:p>
    <w:p w14:paraId="04264706">
      <w:pPr>
        <w:spacing w:line="580" w:lineRule="exact"/>
        <w:ind w:firstLine="640"/>
        <w:jc w:val="both"/>
      </w:pPr>
      <w:r>
        <w:rPr>
          <w:rFonts w:ascii="仿宋_GB2312" w:hAnsi="仿宋_GB2312" w:eastAsia="仿宋_GB2312"/>
          <w:b w:val="0"/>
          <w:sz w:val="32"/>
        </w:rPr>
        <w:t>1.一般公共服务支出(类)250.92万元,占80.13%。</w:t>
      </w:r>
    </w:p>
    <w:p w14:paraId="0CD9E84F">
      <w:pPr>
        <w:spacing w:line="580" w:lineRule="exact"/>
        <w:ind w:firstLine="640"/>
        <w:jc w:val="both"/>
      </w:pPr>
      <w:r>
        <w:rPr>
          <w:rFonts w:ascii="仿宋_GB2312" w:hAnsi="仿宋_GB2312" w:eastAsia="仿宋_GB2312"/>
          <w:b w:val="0"/>
          <w:sz w:val="32"/>
        </w:rPr>
        <w:t>2.社会保障和就业支出(类)36.96万元,占11.80%。</w:t>
      </w:r>
    </w:p>
    <w:p w14:paraId="4A1C6DA5">
      <w:pPr>
        <w:spacing w:line="580" w:lineRule="exact"/>
        <w:ind w:firstLine="640"/>
        <w:jc w:val="both"/>
      </w:pPr>
      <w:r>
        <w:rPr>
          <w:rFonts w:ascii="仿宋_GB2312" w:hAnsi="仿宋_GB2312" w:eastAsia="仿宋_GB2312"/>
          <w:b w:val="0"/>
          <w:sz w:val="32"/>
        </w:rPr>
        <w:t>3.卫生健康支出(类)8.99万元,占2.87%。</w:t>
      </w:r>
    </w:p>
    <w:p w14:paraId="1AF2A101">
      <w:pPr>
        <w:spacing w:line="580" w:lineRule="exact"/>
        <w:ind w:firstLine="640"/>
        <w:jc w:val="both"/>
      </w:pPr>
      <w:r>
        <w:rPr>
          <w:rFonts w:ascii="仿宋_GB2312" w:hAnsi="仿宋_GB2312" w:eastAsia="仿宋_GB2312"/>
          <w:b w:val="0"/>
          <w:sz w:val="32"/>
        </w:rPr>
        <w:t>4.住房保障支出(类)16.27万元,占5.20%。</w:t>
      </w:r>
    </w:p>
    <w:p w14:paraId="455D1B25">
      <w:pPr>
        <w:spacing w:line="640" w:lineRule="exact"/>
        <w:ind w:firstLine="640"/>
        <w:jc w:val="both"/>
        <w:outlineLvl w:val="3"/>
      </w:pPr>
      <w:r>
        <w:rPr>
          <w:rFonts w:ascii="楷体_GB2312" w:hAnsi="楷体_GB2312" w:eastAsia="楷体_GB2312"/>
          <w:b/>
          <w:sz w:val="32"/>
        </w:rPr>
        <w:t>（三）一般公共预算财政拨款支出决算具体情况</w:t>
      </w:r>
    </w:p>
    <w:p w14:paraId="4D411845">
      <w:pPr>
        <w:spacing w:line="580" w:lineRule="exact"/>
        <w:ind w:firstLine="640"/>
        <w:jc w:val="both"/>
      </w:pPr>
      <w:r>
        <w:rPr>
          <w:rFonts w:ascii="仿宋_GB2312" w:hAnsi="仿宋_GB2312" w:eastAsia="仿宋_GB2312"/>
          <w:b w:val="0"/>
          <w:sz w:val="32"/>
        </w:rPr>
        <w:t>1.一般公共服务支出(类)市场监督管理事务(款)药品事务(项):支出决算数为54.73万元，比上年决算增加25.79万元，增长89.12%,主要原因是：本年度增加治区药品抽检项目经费，导致经费较上年增加。</w:t>
      </w:r>
    </w:p>
    <w:p w14:paraId="38202C74">
      <w:pPr>
        <w:spacing w:line="580" w:lineRule="exact"/>
        <w:ind w:firstLine="640"/>
        <w:jc w:val="both"/>
      </w:pPr>
      <w:r>
        <w:rPr>
          <w:rFonts w:ascii="仿宋_GB2312" w:hAnsi="仿宋_GB2312" w:eastAsia="仿宋_GB2312"/>
          <w:b w:val="0"/>
          <w:sz w:val="32"/>
        </w:rPr>
        <w:t>2.一般公共服务支出(类)市场监督管理事务(款)事业运行(项):支出决算数为176.19万元，比上年决算减少44.61万元，下降20.20%,主要原因是：本年功能科目调整，事业单位医疗、事业单位离退休、住房公积金科目上年度在此科目列支，本年单独列支，导致经费较上年减少。</w:t>
      </w:r>
    </w:p>
    <w:p w14:paraId="7B8C01B2">
      <w:pPr>
        <w:spacing w:line="580" w:lineRule="exact"/>
        <w:ind w:firstLine="640"/>
        <w:jc w:val="both"/>
      </w:pPr>
      <w:r>
        <w:rPr>
          <w:rFonts w:ascii="仿宋_GB2312" w:hAnsi="仿宋_GB2312" w:eastAsia="仿宋_GB2312"/>
          <w:b w:val="0"/>
          <w:sz w:val="32"/>
        </w:rPr>
        <w:t>3.一般公共服务支出(类)市场监督管理事务(款)其他市场监督管理事务(项):支出决算数为20.00万元，比上年决算减少9.90万元，下降33.11%,主要原因是：本年减少食品药品检验项目资金，导致经费较上年减少。</w:t>
      </w:r>
    </w:p>
    <w:p w14:paraId="1D1D8ED9">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7.68万元，比上年决算增加7.68万元，增长100.00%,主要原因是：本年功能科目调整，事业单位离退休上年度在主科目列支，本年单独列支，导致经费较上年增加。</w:t>
      </w:r>
    </w:p>
    <w:p w14:paraId="27293CA4">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21.08万元，比上年决算增加3.13万元，增长17.44%,主要原因是：本年在职人员工资基数调增，养老缴费基数上涨，相应支出增加。</w:t>
      </w:r>
    </w:p>
    <w:p w14:paraId="6A449DC1">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8.20万元，比上年决算减少25.07万元，下降75.35%,主要原因是：本年新增退休人员较上年减少，职业年金缴费较上年减少。</w:t>
      </w:r>
    </w:p>
    <w:p w14:paraId="03827F24">
      <w:pPr>
        <w:spacing w:line="580" w:lineRule="exact"/>
        <w:ind w:firstLine="640"/>
        <w:jc w:val="both"/>
      </w:pPr>
      <w:r>
        <w:rPr>
          <w:rFonts w:ascii="仿宋_GB2312" w:hAnsi="仿宋_GB2312" w:eastAsia="仿宋_GB2312"/>
          <w:b w:val="0"/>
          <w:sz w:val="32"/>
        </w:rPr>
        <w:t>7.卫生健康支出(类)行政事业单位医疗(款)事业单位医疗(项):支出决算数为8.99万元，比上年决算增加8.99万元，增长100.00%,主要原因是：本年功能科目调整，事业单位医疗支出上年度在主科目列支，本年单独列支，导致经费较上年增加。</w:t>
      </w:r>
    </w:p>
    <w:p w14:paraId="05E3B0D2">
      <w:pPr>
        <w:spacing w:line="580" w:lineRule="exact"/>
        <w:ind w:firstLine="640"/>
        <w:jc w:val="both"/>
      </w:pPr>
      <w:r>
        <w:rPr>
          <w:rFonts w:ascii="仿宋_GB2312" w:hAnsi="仿宋_GB2312" w:eastAsia="仿宋_GB2312"/>
          <w:b w:val="0"/>
          <w:sz w:val="32"/>
        </w:rPr>
        <w:t>8.住房保障支出(类)住房改革支出(款)住房公积金(项):支出决算数为16.27万元，比上年决算增加16.27万元，增长100.00%,主要原因是：本年功能科目调整，住房公积金上年度在主科目列支，本年单独列支，导致经费较上年增加。</w:t>
      </w:r>
    </w:p>
    <w:p w14:paraId="3632466A">
      <w:pPr>
        <w:spacing w:line="640" w:lineRule="exact"/>
        <w:ind w:firstLine="640"/>
        <w:jc w:val="both"/>
        <w:outlineLvl w:val="2"/>
      </w:pPr>
      <w:r>
        <w:rPr>
          <w:rFonts w:ascii="黑体" w:hAnsi="黑体" w:eastAsia="黑体"/>
          <w:sz w:val="32"/>
        </w:rPr>
        <w:t>六、一般公共预算财政拨款基本支出决算情况说明</w:t>
      </w:r>
    </w:p>
    <w:p w14:paraId="4CD9EEC9">
      <w:pPr>
        <w:spacing w:line="580" w:lineRule="exact"/>
        <w:ind w:firstLine="640"/>
        <w:jc w:val="both"/>
      </w:pPr>
      <w:r>
        <w:rPr>
          <w:rFonts w:ascii="仿宋_GB2312" w:hAnsi="仿宋_GB2312" w:eastAsia="仿宋_GB2312"/>
          <w:b w:val="0"/>
          <w:sz w:val="32"/>
        </w:rPr>
        <w:t>2024年度一般公共预算财政拨款基本支出238.41万元，其中：人员经费216.71万元，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包括：基本工资、津贴补贴、绩效工资、机关事业单位基本养老保险缴费、职业年金缴费、职工基本医疗保险缴费、其他社会保障缴费、住房公积金、其他工资福利支出、退休费、奖励金。</w:t>
      </w:r>
    </w:p>
    <w:p w14:paraId="2F6C36FC">
      <w:pPr>
        <w:spacing w:line="580" w:lineRule="exact"/>
        <w:ind w:firstLine="640"/>
        <w:jc w:val="both"/>
      </w:pPr>
      <w:r>
        <w:rPr>
          <w:rFonts w:ascii="仿宋_GB2312" w:hAnsi="仿宋_GB2312" w:eastAsia="仿宋_GB2312"/>
          <w:b w:val="0"/>
          <w:sz w:val="32"/>
        </w:rPr>
        <w:t>公用经费21.70万元，</w:t>
      </w:r>
      <w:r>
        <w:rPr>
          <w:rFonts w:ascii="仿宋_GB2312" w:hAnsi="仿宋_GB2312" w:eastAsia="仿宋_GB2312"/>
          <w:b w:val="0"/>
          <w:sz w:val="32"/>
        </w:rPr>
        <w:t>包括：办公费、印刷费、手续费、水费、电费、邮电费、取暖费、差旅费、维修（护）费、培训费、劳务费、委托业务费、工会经费、福利费、公务用车运行维护费、其他商品和服务支出。</w:t>
      </w:r>
    </w:p>
    <w:p w14:paraId="78BC7184">
      <w:pPr>
        <w:spacing w:line="640" w:lineRule="exact"/>
        <w:ind w:firstLine="640"/>
        <w:jc w:val="both"/>
        <w:outlineLvl w:val="2"/>
      </w:pPr>
      <w:r>
        <w:rPr>
          <w:rFonts w:ascii="黑体" w:hAnsi="黑体" w:eastAsia="黑体"/>
          <w:sz w:val="32"/>
        </w:rPr>
        <w:t>七、政府性基金预算财政拨款收入支出决算情况说明</w:t>
      </w:r>
    </w:p>
    <w:p w14:paraId="655DC1D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4847E4D">
      <w:pPr>
        <w:spacing w:line="640" w:lineRule="exact"/>
        <w:ind w:firstLine="640"/>
        <w:jc w:val="both"/>
        <w:outlineLvl w:val="2"/>
      </w:pPr>
      <w:r>
        <w:rPr>
          <w:rFonts w:ascii="黑体" w:hAnsi="黑体" w:eastAsia="黑体"/>
          <w:sz w:val="32"/>
        </w:rPr>
        <w:t>八、国有资本经营预算财政拨款收入支出决算情况说明</w:t>
      </w:r>
    </w:p>
    <w:p w14:paraId="07CF73B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835D5B0">
      <w:pPr>
        <w:spacing w:line="640" w:lineRule="exact"/>
        <w:ind w:firstLine="640"/>
        <w:jc w:val="both"/>
        <w:outlineLvl w:val="2"/>
      </w:pPr>
      <w:r>
        <w:rPr>
          <w:rFonts w:ascii="黑体" w:hAnsi="黑体" w:eastAsia="黑体"/>
          <w:sz w:val="32"/>
        </w:rPr>
        <w:t>九、财政拨款“三公”经费支出决算情况说明</w:t>
      </w:r>
    </w:p>
    <w:p w14:paraId="5595D062">
      <w:pPr>
        <w:spacing w:line="580" w:lineRule="exact"/>
        <w:ind w:firstLine="640"/>
        <w:jc w:val="both"/>
      </w:pPr>
      <w:r>
        <w:rPr>
          <w:rFonts w:ascii="仿宋_GB2312" w:hAnsi="仿宋_GB2312" w:eastAsia="仿宋_GB2312"/>
          <w:b/>
          <w:sz w:val="32"/>
        </w:rPr>
        <w:t>2024年度财政拨款“三公”经费支出2.00万元，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三公”经费与上年一致无变化。其中：因公出国（境）费支出0.00万元，占0.00%，比上年增加0.00万元，增长0.00%，主要原因是：2023年与2024年均未安排因公出国（境）费支出。公务用车购置及运行维护费支出2.00万元，占100.00%，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单位“三公”经费与上年一致无变化。公务接待费支出0.00万元，占0.00%，比上年增加0.00万元，增长0.00%，主要原因是：2023年与2024年均未安排公务接待费支出。</w:t>
      </w:r>
    </w:p>
    <w:p w14:paraId="547FCC20">
      <w:pPr>
        <w:spacing w:line="580" w:lineRule="exact"/>
        <w:ind w:firstLine="640"/>
        <w:jc w:val="both"/>
      </w:pPr>
      <w:r>
        <w:rPr>
          <w:rFonts w:ascii="仿宋_GB2312" w:hAnsi="仿宋_GB2312" w:eastAsia="仿宋_GB2312"/>
          <w:b/>
          <w:sz w:val="32"/>
        </w:rPr>
        <w:t>具体情况如下：</w:t>
      </w:r>
    </w:p>
    <w:p w14:paraId="7674761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2864182">
      <w:pPr>
        <w:spacing w:line="580" w:lineRule="exact"/>
        <w:ind w:firstLine="640"/>
        <w:jc w:val="both"/>
      </w:pPr>
      <w:r>
        <w:rPr>
          <w:rFonts w:ascii="仿宋_GB2312" w:hAnsi="仿宋_GB2312" w:eastAsia="仿宋_GB2312"/>
          <w:b w:val="0"/>
          <w:sz w:val="32"/>
        </w:rPr>
        <w:t>公务用车购置及运行维护费2.00万元，其中：公务用车购置费0.00万元，公务用车运行维护费2.00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1B87ECF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C5A0FF3">
      <w:pPr>
        <w:spacing w:line="580" w:lineRule="exact"/>
        <w:ind w:firstLine="640"/>
        <w:jc w:val="both"/>
      </w:pPr>
      <w:r>
        <w:rPr>
          <w:rFonts w:ascii="仿宋_GB2312" w:hAnsi="仿宋_GB2312" w:eastAsia="仿宋_GB2312"/>
          <w:b w:val="0"/>
          <w:sz w:val="32"/>
        </w:rPr>
        <w:t>与全年预算相比，财政拨款“三公”经费支出全年预算数2.00万元，决算数2.00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0.00万元，决算数0.00万元，预决算差异率0.00%，主要原因是：本单位无公务接待费。</w:t>
      </w:r>
    </w:p>
    <w:p w14:paraId="5526EE69">
      <w:pPr>
        <w:spacing w:line="640" w:lineRule="exact"/>
        <w:ind w:firstLine="640"/>
        <w:jc w:val="both"/>
        <w:outlineLvl w:val="2"/>
      </w:pPr>
      <w:r>
        <w:rPr>
          <w:rFonts w:ascii="黑体" w:hAnsi="黑体" w:eastAsia="黑体"/>
          <w:sz w:val="32"/>
        </w:rPr>
        <w:t>十、其他重要事项的情况说明</w:t>
      </w:r>
    </w:p>
    <w:p w14:paraId="4B5C6067">
      <w:pPr>
        <w:spacing w:line="640" w:lineRule="exact"/>
        <w:ind w:firstLine="640"/>
        <w:jc w:val="both"/>
        <w:outlineLvl w:val="3"/>
      </w:pPr>
      <w:r>
        <w:rPr>
          <w:rFonts w:ascii="楷体_GB2312" w:hAnsi="楷体_GB2312" w:eastAsia="楷体_GB2312"/>
          <w:b/>
          <w:sz w:val="32"/>
        </w:rPr>
        <w:t>（一）机关运行经费及公用经费支出情况</w:t>
      </w:r>
    </w:p>
    <w:p w14:paraId="3F5A5AA4">
      <w:pPr>
        <w:spacing w:line="580" w:lineRule="exact"/>
        <w:ind w:firstLine="640"/>
        <w:jc w:val="both"/>
      </w:pPr>
      <w:r>
        <w:rPr>
          <w:rFonts w:ascii="仿宋_GB2312" w:hAnsi="仿宋_GB2312" w:eastAsia="仿宋_GB2312"/>
          <w:b w:val="0"/>
          <w:sz w:val="32"/>
        </w:rPr>
        <w:t>2024年度新疆维吾尔自治区和田地区药品检验所（事业单位）公用经费支出21.70万元，比上年增加0.66万元，增长3.14%，主要原因是：本年办公经费较上年增加，导致公用经费较上年增加。</w:t>
      </w:r>
    </w:p>
    <w:p w14:paraId="7EE8BBFE">
      <w:pPr>
        <w:spacing w:line="640" w:lineRule="exact"/>
        <w:ind w:firstLine="640"/>
        <w:jc w:val="both"/>
        <w:outlineLvl w:val="3"/>
      </w:pPr>
      <w:r>
        <w:rPr>
          <w:rFonts w:ascii="楷体_GB2312" w:hAnsi="楷体_GB2312" w:eastAsia="楷体_GB2312"/>
          <w:b/>
          <w:sz w:val="32"/>
        </w:rPr>
        <w:t>（二）政府采购情况</w:t>
      </w:r>
    </w:p>
    <w:p w14:paraId="72E0D98E">
      <w:pPr>
        <w:spacing w:line="580" w:lineRule="exact"/>
        <w:ind w:firstLine="640"/>
        <w:jc w:val="both"/>
      </w:pPr>
      <w:r>
        <w:rPr>
          <w:rFonts w:ascii="仿宋_GB2312" w:hAnsi="仿宋_GB2312" w:eastAsia="仿宋_GB2312"/>
          <w:b w:val="0"/>
          <w:sz w:val="32"/>
        </w:rPr>
        <w:t>2024年度政府采购支出总额0.90万元，其中：政府采购货物支出0.00万元、政府采购工程支出0.00万元、政府采购服务支出0.90万元。</w:t>
      </w:r>
    </w:p>
    <w:p w14:paraId="1082B98F">
      <w:pPr>
        <w:spacing w:line="580" w:lineRule="exact"/>
        <w:ind w:firstLine="640"/>
        <w:jc w:val="both"/>
      </w:pPr>
      <w:r>
        <w:rPr>
          <w:rFonts w:ascii="仿宋_GB2312" w:hAnsi="仿宋_GB2312" w:eastAsia="仿宋_GB2312"/>
          <w:b w:val="0"/>
          <w:sz w:val="32"/>
        </w:rPr>
        <w:t>授予中小企业合同金额0.90万元，占政府采购支出总额的100.00%，其中：授予小微企业合同金额0.90万元，占政府采购支出总额的100.00%。</w:t>
      </w:r>
    </w:p>
    <w:p w14:paraId="19FAE350">
      <w:pPr>
        <w:spacing w:line="640" w:lineRule="exact"/>
        <w:ind w:firstLine="640"/>
        <w:jc w:val="both"/>
        <w:outlineLvl w:val="3"/>
      </w:pPr>
      <w:r>
        <w:rPr>
          <w:rFonts w:ascii="楷体_GB2312" w:hAnsi="楷体_GB2312" w:eastAsia="楷体_GB2312"/>
          <w:b/>
          <w:sz w:val="32"/>
        </w:rPr>
        <w:t>（三）国有资产占用情况说明</w:t>
      </w:r>
    </w:p>
    <w:p w14:paraId="3756E94C">
      <w:pPr>
        <w:spacing w:line="580" w:lineRule="exact"/>
        <w:ind w:firstLine="640"/>
        <w:jc w:val="both"/>
      </w:pPr>
      <w:r>
        <w:rPr>
          <w:rFonts w:ascii="仿宋_GB2312" w:hAnsi="仿宋_GB2312" w:eastAsia="仿宋_GB2312"/>
          <w:b w:val="0"/>
          <w:sz w:val="32"/>
        </w:rPr>
        <w:t>截至2024年12月31日，房屋4,426.52平方米，价值1,313.48万元。车辆1辆，价值21.36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2台（套）。</w:t>
      </w:r>
    </w:p>
    <w:p w14:paraId="138EF7C2">
      <w:pPr>
        <w:spacing w:line="640" w:lineRule="exact"/>
        <w:ind w:firstLine="640"/>
        <w:jc w:val="both"/>
        <w:outlineLvl w:val="2"/>
      </w:pPr>
      <w:r>
        <w:rPr>
          <w:rFonts w:ascii="黑体" w:hAnsi="黑体" w:eastAsia="黑体"/>
          <w:sz w:val="32"/>
        </w:rPr>
        <w:t>十一、预算绩效的情况说明</w:t>
      </w:r>
    </w:p>
    <w:p w14:paraId="317890E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313.14万元，实际执行总额313.14万元；预算绩效评价项目1个，全年预算数74.73万元，全年执行数74.73万元。预算绩效管理取得的成效：通过严格的预算绩效管理，对资金进行科学规划和分配，确保资金投入到最关键的药品检验项目和设备更新上，提高了资源的利用效率。发现的问题及原因：预算执行进度不稳定。有时前期执行缓慢，后期为完成任务突击花钱，影响资金使用的合理性和有效性。下一步改进措施：加强预算执行进度管理，定期对预算执行情况进行分析和评估。明确各项目负责人的责任，制定详细的项目进度时间表，确保项目按计划推进。对于执行缓慢的项目，及时进行督促和调整，避免前期拖沓、后期突击花钱的情况发生。具体附整体支出绩效自评表，项目支出绩效自评表和评价报告。</w:t>
      </w:r>
    </w:p>
    <w:p w14:paraId="11C9C44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03FDA84">
        <w:tblPrEx>
          <w:tblCellMar>
            <w:top w:w="0" w:type="dxa"/>
            <w:left w:w="108" w:type="dxa"/>
            <w:bottom w:w="0" w:type="dxa"/>
            <w:right w:w="108" w:type="dxa"/>
          </w:tblCellMar>
        </w:tblPrEx>
        <w:tc>
          <w:tcPr>
            <w:tcW w:w="8847" w:type="dxa"/>
            <w:gridSpan w:val="9"/>
            <w:vAlign w:val="center"/>
          </w:tcPr>
          <w:p w14:paraId="47BF2ED1">
            <w:pPr>
              <w:jc w:val="center"/>
            </w:pPr>
            <w:r>
              <w:rPr>
                <w:rFonts w:ascii="宋体" w:hAnsi="宋体" w:eastAsia="宋体"/>
                <w:sz w:val="24"/>
              </w:rPr>
              <w:t>单位整体支出绩效自评表</w:t>
            </w:r>
          </w:p>
        </w:tc>
      </w:tr>
      <w:tr w14:paraId="7F68F96E">
        <w:tblPrEx>
          <w:tblCellMar>
            <w:top w:w="0" w:type="dxa"/>
            <w:left w:w="108" w:type="dxa"/>
            <w:bottom w:w="0" w:type="dxa"/>
            <w:right w:w="108" w:type="dxa"/>
          </w:tblCellMar>
        </w:tblPrEx>
        <w:tc>
          <w:tcPr>
            <w:tcW w:w="8847" w:type="dxa"/>
            <w:gridSpan w:val="9"/>
            <w:vAlign w:val="center"/>
          </w:tcPr>
          <w:p w14:paraId="7F31EA42">
            <w:pPr>
              <w:jc w:val="center"/>
            </w:pPr>
            <w:r>
              <w:rPr>
                <w:rFonts w:ascii="宋体" w:hAnsi="宋体" w:eastAsia="宋体"/>
                <w:sz w:val="24"/>
              </w:rPr>
              <w:t>（2024年度）</w:t>
            </w:r>
          </w:p>
        </w:tc>
      </w:tr>
      <w:tr w14:paraId="48EC59F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6C7F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DCE6DA5">
            <w:pPr>
              <w:jc w:val="center"/>
            </w:pPr>
            <w:r>
              <w:rPr>
                <w:rFonts w:ascii="宋体" w:hAnsi="宋体" w:eastAsia="宋体"/>
                <w:sz w:val="16"/>
              </w:rPr>
              <w:t>新疆维吾尔自治区和田地区药品检验所</w:t>
            </w:r>
          </w:p>
        </w:tc>
      </w:tr>
      <w:tr w14:paraId="4D0F372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68A92">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791E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364C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CFC1D">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680A0">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A664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C1067">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3D529">
            <w:pPr>
              <w:jc w:val="center"/>
            </w:pPr>
            <w:r>
              <w:rPr>
                <w:rFonts w:ascii="宋体" w:hAnsi="宋体" w:eastAsia="宋体"/>
                <w:sz w:val="16"/>
              </w:rPr>
              <w:t>得分</w:t>
            </w:r>
          </w:p>
        </w:tc>
      </w:tr>
      <w:tr w14:paraId="387974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4276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1DBFF">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CFC95">
            <w:pPr>
              <w:jc w:val="center"/>
            </w:pPr>
            <w:r>
              <w:rPr>
                <w:rFonts w:ascii="宋体" w:hAnsi="宋体" w:eastAsia="宋体"/>
                <w:sz w:val="16"/>
              </w:rPr>
              <w:t>257.14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1D18E">
            <w:pPr>
              <w:jc w:val="center"/>
            </w:pPr>
            <w:r>
              <w:rPr>
                <w:rFonts w:ascii="宋体" w:hAnsi="宋体" w:eastAsia="宋体"/>
                <w:sz w:val="16"/>
              </w:rPr>
              <w:t>313.14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C6F5E">
            <w:pPr>
              <w:jc w:val="center"/>
            </w:pPr>
            <w:r>
              <w:rPr>
                <w:rFonts w:ascii="宋体" w:hAnsi="宋体" w:eastAsia="宋体"/>
                <w:sz w:val="16"/>
              </w:rPr>
              <w:t>313.14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7CD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E29BB">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56A77">
            <w:pPr>
              <w:jc w:val="center"/>
            </w:pPr>
            <w:r>
              <w:rPr>
                <w:rFonts w:ascii="宋体" w:hAnsi="宋体" w:eastAsia="宋体"/>
                <w:sz w:val="16"/>
              </w:rPr>
              <w:t>10</w:t>
            </w:r>
          </w:p>
        </w:tc>
      </w:tr>
      <w:tr w14:paraId="34230E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573B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ACF5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00E14">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E86FF">
            <w:pPr>
              <w:jc w:val="center"/>
            </w:pPr>
            <w:r>
              <w:rPr>
                <w:rFonts w:ascii="宋体" w:hAnsi="宋体" w:eastAsia="宋体"/>
                <w:sz w:val="16"/>
              </w:rPr>
              <w:t>54.73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7384C">
            <w:pPr>
              <w:jc w:val="center"/>
            </w:pPr>
            <w:r>
              <w:rPr>
                <w:rFonts w:ascii="宋体" w:hAnsi="宋体" w:eastAsia="宋体"/>
                <w:sz w:val="16"/>
              </w:rPr>
              <w:t>54.73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854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5956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75D06">
            <w:pPr>
              <w:jc w:val="center"/>
            </w:pPr>
            <w:r>
              <w:rPr>
                <w:rFonts w:ascii="宋体" w:hAnsi="宋体" w:eastAsia="宋体"/>
                <w:sz w:val="16"/>
              </w:rPr>
              <w:t>—</w:t>
            </w:r>
          </w:p>
        </w:tc>
      </w:tr>
      <w:tr w14:paraId="718C4F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D14A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B5B3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00602">
            <w:pPr>
              <w:jc w:val="center"/>
            </w:pPr>
            <w:r>
              <w:rPr>
                <w:rFonts w:ascii="宋体" w:hAnsi="宋体" w:eastAsia="宋体"/>
                <w:sz w:val="16"/>
              </w:rPr>
              <w:t>222.14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DA5D4">
            <w:pPr>
              <w:jc w:val="center"/>
            </w:pPr>
            <w:r>
              <w:rPr>
                <w:rFonts w:ascii="宋体" w:hAnsi="宋体" w:eastAsia="宋体"/>
                <w:sz w:val="16"/>
              </w:rPr>
              <w:t>258.41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46418">
            <w:pPr>
              <w:jc w:val="center"/>
            </w:pPr>
            <w:r>
              <w:rPr>
                <w:rFonts w:ascii="宋体" w:hAnsi="宋体" w:eastAsia="宋体"/>
                <w:sz w:val="16"/>
              </w:rPr>
              <w:t>258.41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7DA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C915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B89B3">
            <w:pPr>
              <w:jc w:val="center"/>
            </w:pPr>
            <w:r>
              <w:rPr>
                <w:rFonts w:ascii="宋体" w:hAnsi="宋体" w:eastAsia="宋体"/>
                <w:sz w:val="16"/>
              </w:rPr>
              <w:t>—</w:t>
            </w:r>
          </w:p>
        </w:tc>
      </w:tr>
      <w:tr w14:paraId="5591C6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29B3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22E7C">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D7E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33A3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17D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4E1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77AF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5EE39">
            <w:pPr>
              <w:jc w:val="center"/>
            </w:pPr>
            <w:r>
              <w:rPr>
                <w:rFonts w:ascii="宋体" w:hAnsi="宋体" w:eastAsia="宋体"/>
                <w:sz w:val="16"/>
              </w:rPr>
              <w:t>—</w:t>
            </w:r>
          </w:p>
        </w:tc>
      </w:tr>
      <w:tr w14:paraId="3EAE966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0769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8FDD7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089A6A">
            <w:pPr>
              <w:jc w:val="center"/>
            </w:pPr>
            <w:r>
              <w:rPr>
                <w:rFonts w:ascii="宋体" w:hAnsi="宋体" w:eastAsia="宋体"/>
                <w:sz w:val="16"/>
              </w:rPr>
              <w:t>实际完成目标</w:t>
            </w:r>
          </w:p>
        </w:tc>
      </w:tr>
      <w:tr w14:paraId="69E989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FB030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90A8CF">
            <w:pPr>
              <w:jc w:val="both"/>
            </w:pPr>
            <w:r>
              <w:rPr>
                <w:rFonts w:ascii="宋体" w:hAnsi="宋体" w:eastAsia="宋体"/>
                <w:sz w:val="16"/>
              </w:rPr>
              <w:t>目标1、依法对药品进行检验，承担药品的检验任务，提供药品质量公报所需要的技术数</w:t>
            </w:r>
            <w:r>
              <w:rPr>
                <w:rFonts w:hint="eastAsia" w:ascii="宋体" w:hAnsi="宋体"/>
                <w:sz w:val="16"/>
                <w:lang w:eastAsia="zh-CN"/>
              </w:rPr>
              <w:t>据和</w:t>
            </w:r>
            <w:r>
              <w:rPr>
                <w:rFonts w:ascii="宋体" w:hAnsi="宋体" w:eastAsia="宋体"/>
                <w:sz w:val="16"/>
              </w:rPr>
              <w:t>质量报告；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目标2、承担药品生产经营和使用单位委托的药品检验工作，承担药品不良反应监测工作，计划完成委托检验200批；</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目标3、承担自治区市场监督管理局下达的药品抽验任务，接受委托检验和提供药检技术</w:t>
            </w:r>
            <w:r>
              <w:rPr>
                <w:rFonts w:hint="eastAsia" w:ascii="宋体" w:hAnsi="宋体"/>
                <w:sz w:val="16"/>
                <w:lang w:eastAsia="zh-CN"/>
              </w:rPr>
              <w:t>服务</w:t>
            </w:r>
            <w:r>
              <w:rPr>
                <w:rFonts w:ascii="宋体" w:hAnsi="宋体" w:eastAsia="宋体"/>
                <w:sz w:val="16"/>
              </w:rPr>
              <w:t>，计划完成监督抽验80批；</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目标4，人员培训不少12次。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576D4F">
            <w:pPr>
              <w:jc w:val="both"/>
            </w:pPr>
            <w:r>
              <w:rPr>
                <w:rFonts w:hint="eastAsia" w:ascii="宋体" w:hAnsi="宋体"/>
                <w:sz w:val="16"/>
                <w:lang w:eastAsia="zh-CN"/>
              </w:rPr>
              <w:t>截至2024</w:t>
            </w:r>
            <w:r>
              <w:rPr>
                <w:rFonts w:ascii="宋体" w:hAnsi="宋体" w:eastAsia="宋体"/>
                <w:sz w:val="16"/>
              </w:rPr>
              <w:t>年12月31日，本单位实际完成药品监督抽验130批，药品委托检验356批，人员业务培训20次，医院维药制剂的质量标准提高6家，委托检验业务完成及时率达到100%，人员考核合格率达到95%，实际形成支出313.14万元，通过完成以上工作，实现了提升检测人员能力，完成药品质量检验工作的效益。</w:t>
            </w:r>
          </w:p>
        </w:tc>
      </w:tr>
      <w:tr w14:paraId="1A14786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6C26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9EBF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1456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8CD01">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6898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5C6F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E43B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F67E3">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9147E">
            <w:pPr>
              <w:jc w:val="center"/>
            </w:pPr>
            <w:r>
              <w:rPr>
                <w:rFonts w:ascii="宋体" w:hAnsi="宋体" w:eastAsia="宋体"/>
                <w:sz w:val="16"/>
              </w:rPr>
              <w:t>得分</w:t>
            </w:r>
          </w:p>
        </w:tc>
      </w:tr>
      <w:tr w14:paraId="461EB5B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95613">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1B7B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C7DBD">
            <w:pPr>
              <w:jc w:val="center"/>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5AA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0F925">
            <w:pPr>
              <w:jc w:val="center"/>
            </w:pPr>
            <w:r>
              <w:rPr>
                <w:rFonts w:ascii="宋体" w:hAnsi="宋体" w:eastAsia="宋体"/>
                <w:sz w:val="16"/>
              </w:rPr>
              <w:t>财政部相关文件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73B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6E9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9FA3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6847F">
            <w:pPr>
              <w:jc w:val="center"/>
            </w:pPr>
            <w:r>
              <w:rPr>
                <w:rFonts w:ascii="宋体" w:hAnsi="宋体" w:eastAsia="宋体"/>
                <w:sz w:val="16"/>
              </w:rPr>
              <w:t>10</w:t>
            </w:r>
          </w:p>
        </w:tc>
      </w:tr>
      <w:tr w14:paraId="06E3D98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A5F9B9">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1441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288E1">
            <w:pPr>
              <w:jc w:val="center"/>
            </w:pPr>
            <w:r>
              <w:rPr>
                <w:rFonts w:ascii="宋体" w:hAnsi="宋体" w:eastAsia="宋体"/>
                <w:sz w:val="16"/>
              </w:rPr>
              <w:t>药品监督抽验工作任务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26F90">
            <w:pPr>
              <w:jc w:val="center"/>
            </w:pPr>
            <w:r>
              <w:rPr>
                <w:rFonts w:hint="default" w:ascii="Arial" w:hAnsi="Arial" w:eastAsia="宋体" w:cs="Arial"/>
                <w:sz w:val="16"/>
              </w:rPr>
              <w:t>≥</w:t>
            </w:r>
            <w:r>
              <w:rPr>
                <w:rFonts w:ascii="宋体" w:hAnsi="宋体" w:eastAsia="宋体"/>
                <w:sz w:val="16"/>
              </w:rPr>
              <w:t>80批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A8A3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3BB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F1C20">
            <w:pPr>
              <w:jc w:val="center"/>
            </w:pPr>
            <w:r>
              <w:rPr>
                <w:rFonts w:ascii="宋体" w:hAnsi="宋体" w:eastAsia="宋体"/>
                <w:sz w:val="16"/>
              </w:rPr>
              <w:t>130批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69B8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92924">
            <w:pPr>
              <w:jc w:val="center"/>
            </w:pPr>
            <w:r>
              <w:rPr>
                <w:rFonts w:ascii="宋体" w:hAnsi="宋体" w:eastAsia="宋体"/>
                <w:sz w:val="16"/>
              </w:rPr>
              <w:t>10</w:t>
            </w:r>
          </w:p>
        </w:tc>
      </w:tr>
      <w:tr w14:paraId="1D5D20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EBC0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BF92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F4D13">
            <w:pPr>
              <w:jc w:val="center"/>
            </w:pPr>
            <w:r>
              <w:rPr>
                <w:rFonts w:ascii="宋体" w:hAnsi="宋体" w:eastAsia="宋体"/>
                <w:sz w:val="16"/>
              </w:rPr>
              <w:t>药品委托检验工作任务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71643">
            <w:pPr>
              <w:jc w:val="center"/>
            </w:pPr>
            <w:r>
              <w:rPr>
                <w:rFonts w:hint="default" w:ascii="Arial" w:hAnsi="Arial" w:eastAsia="宋体" w:cs="Arial"/>
                <w:sz w:val="16"/>
              </w:rPr>
              <w:t>≥</w:t>
            </w:r>
            <w:r>
              <w:rPr>
                <w:rFonts w:ascii="宋体" w:hAnsi="宋体" w:eastAsia="宋体"/>
                <w:sz w:val="16"/>
              </w:rPr>
              <w:t>200批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E71A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940C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AB7A9">
            <w:pPr>
              <w:jc w:val="center"/>
            </w:pPr>
            <w:r>
              <w:rPr>
                <w:rFonts w:ascii="宋体" w:hAnsi="宋体" w:eastAsia="宋体"/>
                <w:sz w:val="16"/>
              </w:rPr>
              <w:t>356批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9CB4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6068D">
            <w:pPr>
              <w:jc w:val="center"/>
            </w:pPr>
            <w:r>
              <w:rPr>
                <w:rFonts w:ascii="宋体" w:hAnsi="宋体" w:eastAsia="宋体"/>
                <w:sz w:val="16"/>
              </w:rPr>
              <w:t>15</w:t>
            </w:r>
          </w:p>
        </w:tc>
      </w:tr>
      <w:tr w14:paraId="7E867D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EDF8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DA2F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DAC73">
            <w:pPr>
              <w:jc w:val="center"/>
            </w:pPr>
            <w:r>
              <w:rPr>
                <w:rFonts w:ascii="宋体" w:hAnsi="宋体" w:eastAsia="宋体"/>
                <w:sz w:val="16"/>
              </w:rPr>
              <w:t>人员业务培训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1550B">
            <w:pPr>
              <w:jc w:val="center"/>
            </w:pPr>
            <w:r>
              <w:rPr>
                <w:rFonts w:hint="default" w:ascii="Arial" w:hAnsi="Arial" w:eastAsia="宋体" w:cs="Arial"/>
                <w:sz w:val="16"/>
              </w:rPr>
              <w:t>≥</w:t>
            </w: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929F2">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664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7F34C">
            <w:pPr>
              <w:jc w:val="center"/>
            </w:pPr>
            <w:r>
              <w:rPr>
                <w:rFonts w:ascii="宋体" w:hAnsi="宋体" w:eastAsia="宋体"/>
                <w:sz w:val="16"/>
              </w:rPr>
              <w: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656F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3CB17">
            <w:pPr>
              <w:jc w:val="center"/>
            </w:pPr>
            <w:r>
              <w:rPr>
                <w:rFonts w:ascii="宋体" w:hAnsi="宋体" w:eastAsia="宋体"/>
                <w:sz w:val="16"/>
              </w:rPr>
              <w:t>10</w:t>
            </w:r>
          </w:p>
        </w:tc>
      </w:tr>
      <w:tr w14:paraId="730F89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8E08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A69A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EA499">
            <w:pPr>
              <w:jc w:val="center"/>
            </w:pPr>
            <w:r>
              <w:rPr>
                <w:rFonts w:ascii="宋体" w:hAnsi="宋体" w:eastAsia="宋体"/>
                <w:sz w:val="16"/>
              </w:rPr>
              <w:t>委托检验单位工作任务完成率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FB8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13BD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A34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998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3C2B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5D420">
            <w:pPr>
              <w:jc w:val="center"/>
            </w:pPr>
            <w:r>
              <w:rPr>
                <w:rFonts w:ascii="宋体" w:hAnsi="宋体" w:eastAsia="宋体"/>
                <w:sz w:val="16"/>
              </w:rPr>
              <w:t>10</w:t>
            </w:r>
          </w:p>
        </w:tc>
      </w:tr>
      <w:tr w14:paraId="3670F0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62DC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0B61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01055">
            <w:pPr>
              <w:jc w:val="center"/>
            </w:pPr>
            <w:r>
              <w:rPr>
                <w:rFonts w:ascii="宋体" w:hAnsi="宋体" w:eastAsia="宋体"/>
                <w:sz w:val="16"/>
              </w:rPr>
              <w:t>抽验、委托检验业务完成及时率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936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F8A7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DC6D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D3B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397A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777F7">
            <w:pPr>
              <w:jc w:val="center"/>
            </w:pPr>
            <w:r>
              <w:rPr>
                <w:rFonts w:ascii="宋体" w:hAnsi="宋体" w:eastAsia="宋体"/>
                <w:sz w:val="16"/>
              </w:rPr>
              <w:t>15</w:t>
            </w:r>
          </w:p>
        </w:tc>
      </w:tr>
      <w:tr w14:paraId="6B433B7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CA630">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EA955">
            <w:pPr>
              <w:jc w:val="center"/>
            </w:pPr>
            <w:r>
              <w:rPr>
                <w:rFonts w:ascii="宋体" w:hAnsi="宋体" w:eastAsia="宋体"/>
                <w:sz w:val="16"/>
              </w:rPr>
              <w:t>数量效益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147C0">
            <w:pPr>
              <w:jc w:val="center"/>
            </w:pPr>
            <w:r>
              <w:rPr>
                <w:rFonts w:ascii="宋体" w:hAnsi="宋体" w:eastAsia="宋体"/>
                <w:sz w:val="16"/>
              </w:rPr>
              <w:t>医院维药制剂的质量标准提高数量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F9F14">
            <w:pPr>
              <w:jc w:val="center"/>
            </w:pPr>
            <w:r>
              <w:rPr>
                <w:rFonts w:hint="default" w:ascii="Arial" w:hAnsi="Arial" w:eastAsia="宋体" w:cs="Arial"/>
                <w:sz w:val="16"/>
              </w:rPr>
              <w:t>≥</w:t>
            </w:r>
            <w:r>
              <w:rPr>
                <w:rFonts w:ascii="宋体" w:hAnsi="宋体" w:eastAsia="宋体"/>
                <w:sz w:val="16"/>
              </w:rPr>
              <w:t>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DD87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245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430AA">
            <w:pPr>
              <w:jc w:val="center"/>
            </w:pPr>
            <w:r>
              <w:rPr>
                <w:rFonts w:ascii="宋体" w:hAnsi="宋体" w:eastAsia="宋体"/>
                <w:sz w:val="16"/>
              </w:rPr>
              <w:t>6家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D88D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81E6E">
            <w:pPr>
              <w:jc w:val="center"/>
            </w:pPr>
            <w:r>
              <w:rPr>
                <w:rFonts w:ascii="宋体" w:hAnsi="宋体" w:eastAsia="宋体"/>
                <w:sz w:val="16"/>
              </w:rPr>
              <w:t>10</w:t>
            </w:r>
          </w:p>
        </w:tc>
      </w:tr>
      <w:tr w14:paraId="4385482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3F2DA">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7624C">
            <w:pPr>
              <w:jc w:val="center"/>
            </w:pPr>
            <w:r>
              <w:rPr>
                <w:rFonts w:ascii="宋体" w:hAnsi="宋体" w:eastAsia="宋体"/>
                <w:sz w:val="16"/>
              </w:rPr>
              <w:t>满意制度</w:t>
            </w:r>
            <w:r>
              <w:rPr>
                <w:rFonts w:hint="eastAsia" w:ascii="宋体" w:hAnsi="宋体"/>
                <w:sz w:val="16"/>
                <w:lang w:eastAsia="zh-CN"/>
              </w:rPr>
              <w:t>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7A39A">
            <w:pPr>
              <w:jc w:val="center"/>
            </w:pPr>
            <w:r>
              <w:rPr>
                <w:rFonts w:ascii="宋体" w:hAnsi="宋体" w:eastAsia="宋体"/>
                <w:sz w:val="16"/>
              </w:rPr>
              <w:t>生产经营企业满意度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FB5EB">
            <w:pPr>
              <w:jc w:val="center"/>
            </w:pPr>
            <w:r>
              <w:rPr>
                <w:rFonts w:hint="default" w:ascii="Arial" w:hAnsi="Arial" w:eastAsia="宋体" w:cs="Arial"/>
                <w:sz w:val="16"/>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A5A6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4BE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73CC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E4D5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10D58">
            <w:pPr>
              <w:jc w:val="center"/>
            </w:pPr>
            <w:r>
              <w:rPr>
                <w:rFonts w:ascii="宋体" w:hAnsi="宋体" w:eastAsia="宋体"/>
                <w:sz w:val="16"/>
              </w:rPr>
              <w:t>10</w:t>
            </w:r>
          </w:p>
        </w:tc>
      </w:tr>
    </w:tbl>
    <w:p w14:paraId="00337F0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6489056">
        <w:tblPrEx>
          <w:tblCellMar>
            <w:top w:w="0" w:type="dxa"/>
            <w:left w:w="108" w:type="dxa"/>
            <w:bottom w:w="0" w:type="dxa"/>
            <w:right w:w="108" w:type="dxa"/>
          </w:tblCellMar>
        </w:tblPrEx>
        <w:tc>
          <w:tcPr>
            <w:tcW w:w="8847" w:type="dxa"/>
            <w:gridSpan w:val="9"/>
            <w:vAlign w:val="center"/>
          </w:tcPr>
          <w:p w14:paraId="79E55A97">
            <w:pPr>
              <w:jc w:val="center"/>
            </w:pPr>
            <w:r>
              <w:rPr>
                <w:rFonts w:ascii="宋体" w:hAnsi="宋体" w:eastAsia="宋体"/>
                <w:sz w:val="24"/>
              </w:rPr>
              <w:t>项目支出绩效自评表</w:t>
            </w:r>
          </w:p>
        </w:tc>
      </w:tr>
      <w:tr w14:paraId="101CAAC3">
        <w:tblPrEx>
          <w:tblCellMar>
            <w:top w:w="0" w:type="dxa"/>
            <w:left w:w="108" w:type="dxa"/>
            <w:bottom w:w="0" w:type="dxa"/>
            <w:right w:w="108" w:type="dxa"/>
          </w:tblCellMar>
        </w:tblPrEx>
        <w:tc>
          <w:tcPr>
            <w:tcW w:w="8847" w:type="dxa"/>
            <w:gridSpan w:val="9"/>
            <w:vAlign w:val="center"/>
          </w:tcPr>
          <w:p w14:paraId="1AF86E7C">
            <w:pPr>
              <w:jc w:val="center"/>
            </w:pPr>
            <w:r>
              <w:rPr>
                <w:rFonts w:ascii="宋体" w:hAnsi="宋体" w:eastAsia="宋体"/>
                <w:sz w:val="24"/>
              </w:rPr>
              <w:t>(2024年度)</w:t>
            </w:r>
          </w:p>
        </w:tc>
      </w:tr>
      <w:tr w14:paraId="0CE3371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5310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7E31947">
            <w:pPr>
              <w:jc w:val="center"/>
            </w:pPr>
            <w:r>
              <w:rPr>
                <w:rFonts w:ascii="宋体" w:hAnsi="宋体" w:eastAsia="宋体"/>
                <w:sz w:val="16"/>
              </w:rPr>
              <w:t>2024年食品药品检验工作经费</w:t>
            </w:r>
          </w:p>
        </w:tc>
      </w:tr>
      <w:tr w14:paraId="75B5281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1FAE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A5D58C">
            <w:pPr>
              <w:jc w:val="center"/>
            </w:pPr>
            <w:r>
              <w:rPr>
                <w:rFonts w:ascii="宋体" w:hAnsi="宋体" w:eastAsia="宋体"/>
                <w:sz w:val="16"/>
              </w:rPr>
              <w:t>新疆维吾尔自治区和田地区药品检验所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07AF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C7F2C8">
            <w:pPr>
              <w:jc w:val="center"/>
            </w:pPr>
            <w:r>
              <w:rPr>
                <w:rFonts w:ascii="宋体" w:hAnsi="宋体" w:eastAsia="宋体"/>
                <w:sz w:val="16"/>
              </w:rPr>
              <w:t>新疆维吾尔自治区和田地区药品检验所</w:t>
            </w:r>
          </w:p>
        </w:tc>
      </w:tr>
      <w:tr w14:paraId="67EA847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B003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76DE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148E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0405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F6BF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9792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C405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15EF6">
            <w:pPr>
              <w:jc w:val="center"/>
            </w:pPr>
            <w:r>
              <w:rPr>
                <w:rFonts w:ascii="宋体" w:hAnsi="宋体" w:eastAsia="宋体"/>
                <w:sz w:val="16"/>
              </w:rPr>
              <w:t>得分</w:t>
            </w:r>
          </w:p>
        </w:tc>
      </w:tr>
      <w:tr w14:paraId="4DF520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6858A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D2ED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835BA">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6593D">
            <w:pPr>
              <w:jc w:val="center"/>
            </w:pPr>
            <w:r>
              <w:rPr>
                <w:rFonts w:ascii="宋体" w:hAnsi="宋体" w:eastAsia="宋体"/>
                <w:sz w:val="16"/>
              </w:rPr>
              <w:t>74.73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4EFAF">
            <w:pPr>
              <w:jc w:val="center"/>
            </w:pPr>
            <w:r>
              <w:rPr>
                <w:rFonts w:ascii="宋体" w:hAnsi="宋体" w:eastAsia="宋体"/>
                <w:sz w:val="16"/>
              </w:rPr>
              <w:t>74.73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C68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CA7E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C32AE">
            <w:pPr>
              <w:jc w:val="center"/>
            </w:pPr>
            <w:r>
              <w:rPr>
                <w:rFonts w:ascii="宋体" w:hAnsi="宋体" w:eastAsia="宋体"/>
                <w:sz w:val="16"/>
              </w:rPr>
              <w:t>10.00分</w:t>
            </w:r>
          </w:p>
        </w:tc>
      </w:tr>
      <w:tr w14:paraId="374653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89E8A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AE93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8053F">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84B9B">
            <w:pPr>
              <w:jc w:val="center"/>
            </w:pPr>
            <w:r>
              <w:rPr>
                <w:rFonts w:ascii="宋体" w:hAnsi="宋体" w:eastAsia="宋体"/>
                <w:sz w:val="16"/>
              </w:rPr>
              <w:t>74.73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E4F15">
            <w:pPr>
              <w:jc w:val="center"/>
            </w:pPr>
            <w:r>
              <w:rPr>
                <w:rFonts w:ascii="宋体" w:hAnsi="宋体" w:eastAsia="宋体"/>
                <w:sz w:val="16"/>
              </w:rPr>
              <w:t>74.73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E5E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111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3A411">
            <w:pPr>
              <w:jc w:val="center"/>
            </w:pPr>
            <w:r>
              <w:rPr>
                <w:rFonts w:ascii="宋体" w:hAnsi="宋体" w:eastAsia="宋体"/>
                <w:sz w:val="16"/>
              </w:rPr>
              <w:t>—</w:t>
            </w:r>
          </w:p>
        </w:tc>
      </w:tr>
      <w:tr w14:paraId="0DCDC1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05060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5747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3F5D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157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AA6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B5D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B74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3EBB6">
            <w:pPr>
              <w:jc w:val="center"/>
            </w:pPr>
            <w:r>
              <w:rPr>
                <w:rFonts w:ascii="宋体" w:hAnsi="宋体" w:eastAsia="宋体"/>
                <w:sz w:val="16"/>
              </w:rPr>
              <w:t>—</w:t>
            </w:r>
          </w:p>
        </w:tc>
      </w:tr>
      <w:tr w14:paraId="6BF430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136AF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D692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9D57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F74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FDE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D8A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B57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EFCB3">
            <w:pPr>
              <w:jc w:val="center"/>
            </w:pPr>
            <w:r>
              <w:rPr>
                <w:rFonts w:ascii="宋体" w:hAnsi="宋体" w:eastAsia="宋体"/>
                <w:sz w:val="16"/>
              </w:rPr>
              <w:t>—</w:t>
            </w:r>
          </w:p>
        </w:tc>
      </w:tr>
      <w:tr w14:paraId="170E646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E070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FA1AC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65BC6C">
            <w:pPr>
              <w:jc w:val="center"/>
            </w:pPr>
            <w:r>
              <w:rPr>
                <w:rFonts w:ascii="宋体" w:hAnsi="宋体" w:eastAsia="宋体"/>
                <w:sz w:val="16"/>
              </w:rPr>
              <w:t>实际完成情况</w:t>
            </w:r>
          </w:p>
        </w:tc>
      </w:tr>
      <w:tr w14:paraId="40268F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E0B85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001911">
            <w:pPr>
              <w:jc w:val="both"/>
            </w:pPr>
            <w:r>
              <w:rPr>
                <w:rFonts w:ascii="宋体" w:hAnsi="宋体" w:eastAsia="宋体"/>
                <w:sz w:val="16"/>
              </w:rPr>
              <w:t>本项目主要实施内容为：办公用品采购不少于2次，保障委托检验工作任务200批，专业技术人员按时发工资12个月；100%保证资金使用合规率，保证委托检验业务完成及时率达到100%，保证人员考核合格率大于95%，保证项目于2024年12月31日完成实施。通过本项目的实施，可有效提升检测人员能力，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D1561A">
            <w:pPr>
              <w:jc w:val="both"/>
            </w:pPr>
            <w:r>
              <w:rPr>
                <w:rFonts w:ascii="宋体" w:hAnsi="宋体" w:eastAsia="宋体"/>
                <w:sz w:val="16"/>
              </w:rPr>
              <w:br w:type="textWrapping"/>
            </w:r>
            <w:r>
              <w:rPr>
                <w:rFonts w:hint="eastAsia" w:ascii="宋体" w:hAnsi="宋体"/>
                <w:sz w:val="16"/>
                <w:lang w:eastAsia="zh-CN"/>
              </w:rPr>
              <w:t>截至</w:t>
            </w:r>
            <w:r>
              <w:rPr>
                <w:rFonts w:ascii="宋体" w:hAnsi="宋体" w:eastAsia="宋体"/>
                <w:sz w:val="16"/>
              </w:rPr>
              <w:t>2024年12月31日，本项目实际形成支出74.73万元，已完成办公用品采购2次，保障委托业务200批，</w:t>
            </w:r>
            <w:r>
              <w:rPr>
                <w:rFonts w:hint="eastAsia" w:ascii="宋体" w:hAnsi="宋体"/>
                <w:sz w:val="16"/>
                <w:lang w:eastAsia="zh-CN"/>
              </w:rPr>
              <w:t>保障</w:t>
            </w:r>
            <w:r>
              <w:rPr>
                <w:rFonts w:ascii="宋体" w:hAnsi="宋体" w:eastAsia="宋体"/>
                <w:sz w:val="16"/>
              </w:rPr>
              <w:t>专业技术人员工资的正常发放，达到了提升检测人员能力的效益，受益生产经营企业和专业技术人员满意度达到100%。</w:t>
            </w:r>
          </w:p>
        </w:tc>
      </w:tr>
      <w:tr w14:paraId="2248E28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CBC57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EAAB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06E1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9E3F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8722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05C5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C587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A8AC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7ACAD">
            <w:pPr>
              <w:jc w:val="center"/>
            </w:pPr>
            <w:r>
              <w:rPr>
                <w:rFonts w:ascii="宋体" w:hAnsi="宋体" w:eastAsia="宋体"/>
                <w:sz w:val="16"/>
              </w:rPr>
              <w:t>偏差原因分析及改进措施</w:t>
            </w:r>
          </w:p>
        </w:tc>
      </w:tr>
      <w:tr w14:paraId="2DE32FA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9546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1561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2255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82949">
            <w:pPr>
              <w:jc w:val="center"/>
            </w:pPr>
            <w:r>
              <w:rPr>
                <w:rFonts w:ascii="宋体" w:hAnsi="宋体" w:eastAsia="宋体"/>
                <w:sz w:val="16"/>
              </w:rPr>
              <w:t>办公用品采购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5BEAB">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FD508">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EBCB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9E6E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98CAF">
            <w:pPr>
              <w:jc w:val="center"/>
            </w:pPr>
          </w:p>
        </w:tc>
      </w:tr>
      <w:tr w14:paraId="235F07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1EC0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1547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20AA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54CDB">
            <w:pPr>
              <w:jc w:val="center"/>
            </w:pPr>
            <w:r>
              <w:rPr>
                <w:rFonts w:ascii="宋体" w:hAnsi="宋体" w:eastAsia="宋体"/>
                <w:sz w:val="16"/>
              </w:rPr>
              <w:t>保障委托检验工作任务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DD142">
            <w:pPr>
              <w:jc w:val="center"/>
            </w:pPr>
            <w:r>
              <w:rPr>
                <w:rFonts w:ascii="宋体" w:hAnsi="宋体" w:eastAsia="宋体"/>
                <w:sz w:val="16"/>
              </w:rPr>
              <w:t>≥200批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5609B">
            <w:pPr>
              <w:jc w:val="center"/>
            </w:pPr>
            <w:r>
              <w:rPr>
                <w:rFonts w:ascii="宋体" w:hAnsi="宋体" w:eastAsia="宋体"/>
                <w:sz w:val="16"/>
              </w:rPr>
              <w:t>=200批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EA06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0D29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044E7">
            <w:pPr>
              <w:jc w:val="center"/>
            </w:pPr>
          </w:p>
        </w:tc>
      </w:tr>
      <w:tr w14:paraId="355E1E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8241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3FC3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6494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2EA6B">
            <w:pPr>
              <w:jc w:val="center"/>
            </w:pPr>
            <w:r>
              <w:rPr>
                <w:rFonts w:ascii="宋体" w:hAnsi="宋体" w:eastAsia="宋体"/>
                <w:sz w:val="16"/>
              </w:rPr>
              <w:t>专业技术人员工资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D6EAD">
            <w:pPr>
              <w:jc w:val="center"/>
            </w:pPr>
            <w:r>
              <w:rPr>
                <w:rFonts w:ascii="宋体" w:hAnsi="宋体" w:eastAsia="宋体"/>
                <w:sz w:val="16"/>
              </w:rPr>
              <w:t>≥12月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896E6">
            <w:pPr>
              <w:jc w:val="center"/>
            </w:pPr>
            <w:r>
              <w:rPr>
                <w:rFonts w:ascii="宋体" w:hAnsi="宋体" w:eastAsia="宋体"/>
                <w:sz w:val="16"/>
              </w:rPr>
              <w:t>=12月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1F92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4861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2D618">
            <w:pPr>
              <w:jc w:val="center"/>
            </w:pPr>
          </w:p>
        </w:tc>
      </w:tr>
      <w:tr w14:paraId="464F02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C8BC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1FE10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3458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88110">
            <w:pPr>
              <w:jc w:val="center"/>
            </w:pPr>
            <w:r>
              <w:rPr>
                <w:rFonts w:ascii="宋体" w:hAnsi="宋体" w:eastAsia="宋体"/>
                <w:sz w:val="16"/>
              </w:rPr>
              <w:t>保证委托检验工作任务完成率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131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392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1022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EF57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7D03F">
            <w:pPr>
              <w:jc w:val="center"/>
            </w:pPr>
          </w:p>
        </w:tc>
      </w:tr>
      <w:tr w14:paraId="36B11E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2D42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567A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0140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1B5A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3A5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2A6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E064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84A4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470E5">
            <w:pPr>
              <w:jc w:val="center"/>
            </w:pPr>
          </w:p>
        </w:tc>
      </w:tr>
      <w:tr w14:paraId="44CE02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3803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93552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21233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9CAB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535B3">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49385">
            <w:pPr>
              <w:jc w:val="center"/>
            </w:pPr>
            <w:bookmarkStart w:id="0" w:name="_GoBack"/>
            <w:bookmarkEnd w:id="0"/>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AED3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23FC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0AC2D">
            <w:pPr>
              <w:jc w:val="center"/>
            </w:pPr>
          </w:p>
        </w:tc>
      </w:tr>
      <w:tr w14:paraId="6D9BBC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A871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0CB5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55FF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D02F6">
            <w:pPr>
              <w:jc w:val="center"/>
            </w:pPr>
            <w:r>
              <w:rPr>
                <w:rFonts w:ascii="宋体" w:hAnsi="宋体" w:eastAsia="宋体"/>
                <w:sz w:val="16"/>
              </w:rPr>
              <w:t>委托检验业务完成及时率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941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7CD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7012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0071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FCDD8">
            <w:pPr>
              <w:jc w:val="center"/>
            </w:pPr>
          </w:p>
        </w:tc>
      </w:tr>
      <w:tr w14:paraId="7431EC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0240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CFF8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224F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FFF66">
            <w:pPr>
              <w:jc w:val="center"/>
            </w:pPr>
            <w:r>
              <w:rPr>
                <w:rFonts w:ascii="宋体" w:hAnsi="宋体" w:eastAsia="宋体"/>
                <w:sz w:val="16"/>
              </w:rPr>
              <w:t>事业运行经费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35E96">
            <w:pPr>
              <w:jc w:val="center"/>
            </w:pPr>
            <w:r>
              <w:rPr>
                <w:rFonts w:ascii="宋体" w:hAnsi="宋体" w:eastAsia="宋体"/>
                <w:sz w:val="16"/>
              </w:rPr>
              <w:t>≤74.73万元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88DC6">
            <w:pPr>
              <w:jc w:val="center"/>
            </w:pPr>
            <w:r>
              <w:rPr>
                <w:rFonts w:ascii="宋体" w:hAnsi="宋体" w:eastAsia="宋体"/>
                <w:sz w:val="16"/>
              </w:rPr>
              <w:t>=74.73万元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9D1A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2A7E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F11B0">
            <w:pPr>
              <w:jc w:val="center"/>
            </w:pPr>
          </w:p>
        </w:tc>
      </w:tr>
      <w:tr w14:paraId="57F1EE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A50B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102A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D669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9F5C5">
            <w:pPr>
              <w:jc w:val="center"/>
            </w:pPr>
            <w:r>
              <w:rPr>
                <w:rFonts w:ascii="宋体" w:hAnsi="宋体" w:eastAsia="宋体"/>
                <w:sz w:val="16"/>
              </w:rPr>
              <w:t>检测人员能力提升情况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CF163">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1EF5A">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7E42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B522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D6222">
            <w:pPr>
              <w:jc w:val="center"/>
            </w:pPr>
          </w:p>
        </w:tc>
      </w:tr>
      <w:tr w14:paraId="5A449F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2B578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4012A">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4917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D3F7B">
            <w:pPr>
              <w:jc w:val="center"/>
            </w:pPr>
            <w:r>
              <w:rPr>
                <w:rFonts w:ascii="宋体" w:hAnsi="宋体" w:eastAsia="宋体"/>
                <w:sz w:val="16"/>
              </w:rPr>
              <w:t>生产经营企业满意度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C0B4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DC6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DF8F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1F0A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43AFA">
            <w:pPr>
              <w:jc w:val="center"/>
            </w:pPr>
          </w:p>
        </w:tc>
      </w:tr>
      <w:tr w14:paraId="319CB8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971B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7D58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3D37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3C0A1">
            <w:pPr>
              <w:jc w:val="center"/>
            </w:pPr>
            <w:r>
              <w:rPr>
                <w:rFonts w:ascii="宋体" w:hAnsi="宋体" w:eastAsia="宋体"/>
                <w:sz w:val="16"/>
              </w:rPr>
              <w:t>专业技术人员满意度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A27D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B51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1807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FC91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0B2EE">
            <w:pPr>
              <w:jc w:val="center"/>
            </w:pPr>
          </w:p>
        </w:tc>
      </w:tr>
      <w:tr w14:paraId="589D7F1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D5AB5">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6EC9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1A63D">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182114">
            <w:pPr>
              <w:jc w:val="center"/>
            </w:pPr>
            <w:r>
              <w:rPr>
                <w:rFonts w:ascii="宋体" w:hAnsi="宋体" w:eastAsia="宋体"/>
                <w:sz w:val="16"/>
              </w:rPr>
              <w:t>100分</w:t>
            </w:r>
          </w:p>
        </w:tc>
      </w:tr>
    </w:tbl>
    <w:p w14:paraId="5EACCC9D">
      <w:r>
        <w:br w:type="page"/>
      </w:r>
    </w:p>
    <w:p w14:paraId="75A4D022">
      <w:pPr>
        <w:spacing w:line="640" w:lineRule="exact"/>
        <w:ind w:firstLine="640"/>
        <w:jc w:val="both"/>
        <w:outlineLvl w:val="2"/>
      </w:pPr>
      <w:r>
        <w:rPr>
          <w:rFonts w:ascii="黑体" w:hAnsi="黑体" w:eastAsia="黑体"/>
          <w:sz w:val="32"/>
        </w:rPr>
        <w:t>十二、其他需说明的事项</w:t>
      </w:r>
    </w:p>
    <w:p w14:paraId="3D8C3437">
      <w:pPr>
        <w:spacing w:line="580" w:lineRule="exact"/>
        <w:ind w:firstLine="640"/>
        <w:jc w:val="both"/>
      </w:pPr>
      <w:r>
        <w:rPr>
          <w:rFonts w:ascii="仿宋_GB2312" w:hAnsi="仿宋_GB2312" w:eastAsia="仿宋_GB2312"/>
          <w:b w:val="0"/>
          <w:sz w:val="32"/>
        </w:rPr>
        <w:t>本单位无其他需说明的事项。</w:t>
      </w:r>
    </w:p>
    <w:p w14:paraId="342EA3D0">
      <w:r>
        <w:br w:type="page"/>
      </w:r>
    </w:p>
    <w:p w14:paraId="166CDCC1">
      <w:pPr>
        <w:spacing w:line="240" w:lineRule="auto"/>
        <w:jc w:val="center"/>
        <w:outlineLvl w:val="1"/>
      </w:pPr>
      <w:r>
        <w:rPr>
          <w:rFonts w:ascii="黑体" w:hAnsi="黑体" w:eastAsia="黑体"/>
          <w:sz w:val="32"/>
        </w:rPr>
        <w:t>第三部分 专业名词解释</w:t>
      </w:r>
    </w:p>
    <w:p w14:paraId="3479A80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2A5F46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7244BD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ADC883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F21025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7B55B9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10F5EF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9EBF73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DD12C3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5F9D1A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9BAF21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337343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23F77C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54ABE2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210407F">
      <w:r>
        <w:br w:type="page"/>
      </w:r>
    </w:p>
    <w:p w14:paraId="1B57B17C">
      <w:pPr>
        <w:spacing w:line="240" w:lineRule="auto"/>
        <w:jc w:val="center"/>
        <w:outlineLvl w:val="1"/>
      </w:pPr>
      <w:r>
        <w:rPr>
          <w:rFonts w:ascii="黑体" w:hAnsi="黑体" w:eastAsia="黑体"/>
          <w:sz w:val="32"/>
        </w:rPr>
        <w:t>第四部分 部门决算报表（见附表）</w:t>
      </w:r>
    </w:p>
    <w:p w14:paraId="6017C3FF">
      <w:pPr>
        <w:spacing w:line="240" w:lineRule="auto"/>
        <w:ind w:firstLine="640"/>
        <w:jc w:val="both"/>
      </w:pPr>
      <w:r>
        <w:rPr>
          <w:rFonts w:ascii="仿宋_GB2312" w:hAnsi="仿宋_GB2312" w:eastAsia="仿宋_GB2312"/>
          <w:b w:val="0"/>
          <w:sz w:val="32"/>
        </w:rPr>
        <w:t>一、《收入支出决算总表》</w:t>
      </w:r>
    </w:p>
    <w:p w14:paraId="0877ED29">
      <w:pPr>
        <w:spacing w:line="240" w:lineRule="auto"/>
        <w:ind w:firstLine="640"/>
        <w:jc w:val="both"/>
      </w:pPr>
      <w:r>
        <w:rPr>
          <w:rFonts w:ascii="仿宋_GB2312" w:hAnsi="仿宋_GB2312" w:eastAsia="仿宋_GB2312"/>
          <w:b w:val="0"/>
          <w:sz w:val="32"/>
        </w:rPr>
        <w:t>二、《收入决算表》</w:t>
      </w:r>
    </w:p>
    <w:p w14:paraId="19E3D03D">
      <w:pPr>
        <w:spacing w:line="240" w:lineRule="auto"/>
        <w:ind w:firstLine="640"/>
        <w:jc w:val="both"/>
      </w:pPr>
      <w:r>
        <w:rPr>
          <w:rFonts w:ascii="仿宋_GB2312" w:hAnsi="仿宋_GB2312" w:eastAsia="仿宋_GB2312"/>
          <w:b w:val="0"/>
          <w:sz w:val="32"/>
        </w:rPr>
        <w:t>三、《支出决算表》</w:t>
      </w:r>
    </w:p>
    <w:p w14:paraId="21C105B7">
      <w:pPr>
        <w:spacing w:line="240" w:lineRule="auto"/>
        <w:ind w:firstLine="640"/>
        <w:jc w:val="both"/>
      </w:pPr>
      <w:r>
        <w:rPr>
          <w:rFonts w:ascii="仿宋_GB2312" w:hAnsi="仿宋_GB2312" w:eastAsia="仿宋_GB2312"/>
          <w:b w:val="0"/>
          <w:sz w:val="32"/>
        </w:rPr>
        <w:t>四、《财政拨款收入支出决算总表》</w:t>
      </w:r>
    </w:p>
    <w:p w14:paraId="2DE1AFCF">
      <w:pPr>
        <w:spacing w:line="240" w:lineRule="auto"/>
        <w:ind w:firstLine="640"/>
        <w:jc w:val="both"/>
      </w:pPr>
      <w:r>
        <w:rPr>
          <w:rFonts w:ascii="仿宋_GB2312" w:hAnsi="仿宋_GB2312" w:eastAsia="仿宋_GB2312"/>
          <w:b w:val="0"/>
          <w:sz w:val="32"/>
        </w:rPr>
        <w:t>五、《一般公共预算财政拨款支出决算表》</w:t>
      </w:r>
    </w:p>
    <w:p w14:paraId="463B608B">
      <w:pPr>
        <w:spacing w:line="240" w:lineRule="auto"/>
        <w:ind w:firstLine="640"/>
        <w:jc w:val="both"/>
      </w:pPr>
      <w:r>
        <w:rPr>
          <w:rFonts w:ascii="仿宋_GB2312" w:hAnsi="仿宋_GB2312" w:eastAsia="仿宋_GB2312"/>
          <w:b w:val="0"/>
          <w:sz w:val="32"/>
        </w:rPr>
        <w:t>六、《一般公共预算财政拨款基本支出决算表》</w:t>
      </w:r>
    </w:p>
    <w:p w14:paraId="6A321EA0">
      <w:pPr>
        <w:spacing w:line="240" w:lineRule="auto"/>
        <w:ind w:firstLine="640"/>
        <w:jc w:val="both"/>
      </w:pPr>
      <w:r>
        <w:rPr>
          <w:rFonts w:ascii="仿宋_GB2312" w:hAnsi="仿宋_GB2312" w:eastAsia="仿宋_GB2312"/>
          <w:b w:val="0"/>
          <w:sz w:val="32"/>
        </w:rPr>
        <w:t>七、《政府性基金预算财政拨款收入支出决算表》</w:t>
      </w:r>
    </w:p>
    <w:p w14:paraId="1451DD16">
      <w:pPr>
        <w:spacing w:line="240" w:lineRule="auto"/>
        <w:ind w:firstLine="640"/>
        <w:jc w:val="both"/>
      </w:pPr>
      <w:r>
        <w:rPr>
          <w:rFonts w:ascii="仿宋_GB2312" w:hAnsi="仿宋_GB2312" w:eastAsia="仿宋_GB2312"/>
          <w:b w:val="0"/>
          <w:sz w:val="32"/>
        </w:rPr>
        <w:t>八、《国有资本经营预算财政拨款收入支出决算表》</w:t>
      </w:r>
    </w:p>
    <w:p w14:paraId="22925BA4">
      <w:pPr>
        <w:spacing w:line="240" w:lineRule="auto"/>
        <w:ind w:firstLine="640"/>
        <w:jc w:val="both"/>
      </w:pPr>
      <w:r>
        <w:rPr>
          <w:rFonts w:ascii="仿宋_GB2312" w:hAnsi="仿宋_GB2312" w:eastAsia="仿宋_GB2312"/>
          <w:b w:val="0"/>
          <w:sz w:val="32"/>
        </w:rPr>
        <w:t>九、《财政拨款“三公”经费支出决算表》</w:t>
      </w:r>
    </w:p>
    <w:p w14:paraId="40CD15EB">
      <w:pPr>
        <w:spacing w:line="240" w:lineRule="auto"/>
        <w:ind w:firstLine="640"/>
        <w:jc w:val="both"/>
      </w:pPr>
    </w:p>
    <w:p w14:paraId="54658EE8">
      <w:pPr>
        <w:spacing w:line="240" w:lineRule="auto"/>
        <w:ind w:firstLine="640"/>
        <w:jc w:val="both"/>
      </w:pPr>
    </w:p>
    <w:p w14:paraId="4903F999">
      <w:pPr>
        <w:spacing w:line="240" w:lineRule="auto"/>
        <w:ind w:firstLine="640"/>
        <w:jc w:val="both"/>
      </w:pPr>
    </w:p>
    <w:p w14:paraId="28213587">
      <w:pPr>
        <w:spacing w:line="240" w:lineRule="auto"/>
        <w:ind w:firstLine="640"/>
        <w:jc w:val="both"/>
      </w:pPr>
    </w:p>
    <w:p w14:paraId="1C767A0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0C385F"/>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BEE0F0C"/>
    <w:rsid w:val="5FA17648"/>
    <w:rsid w:val="5FD320BD"/>
    <w:rsid w:val="60DE4D57"/>
    <w:rsid w:val="613409CB"/>
    <w:rsid w:val="61A46A97"/>
    <w:rsid w:val="62DD7D21"/>
    <w:rsid w:val="65D97752"/>
    <w:rsid w:val="664C500C"/>
    <w:rsid w:val="67A4098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2048</Words>
  <Characters>2344</Characters>
  <Lines>0</Lines>
  <Paragraphs>0</Paragraphs>
  <TotalTime>2</TotalTime>
  <ScaleCrop>false</ScaleCrop>
  <LinksUpToDate>false</LinksUpToDate>
  <CharactersWithSpaces>2352</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2025-09-11T09:14:20Z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