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新疆维吾尔自治区和田地区林业和草原局2024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pPr>
        <w:rPr>
          <w:highlight w:val="none"/>
        </w:rPr>
      </w:pPr>
      <w:r>
        <w:rPr>
          <w:highlight w:val="none"/>
        </w:rPr>
        <w:br w:type="page"/>
      </w:r>
    </w:p>
    <w:p>
      <w:pPr>
        <w:spacing w:line="640" w:lineRule="exact"/>
        <w:jc w:val="center"/>
        <w:outlineLvl w:val="1"/>
        <w:rPr>
          <w:highlight w:val="none"/>
        </w:rPr>
      </w:pPr>
      <w:r>
        <w:rPr>
          <w:rFonts w:ascii="黑体" w:hAnsi="黑体" w:eastAsia="黑体"/>
          <w:sz w:val="32"/>
          <w:highlight w:val="none"/>
        </w:rPr>
        <w:t>第一部分 单位概况</w:t>
      </w:r>
    </w:p>
    <w:p>
      <w:pPr>
        <w:spacing w:line="640" w:lineRule="exact"/>
        <w:ind w:firstLine="640"/>
        <w:jc w:val="both"/>
        <w:outlineLvl w:val="2"/>
        <w:rPr>
          <w:highlight w:val="none"/>
        </w:rPr>
      </w:pPr>
      <w:r>
        <w:rPr>
          <w:rFonts w:ascii="黑体" w:hAnsi="黑体" w:eastAsia="黑体"/>
          <w:sz w:val="32"/>
          <w:highlight w:val="none"/>
        </w:rPr>
        <w:t>一、主要职能</w:t>
      </w:r>
    </w:p>
    <w:p>
      <w:pPr>
        <w:spacing w:line="580" w:lineRule="exact"/>
        <w:ind w:firstLine="640"/>
        <w:jc w:val="both"/>
        <w:rPr>
          <w:highlight w:val="none"/>
        </w:rPr>
      </w:pPr>
      <w:r>
        <w:rPr>
          <w:rFonts w:ascii="仿宋_GB2312" w:hAnsi="仿宋_GB2312" w:eastAsia="仿宋_GB2312"/>
          <w:sz w:val="32"/>
          <w:highlight w:val="none"/>
        </w:rPr>
        <w:t>本单位主要职能为贯彻落实党中央、自治区党委关于林业和草原工作的方针政策和决策部署以及自治区党委、地委工作要求，在履行职责过程中坚持和加强党对林业和草原工作的集中统一领导。负责林业和草原及其生态保护修复的监督管理，组织林业和草原生态保护修复及造林绿化工作，负责森林、草原、湿地资源的监督管理；负责监督管理荒漠化防治工作；负责陆生野生动植物资源监督管理；负责监督管理各类自然保护地。负责推进林业和草原改革相关工作;拟订林业和草原资源优化配置及木材利用政策，指导国有林场基本建设和发展，组织林木种子、草种种子资源。</w:t>
      </w:r>
    </w:p>
    <w:p>
      <w:pPr>
        <w:spacing w:line="640" w:lineRule="exact"/>
        <w:ind w:firstLine="640"/>
        <w:jc w:val="both"/>
        <w:outlineLvl w:val="2"/>
        <w:rPr>
          <w:highlight w:val="none"/>
        </w:rPr>
      </w:pPr>
      <w:r>
        <w:rPr>
          <w:rFonts w:ascii="黑体" w:hAnsi="黑体" w:eastAsia="黑体"/>
          <w:sz w:val="32"/>
          <w:highlight w:val="none"/>
        </w:rPr>
        <w:t>二、机构设置及人员情况</w:t>
      </w:r>
    </w:p>
    <w:p>
      <w:pPr>
        <w:spacing w:line="580" w:lineRule="exact"/>
        <w:ind w:firstLine="640"/>
        <w:jc w:val="both"/>
        <w:rPr>
          <w:highlight w:val="none"/>
        </w:rPr>
      </w:pPr>
      <w:r>
        <w:rPr>
          <w:rFonts w:ascii="仿宋_GB2312" w:hAnsi="仿宋_GB2312" w:eastAsia="仿宋_GB2312"/>
          <w:sz w:val="32"/>
          <w:highlight w:val="none"/>
        </w:rPr>
        <w:t>新疆维吾尔自治区和田地区林业和草原局2024年度，实有人数73人，其中：在职人员46人，减少12人；离休人员0人，增加0人；退休人员27人,增加4人。</w:t>
      </w:r>
    </w:p>
    <w:p>
      <w:pPr>
        <w:spacing w:line="580" w:lineRule="exact"/>
        <w:ind w:firstLine="640"/>
        <w:jc w:val="both"/>
        <w:rPr>
          <w:highlight w:val="none"/>
        </w:rPr>
      </w:pPr>
      <w:r>
        <w:rPr>
          <w:rFonts w:ascii="仿宋_GB2312" w:hAnsi="仿宋_GB2312" w:eastAsia="仿宋_GB2312"/>
          <w:sz w:val="32"/>
          <w:highlight w:val="none"/>
        </w:rPr>
        <w:t>新疆维吾尔自治区和田地区林业和草原局无下属预算单位，下设6个科室，分别是：办公室、人事科、森林草原生态系统保护修复科、森林草原资源管理科、林业和草原规划科、公园和野生动植物管理科。</w:t>
      </w:r>
    </w:p>
    <w:p>
      <w:pPr>
        <w:rPr>
          <w:highlight w:val="none"/>
        </w:rPr>
      </w:pPr>
      <w:r>
        <w:rPr>
          <w:highlight w:val="none"/>
        </w:rPr>
        <w:br w:type="page"/>
      </w:r>
    </w:p>
    <w:p>
      <w:pPr>
        <w:spacing w:line="240" w:lineRule="auto"/>
        <w:jc w:val="center"/>
        <w:outlineLvl w:val="1"/>
        <w:rPr>
          <w:highlight w:val="none"/>
        </w:rPr>
      </w:pPr>
      <w:r>
        <w:rPr>
          <w:rFonts w:ascii="黑体" w:hAnsi="黑体" w:eastAsia="黑体"/>
          <w:sz w:val="32"/>
          <w:highlight w:val="none"/>
        </w:rPr>
        <w:t>第二部分 部门决算情况说明</w:t>
      </w:r>
    </w:p>
    <w:p>
      <w:pPr>
        <w:spacing w:line="640" w:lineRule="exact"/>
        <w:ind w:firstLine="640"/>
        <w:jc w:val="both"/>
        <w:outlineLvl w:val="2"/>
        <w:rPr>
          <w:highlight w:val="none"/>
        </w:rPr>
      </w:pPr>
      <w:r>
        <w:rPr>
          <w:rFonts w:ascii="黑体" w:hAnsi="黑体" w:eastAsia="黑体"/>
          <w:sz w:val="32"/>
          <w:highlight w:val="none"/>
        </w:rPr>
        <w:t>一、收入支出决算总体情况说明</w:t>
      </w:r>
    </w:p>
    <w:p>
      <w:pPr>
        <w:spacing w:line="580" w:lineRule="exact"/>
        <w:ind w:firstLine="640"/>
        <w:jc w:val="both"/>
        <w:rPr>
          <w:highlight w:val="none"/>
        </w:rPr>
      </w:pPr>
      <w:r>
        <w:rPr>
          <w:rFonts w:ascii="仿宋_GB2312" w:hAnsi="仿宋_GB2312" w:eastAsia="仿宋_GB2312"/>
          <w:b/>
          <w:sz w:val="32"/>
          <w:highlight w:val="none"/>
        </w:rPr>
        <w:t>2024年度收入总计5,300.14万元，</w:t>
      </w:r>
      <w:r>
        <w:rPr>
          <w:rFonts w:ascii="仿宋_GB2312" w:hAnsi="仿宋_GB2312" w:eastAsia="仿宋_GB2312"/>
          <w:b w:val="0"/>
          <w:sz w:val="32"/>
          <w:highlight w:val="none"/>
        </w:rPr>
        <w:t>其中：本年收入合计5,300.14万元，使用非财政拨款结余（含专用结余）0.00万元，年初结转和结余0.00万元。</w:t>
      </w:r>
    </w:p>
    <w:p>
      <w:pPr>
        <w:spacing w:line="580" w:lineRule="exact"/>
        <w:ind w:firstLine="640"/>
        <w:jc w:val="both"/>
        <w:rPr>
          <w:highlight w:val="none"/>
        </w:rPr>
      </w:pPr>
      <w:r>
        <w:rPr>
          <w:rFonts w:ascii="仿宋_GB2312" w:hAnsi="仿宋_GB2312" w:eastAsia="仿宋_GB2312"/>
          <w:b/>
          <w:sz w:val="32"/>
          <w:highlight w:val="none"/>
        </w:rPr>
        <w:t>2024年度支出总计5,300.14万元，</w:t>
      </w:r>
      <w:r>
        <w:rPr>
          <w:rFonts w:ascii="仿宋_GB2312" w:hAnsi="仿宋_GB2312" w:eastAsia="仿宋_GB2312"/>
          <w:b w:val="0"/>
          <w:sz w:val="32"/>
          <w:highlight w:val="none"/>
        </w:rPr>
        <w:t>其中：本年支出合计5,300.14万元，结余分配0.00万元，年末结转和结余0.00万元。</w:t>
      </w:r>
    </w:p>
    <w:p>
      <w:pPr>
        <w:spacing w:line="580" w:lineRule="exact"/>
        <w:ind w:firstLine="640"/>
        <w:jc w:val="both"/>
        <w:rPr>
          <w:highlight w:val="none"/>
        </w:rPr>
      </w:pPr>
      <w:r>
        <w:rPr>
          <w:rFonts w:ascii="仿宋_GB2312" w:hAnsi="仿宋_GB2312" w:eastAsia="仿宋_GB2312"/>
          <w:b w:val="0"/>
          <w:sz w:val="32"/>
          <w:highlight w:val="none"/>
        </w:rPr>
        <w:t>收入支出总体与上年相比，增加1,054.46万元，增长24.84%，主要原因是：1.本年在职人员工资调增，社保、公积金基数调增，人员经费增加；2.本年增加松材线虫病等重大林业有害生物专项调查、和田地区和田河流域生态综合治理项目、和田市、洛浦县和田玉矿区沙化土地综合整治项目等项目。</w:t>
      </w:r>
    </w:p>
    <w:p>
      <w:pPr>
        <w:spacing w:line="640" w:lineRule="exact"/>
        <w:ind w:firstLine="640"/>
        <w:jc w:val="both"/>
        <w:outlineLvl w:val="2"/>
        <w:rPr>
          <w:highlight w:val="none"/>
        </w:rPr>
      </w:pPr>
      <w:r>
        <w:rPr>
          <w:rFonts w:ascii="黑体" w:hAnsi="黑体" w:eastAsia="黑体"/>
          <w:sz w:val="32"/>
          <w:highlight w:val="none"/>
        </w:rPr>
        <w:t>二、收入决算情况说明</w:t>
      </w:r>
    </w:p>
    <w:p>
      <w:pPr>
        <w:spacing w:line="580" w:lineRule="exact"/>
        <w:ind w:firstLine="640"/>
        <w:jc w:val="both"/>
        <w:rPr>
          <w:highlight w:val="none"/>
        </w:rPr>
      </w:pPr>
      <w:r>
        <w:rPr>
          <w:rFonts w:ascii="仿宋_GB2312" w:hAnsi="仿宋_GB2312" w:eastAsia="仿宋_GB2312"/>
          <w:b/>
          <w:sz w:val="32"/>
          <w:highlight w:val="none"/>
        </w:rPr>
        <w:t>本年收入5,300.14万元，</w:t>
      </w:r>
      <w:r>
        <w:rPr>
          <w:rFonts w:ascii="仿宋_GB2312" w:hAnsi="仿宋_GB2312" w:eastAsia="仿宋_GB2312"/>
          <w:b w:val="0"/>
          <w:sz w:val="32"/>
          <w:highlight w:val="none"/>
        </w:rPr>
        <w:t>其中：财政拨款收入5,283.62万元，占99.69%；上级补助收入0.00万元，占0.00%；事业收入0.00万元，占0.00%；经营收入0.00万元，占0.00%；附属单位上缴收入0.00万元，占0.00%；其他收入16.52万元，占0.31%。</w:t>
      </w:r>
    </w:p>
    <w:p>
      <w:pPr>
        <w:spacing w:line="640" w:lineRule="exact"/>
        <w:ind w:firstLine="640"/>
        <w:jc w:val="both"/>
        <w:outlineLvl w:val="2"/>
        <w:rPr>
          <w:highlight w:val="none"/>
        </w:rPr>
      </w:pPr>
      <w:r>
        <w:rPr>
          <w:rFonts w:ascii="黑体" w:hAnsi="黑体" w:eastAsia="黑体"/>
          <w:sz w:val="32"/>
          <w:highlight w:val="none"/>
        </w:rPr>
        <w:t>三、支出决算情况说明</w:t>
      </w:r>
    </w:p>
    <w:p>
      <w:pPr>
        <w:spacing w:line="580" w:lineRule="exact"/>
        <w:ind w:firstLine="640"/>
        <w:jc w:val="both"/>
        <w:rPr>
          <w:highlight w:val="none"/>
        </w:rPr>
      </w:pPr>
      <w:r>
        <w:rPr>
          <w:rFonts w:ascii="仿宋_GB2312" w:hAnsi="仿宋_GB2312" w:eastAsia="仿宋_GB2312"/>
          <w:b/>
          <w:sz w:val="32"/>
          <w:highlight w:val="none"/>
        </w:rPr>
        <w:t>本年支出5,300.14万元，</w:t>
      </w:r>
      <w:r>
        <w:rPr>
          <w:rFonts w:ascii="仿宋_GB2312" w:hAnsi="仿宋_GB2312" w:eastAsia="仿宋_GB2312"/>
          <w:b w:val="0"/>
          <w:sz w:val="32"/>
          <w:highlight w:val="none"/>
        </w:rPr>
        <w:t>其中：基本支出1,345.26万元，占25.38%；项目支出3,954.88万元，占74.62%；上缴上级支出0.00万元，占0.00%；经营支出0.00万元，占0.00%；对附属单位补助支出0.00万元，占0.00%。</w:t>
      </w:r>
    </w:p>
    <w:p>
      <w:pPr>
        <w:spacing w:line="640" w:lineRule="exact"/>
        <w:ind w:firstLine="640"/>
        <w:jc w:val="both"/>
        <w:outlineLvl w:val="2"/>
        <w:rPr>
          <w:highlight w:val="none"/>
        </w:rPr>
      </w:pPr>
      <w:r>
        <w:rPr>
          <w:rFonts w:ascii="黑体" w:hAnsi="黑体" w:eastAsia="黑体"/>
          <w:sz w:val="32"/>
          <w:highlight w:val="none"/>
        </w:rPr>
        <w:t>四、财政拨款收入支出决算总体情况说明</w:t>
      </w:r>
    </w:p>
    <w:p>
      <w:pPr>
        <w:spacing w:line="580" w:lineRule="exact"/>
        <w:ind w:firstLine="640"/>
        <w:jc w:val="both"/>
        <w:rPr>
          <w:highlight w:val="none"/>
        </w:rPr>
      </w:pPr>
      <w:r>
        <w:rPr>
          <w:rFonts w:ascii="仿宋_GB2312" w:hAnsi="仿宋_GB2312" w:eastAsia="仿宋_GB2312"/>
          <w:b/>
          <w:sz w:val="32"/>
          <w:highlight w:val="none"/>
        </w:rPr>
        <w:t>2024年度财政拨款收入总计5,283.62万元，</w:t>
      </w:r>
      <w:r>
        <w:rPr>
          <w:rFonts w:ascii="仿宋_GB2312" w:hAnsi="仿宋_GB2312" w:eastAsia="仿宋_GB2312"/>
          <w:b w:val="0"/>
          <w:sz w:val="32"/>
          <w:highlight w:val="none"/>
        </w:rPr>
        <w:t>其中：年初财政拨款结转和结余0.00万元，本年财政拨款收入5,283.62万元。</w:t>
      </w:r>
      <w:r>
        <w:rPr>
          <w:rFonts w:ascii="仿宋_GB2312" w:hAnsi="仿宋_GB2312" w:eastAsia="仿宋_GB2312"/>
          <w:b/>
          <w:sz w:val="32"/>
          <w:highlight w:val="none"/>
        </w:rPr>
        <w:t>财政拨款支出总计5,283.62万元，</w:t>
      </w:r>
      <w:r>
        <w:rPr>
          <w:rFonts w:ascii="仿宋_GB2312" w:hAnsi="仿宋_GB2312" w:eastAsia="仿宋_GB2312"/>
          <w:b w:val="0"/>
          <w:sz w:val="32"/>
          <w:highlight w:val="none"/>
        </w:rPr>
        <w:t>其中：年末财政拨款结转和结余0.00万元，本年财政拨款支出5,283.62万元。</w:t>
      </w:r>
    </w:p>
    <w:p>
      <w:pPr>
        <w:spacing w:line="580" w:lineRule="exact"/>
        <w:ind w:firstLine="640"/>
        <w:jc w:val="both"/>
        <w:rPr>
          <w:highlight w:val="none"/>
        </w:rPr>
      </w:pPr>
      <w:r>
        <w:rPr>
          <w:rFonts w:ascii="仿宋_GB2312" w:hAnsi="仿宋_GB2312" w:eastAsia="仿宋_GB2312"/>
          <w:b/>
          <w:sz w:val="32"/>
          <w:highlight w:val="none"/>
        </w:rPr>
        <w:t>财政拨款收入支出总体与上年相比，</w:t>
      </w:r>
      <w:r>
        <w:rPr>
          <w:rFonts w:ascii="仿宋_GB2312" w:hAnsi="仿宋_GB2312" w:eastAsia="仿宋_GB2312"/>
          <w:b w:val="0"/>
          <w:sz w:val="32"/>
          <w:highlight w:val="none"/>
        </w:rPr>
        <w:t>增加1,038.21万元，增长24.45%，主要原因是：1.本年在职人员工资调增，社保、公积金基数调增，人员经费增加；2.和田地区和田河流域生态综合治理项目资金增加。</w:t>
      </w:r>
      <w:r>
        <w:rPr>
          <w:rFonts w:ascii="仿宋_GB2312" w:hAnsi="仿宋_GB2312" w:eastAsia="仿宋_GB2312"/>
          <w:b/>
          <w:sz w:val="32"/>
          <w:highlight w:val="none"/>
        </w:rPr>
        <w:t>与年初预算相比，</w:t>
      </w:r>
      <w:r>
        <w:rPr>
          <w:rFonts w:ascii="仿宋_GB2312" w:hAnsi="仿宋_GB2312" w:eastAsia="仿宋_GB2312"/>
          <w:b w:val="0"/>
          <w:sz w:val="32"/>
          <w:highlight w:val="none"/>
        </w:rPr>
        <w:t>年初预算数1,778.14万元，决算数5,283.62万元，预决算差异率197.14%，主要原因是：1.年中追加松材线虫病等重大林业有害生物专项调查、和田市、洛浦县和田玉矿区沙化土地综合整治项目等项目、和田地区和田河流域生态综合治理项目，导致预决算存在差异；2.年中追加人员工资、社保、公积金基数调增部分资金，导致预决算存在差异。</w:t>
      </w:r>
    </w:p>
    <w:p>
      <w:pPr>
        <w:spacing w:line="640" w:lineRule="exact"/>
        <w:ind w:firstLine="640"/>
        <w:jc w:val="both"/>
        <w:outlineLvl w:val="2"/>
        <w:rPr>
          <w:highlight w:val="none"/>
        </w:rPr>
      </w:pPr>
      <w:r>
        <w:rPr>
          <w:rFonts w:ascii="黑体" w:hAnsi="黑体" w:eastAsia="黑体"/>
          <w:sz w:val="32"/>
          <w:highlight w:val="none"/>
        </w:rPr>
        <w:t>五、一般公共预算财政拨款支出决算情况说明</w:t>
      </w:r>
    </w:p>
    <w:p>
      <w:pPr>
        <w:spacing w:line="640" w:lineRule="exact"/>
        <w:ind w:firstLine="640"/>
        <w:jc w:val="both"/>
        <w:outlineLvl w:val="3"/>
        <w:rPr>
          <w:highlight w:val="none"/>
        </w:rPr>
      </w:pPr>
      <w:r>
        <w:rPr>
          <w:rFonts w:ascii="楷体_GB2312" w:hAnsi="楷体_GB2312" w:eastAsia="楷体_GB2312"/>
          <w:b/>
          <w:sz w:val="32"/>
          <w:highlight w:val="none"/>
        </w:rPr>
        <w:t>（一）一般公共预算财政拨款支出决算总体情况</w:t>
      </w:r>
    </w:p>
    <w:p>
      <w:pPr>
        <w:spacing w:line="580" w:lineRule="exact"/>
        <w:ind w:firstLine="640"/>
        <w:jc w:val="both"/>
        <w:rPr>
          <w:highlight w:val="none"/>
        </w:rPr>
      </w:pPr>
      <w:r>
        <w:rPr>
          <w:rFonts w:ascii="仿宋_GB2312" w:hAnsi="仿宋_GB2312" w:eastAsia="仿宋_GB2312"/>
          <w:b/>
          <w:sz w:val="32"/>
          <w:highlight w:val="none"/>
        </w:rPr>
        <w:t>2024年度一般公共预算财政拨款支出1,925.14万元，</w:t>
      </w:r>
      <w:r>
        <w:rPr>
          <w:rFonts w:ascii="仿宋_GB2312" w:hAnsi="仿宋_GB2312" w:eastAsia="仿宋_GB2312"/>
          <w:b w:val="0"/>
          <w:sz w:val="32"/>
          <w:highlight w:val="none"/>
        </w:rPr>
        <w:t>占本年支出合计的36.32%。</w:t>
      </w:r>
      <w:r>
        <w:rPr>
          <w:rFonts w:ascii="仿宋_GB2312" w:hAnsi="仿宋_GB2312" w:eastAsia="仿宋_GB2312"/>
          <w:b/>
          <w:sz w:val="32"/>
          <w:highlight w:val="none"/>
        </w:rPr>
        <w:t>与上年相比，</w:t>
      </w:r>
      <w:r>
        <w:rPr>
          <w:rFonts w:ascii="仿宋_GB2312" w:hAnsi="仿宋_GB2312" w:eastAsia="仿宋_GB2312"/>
          <w:b w:val="0"/>
          <w:sz w:val="32"/>
          <w:highlight w:val="none"/>
        </w:rPr>
        <w:t>减少2,320.27万元，下降54.65%，主要原因是：本年减少和田地区防沙治沙锁边绿洲连片规划项目、中央林业改革发展资金、自治区林草专项资金等项目，导致经费较上年减少。</w:t>
      </w:r>
      <w:r>
        <w:rPr>
          <w:rFonts w:ascii="仿宋_GB2312" w:hAnsi="仿宋_GB2312" w:eastAsia="仿宋_GB2312"/>
          <w:b/>
          <w:sz w:val="32"/>
          <w:highlight w:val="none"/>
        </w:rPr>
        <w:t>与年初预算相比,</w:t>
      </w:r>
      <w:r>
        <w:rPr>
          <w:rFonts w:ascii="仿宋_GB2312" w:hAnsi="仿宋_GB2312" w:eastAsia="仿宋_GB2312"/>
          <w:b w:val="0"/>
          <w:sz w:val="32"/>
          <w:highlight w:val="none"/>
        </w:rPr>
        <w:t>年初预算数1,778.14万元，决算数1,925.14万元，预决算差异率8.27%，主要原因是：1.年中追加和田特色林果博览会经费、创新战略合作框架协议项目等项目，导致预决算存在差异；2.年中追加人员工资、社保、公积金基数调增部分资金，导致预决算存在差异。</w:t>
      </w:r>
    </w:p>
    <w:p>
      <w:pPr>
        <w:spacing w:line="640" w:lineRule="exact"/>
        <w:ind w:firstLine="640"/>
        <w:jc w:val="both"/>
        <w:outlineLvl w:val="3"/>
        <w:rPr>
          <w:highlight w:val="none"/>
        </w:rPr>
      </w:pPr>
      <w:r>
        <w:rPr>
          <w:rFonts w:ascii="楷体_GB2312" w:hAnsi="楷体_GB2312" w:eastAsia="楷体_GB2312"/>
          <w:b/>
          <w:sz w:val="32"/>
          <w:highlight w:val="none"/>
        </w:rPr>
        <w:t>（二）一般公共预算财政拨款支出决算结构情况</w:t>
      </w:r>
    </w:p>
    <w:p>
      <w:pPr>
        <w:spacing w:line="580" w:lineRule="exact"/>
        <w:ind w:firstLine="640"/>
        <w:jc w:val="both"/>
        <w:rPr>
          <w:highlight w:val="none"/>
        </w:rPr>
      </w:pPr>
      <w:r>
        <w:rPr>
          <w:rFonts w:ascii="仿宋_GB2312" w:hAnsi="仿宋_GB2312" w:eastAsia="仿宋_GB2312"/>
          <w:b w:val="0"/>
          <w:sz w:val="32"/>
          <w:highlight w:val="none"/>
        </w:rPr>
        <w:t>1.社会保障和就业支出(类)223.54万元,占11.61%。</w:t>
      </w:r>
    </w:p>
    <w:p>
      <w:pPr>
        <w:spacing w:line="580" w:lineRule="exact"/>
        <w:ind w:firstLine="640"/>
        <w:jc w:val="both"/>
        <w:rPr>
          <w:highlight w:val="none"/>
        </w:rPr>
      </w:pPr>
      <w:r>
        <w:rPr>
          <w:rFonts w:ascii="仿宋_GB2312" w:hAnsi="仿宋_GB2312" w:eastAsia="仿宋_GB2312"/>
          <w:b w:val="0"/>
          <w:sz w:val="32"/>
          <w:highlight w:val="none"/>
        </w:rPr>
        <w:t>2.卫生健康支出(类)66.50万元,占3.45%。</w:t>
      </w:r>
    </w:p>
    <w:p>
      <w:pPr>
        <w:spacing w:line="580" w:lineRule="exact"/>
        <w:ind w:firstLine="640"/>
        <w:jc w:val="both"/>
        <w:rPr>
          <w:highlight w:val="none"/>
        </w:rPr>
      </w:pPr>
      <w:r>
        <w:rPr>
          <w:rFonts w:ascii="仿宋_GB2312" w:hAnsi="仿宋_GB2312" w:eastAsia="仿宋_GB2312"/>
          <w:b w:val="0"/>
          <w:sz w:val="32"/>
          <w:highlight w:val="none"/>
        </w:rPr>
        <w:t>3.节能环保支出(类)118.36万元,占6.15%。</w:t>
      </w:r>
    </w:p>
    <w:p>
      <w:pPr>
        <w:spacing w:line="580" w:lineRule="exact"/>
        <w:ind w:firstLine="640"/>
        <w:jc w:val="both"/>
        <w:rPr>
          <w:highlight w:val="none"/>
        </w:rPr>
      </w:pPr>
      <w:r>
        <w:rPr>
          <w:rFonts w:ascii="仿宋_GB2312" w:hAnsi="仿宋_GB2312" w:eastAsia="仿宋_GB2312"/>
          <w:b w:val="0"/>
          <w:sz w:val="32"/>
          <w:highlight w:val="none"/>
        </w:rPr>
        <w:t>4.农林水支出(类)1,379.99万元,占71.68%。</w:t>
      </w:r>
    </w:p>
    <w:p>
      <w:pPr>
        <w:spacing w:line="580" w:lineRule="exact"/>
        <w:ind w:firstLine="640"/>
        <w:jc w:val="both"/>
        <w:rPr>
          <w:highlight w:val="none"/>
        </w:rPr>
      </w:pPr>
      <w:r>
        <w:rPr>
          <w:rFonts w:ascii="仿宋_GB2312" w:hAnsi="仿宋_GB2312" w:eastAsia="仿宋_GB2312"/>
          <w:b w:val="0"/>
          <w:sz w:val="32"/>
          <w:highlight w:val="none"/>
        </w:rPr>
        <w:t>5.住房保障支出(类)86.62万元,占4.50%。</w:t>
      </w:r>
    </w:p>
    <w:p>
      <w:pPr>
        <w:spacing w:line="580" w:lineRule="exact"/>
        <w:ind w:firstLine="640"/>
        <w:jc w:val="both"/>
        <w:rPr>
          <w:highlight w:val="none"/>
        </w:rPr>
      </w:pPr>
      <w:r>
        <w:rPr>
          <w:rFonts w:ascii="仿宋_GB2312" w:hAnsi="仿宋_GB2312" w:eastAsia="仿宋_GB2312"/>
          <w:b w:val="0"/>
          <w:sz w:val="32"/>
          <w:highlight w:val="none"/>
        </w:rPr>
        <w:t>6.其他支出(类)50.14万元,占2.60%。</w:t>
      </w:r>
    </w:p>
    <w:p>
      <w:pPr>
        <w:spacing w:line="640" w:lineRule="exact"/>
        <w:ind w:firstLine="640"/>
        <w:jc w:val="both"/>
        <w:outlineLvl w:val="3"/>
        <w:rPr>
          <w:highlight w:val="none"/>
        </w:rPr>
      </w:pPr>
      <w:r>
        <w:rPr>
          <w:rFonts w:ascii="楷体_GB2312" w:hAnsi="楷体_GB2312" w:eastAsia="楷体_GB2312"/>
          <w:b/>
          <w:sz w:val="32"/>
          <w:highlight w:val="none"/>
        </w:rPr>
        <w:t>（三）一般公共预算财政拨款支出决算具体情况</w:t>
      </w:r>
    </w:p>
    <w:p>
      <w:pPr>
        <w:spacing w:line="580" w:lineRule="exact"/>
        <w:ind w:firstLine="640"/>
        <w:jc w:val="both"/>
        <w:rPr>
          <w:highlight w:val="none"/>
        </w:rPr>
      </w:pPr>
      <w:r>
        <w:rPr>
          <w:rFonts w:ascii="仿宋_GB2312" w:hAnsi="仿宋_GB2312" w:eastAsia="仿宋_GB2312"/>
          <w:b w:val="0"/>
          <w:sz w:val="32"/>
          <w:highlight w:val="none"/>
        </w:rPr>
        <w:t>1.一般公共服务支出(类)发展与改革事务(款)其他发展与改革事务支出(项):支出决算数为0.00万元，比上年决算减少50.00万元，下降100.00%,主要原因是：本年未安排和田地区防沙治沙锁边绿洲连片规划项目。</w:t>
      </w:r>
    </w:p>
    <w:p>
      <w:pPr>
        <w:spacing w:line="580" w:lineRule="exact"/>
        <w:ind w:firstLine="640"/>
        <w:jc w:val="both"/>
        <w:rPr>
          <w:highlight w:val="none"/>
        </w:rPr>
      </w:pPr>
      <w:r>
        <w:rPr>
          <w:rFonts w:ascii="仿宋_GB2312" w:hAnsi="仿宋_GB2312" w:eastAsia="仿宋_GB2312"/>
          <w:b w:val="0"/>
          <w:sz w:val="32"/>
          <w:highlight w:val="none"/>
        </w:rPr>
        <w:t>2.一般公共服务支出(类)组织事务(款)其他组织事务支出(项):支出决算数为0.00万元，比上年决算减少1.27万元，下降100.00%,主要原因是：本年科目调整，援疆干部生活补助资金由其他组织事务支出科目调整至其他支出科目支出，导致经费较上年减少。</w:t>
      </w:r>
    </w:p>
    <w:p>
      <w:pPr>
        <w:spacing w:line="580" w:lineRule="exact"/>
        <w:ind w:firstLine="640"/>
        <w:jc w:val="both"/>
        <w:rPr>
          <w:highlight w:val="none"/>
        </w:rPr>
      </w:pPr>
      <w:r>
        <w:rPr>
          <w:rFonts w:ascii="仿宋_GB2312" w:hAnsi="仿宋_GB2312" w:eastAsia="仿宋_GB2312"/>
          <w:b w:val="0"/>
          <w:sz w:val="32"/>
          <w:highlight w:val="none"/>
        </w:rPr>
        <w:t>3.社会保障和就业支出(类)行政事业单位养老支出(款)行政单位离退休(项):支出决算数为34.68万元，比上年决算增加34.68万元，增长100.00%,主要原因是：1.本年增加退休人员基础绩效奖，退休费支出增加；2.本年退休人员增加，退休费支出增加。</w:t>
      </w:r>
    </w:p>
    <w:p>
      <w:pPr>
        <w:spacing w:line="580" w:lineRule="exact"/>
        <w:ind w:firstLine="640"/>
        <w:jc w:val="both"/>
        <w:rPr>
          <w:highlight w:val="none"/>
        </w:rPr>
      </w:pPr>
      <w:r>
        <w:rPr>
          <w:rFonts w:ascii="仿宋_GB2312" w:hAnsi="仿宋_GB2312" w:eastAsia="仿宋_GB2312"/>
          <w:b w:val="0"/>
          <w:sz w:val="32"/>
          <w:highlight w:val="none"/>
        </w:rPr>
        <w:t>4.社会保障和就业支出(类)行政事业单位养老支出(款)机关事业单位基本养老保险缴费支出(项):支出决算数为114.89万元，比上年决算增加2.58万元，增长2.30%,主要原因是：本年在职人员工资基数调增，养老缴费基数上涨，相应支出增加。</w:t>
      </w:r>
    </w:p>
    <w:p>
      <w:pPr>
        <w:spacing w:line="580" w:lineRule="exact"/>
        <w:ind w:firstLine="640"/>
        <w:jc w:val="both"/>
        <w:rPr>
          <w:highlight w:val="none"/>
        </w:rPr>
      </w:pPr>
      <w:r>
        <w:rPr>
          <w:rFonts w:ascii="仿宋_GB2312" w:hAnsi="仿宋_GB2312" w:eastAsia="仿宋_GB2312"/>
          <w:b w:val="0"/>
          <w:sz w:val="32"/>
          <w:highlight w:val="none"/>
        </w:rPr>
        <w:t>5.社会保障和就业支出(类)行政事业单位养老支出(款)机关事业单位职业年金缴费支出(项):支出决算数为73.97万元，比上年决算增加66.67万元，增长913.29%,主要原因是：本年新增退休人员及调出人员，职业年金缴费支出增加。</w:t>
      </w:r>
    </w:p>
    <w:p>
      <w:pPr>
        <w:spacing w:line="580" w:lineRule="exact"/>
        <w:ind w:firstLine="640"/>
        <w:jc w:val="both"/>
        <w:rPr>
          <w:highlight w:val="none"/>
        </w:rPr>
      </w:pPr>
      <w:r>
        <w:rPr>
          <w:rFonts w:ascii="仿宋_GB2312" w:hAnsi="仿宋_GB2312" w:eastAsia="仿宋_GB2312"/>
          <w:b w:val="0"/>
          <w:sz w:val="32"/>
          <w:highlight w:val="none"/>
        </w:rPr>
        <w:t>6.卫生健康支出(类)行政事业单位医疗(款)行政单位医疗(项):支出决算数为46.65万元，比上年决算增加46.65万元，增长100.00%,主要原因是：本年功能科目调整，行政单位医疗支出上年度在主科目列支，本年单独列支，导致经费较上年增加。</w:t>
      </w:r>
    </w:p>
    <w:p>
      <w:pPr>
        <w:spacing w:line="580" w:lineRule="exact"/>
        <w:ind w:firstLine="640"/>
        <w:jc w:val="both"/>
        <w:rPr>
          <w:highlight w:val="none"/>
        </w:rPr>
      </w:pPr>
      <w:r>
        <w:rPr>
          <w:rFonts w:ascii="仿宋_GB2312" w:hAnsi="仿宋_GB2312" w:eastAsia="仿宋_GB2312"/>
          <w:b w:val="0"/>
          <w:sz w:val="32"/>
          <w:highlight w:val="none"/>
        </w:rPr>
        <w:t>7.卫生健康支出(类)行政事业单位医疗(款)公务员医疗补助(项):支出决算数为19.85万元，比上年决算增加19.85万元，增长100.00%,主要原因是：本年功能科目调整，公务员医疗补助上年度在主科目列支，本年单独列支，导致经费较上年增加。</w:t>
      </w:r>
    </w:p>
    <w:p>
      <w:pPr>
        <w:spacing w:line="580" w:lineRule="exact"/>
        <w:ind w:firstLine="640"/>
        <w:jc w:val="both"/>
        <w:rPr>
          <w:highlight w:val="none"/>
        </w:rPr>
      </w:pPr>
      <w:r>
        <w:rPr>
          <w:rFonts w:ascii="仿宋_GB2312" w:hAnsi="仿宋_GB2312" w:eastAsia="仿宋_GB2312"/>
          <w:b w:val="0"/>
          <w:sz w:val="32"/>
          <w:highlight w:val="none"/>
        </w:rPr>
        <w:t>8.节能环保支出(类)自然生态保护(款)草原生态修复治理(项):支出决算数为0.00万元，比上年决算减少5.87万元，下降100.00%,主要原因是：本年未安排监管监测及科技支撑经费项目。</w:t>
      </w:r>
    </w:p>
    <w:p>
      <w:pPr>
        <w:spacing w:line="580" w:lineRule="exact"/>
        <w:ind w:firstLine="640"/>
        <w:jc w:val="both"/>
        <w:rPr>
          <w:highlight w:val="none"/>
        </w:rPr>
      </w:pPr>
      <w:r>
        <w:rPr>
          <w:rFonts w:ascii="仿宋_GB2312" w:hAnsi="仿宋_GB2312" w:eastAsia="仿宋_GB2312"/>
          <w:b w:val="0"/>
          <w:sz w:val="32"/>
          <w:highlight w:val="none"/>
        </w:rPr>
        <w:t>9.节能环保支出(类)森林保护修复(款)森林管护(项):支出决算数为118.36万元，比上年决算增加118.36万元，增长100.00%,主要原因是：本年增加森林保护修复管护质量监督检查项目、国有林保护修复支持保障等项目，导致经费较上年增加。</w:t>
      </w:r>
    </w:p>
    <w:p>
      <w:pPr>
        <w:spacing w:line="580" w:lineRule="exact"/>
        <w:ind w:firstLine="640"/>
        <w:jc w:val="both"/>
        <w:rPr>
          <w:highlight w:val="none"/>
        </w:rPr>
      </w:pPr>
      <w:r>
        <w:rPr>
          <w:rFonts w:ascii="仿宋_GB2312" w:hAnsi="仿宋_GB2312" w:eastAsia="仿宋_GB2312"/>
          <w:b w:val="0"/>
          <w:sz w:val="32"/>
          <w:highlight w:val="none"/>
        </w:rPr>
        <w:t>10.农林水支出(类)林业和草原(款)行政运行(项):支出决算数为968.38万元，比上年决算减少233.51万元，下降19.43%,主要原因是：（1）本年在职人员减少，相应人员经费较上年减少；（2）本年功能调整，公务员医疗补助、行政单位离退休、住房公积金，行政单位医疗科目上年度在主科目列支，本年单独列支，导致经费较上年较少。</w:t>
      </w:r>
    </w:p>
    <w:p>
      <w:pPr>
        <w:spacing w:line="580" w:lineRule="exact"/>
        <w:ind w:firstLine="640"/>
        <w:jc w:val="both"/>
        <w:rPr>
          <w:highlight w:val="none"/>
        </w:rPr>
      </w:pPr>
      <w:r>
        <w:rPr>
          <w:rFonts w:ascii="仿宋_GB2312" w:hAnsi="仿宋_GB2312" w:eastAsia="仿宋_GB2312"/>
          <w:b w:val="0"/>
          <w:sz w:val="32"/>
          <w:highlight w:val="none"/>
        </w:rPr>
        <w:t>11.农林水支出(类)林业和草原(款)森林资源培育(项):支出决算数为0.00万元，比上年决算减少1.46万元，下降100.00%,主要原因是：本年未安排森林资源培育项目，导致经费较上年减少。</w:t>
      </w:r>
    </w:p>
    <w:p>
      <w:pPr>
        <w:spacing w:line="580" w:lineRule="exact"/>
        <w:ind w:firstLine="640"/>
        <w:jc w:val="both"/>
        <w:rPr>
          <w:highlight w:val="none"/>
        </w:rPr>
      </w:pPr>
      <w:r>
        <w:rPr>
          <w:rFonts w:ascii="仿宋_GB2312" w:hAnsi="仿宋_GB2312" w:eastAsia="仿宋_GB2312"/>
          <w:b w:val="0"/>
          <w:sz w:val="32"/>
          <w:highlight w:val="none"/>
        </w:rPr>
        <w:t>12.农林水支出(类)林业和草原(款)动植物保护(项):支出决算数为0.00万元，比上年决算减少37.83万元，下降100.00%,主要原因是：本年未安排国家重点野生动植物保护补助项目野生动物疫源疫病监测和收容救护项目。</w:t>
      </w:r>
    </w:p>
    <w:p>
      <w:pPr>
        <w:spacing w:line="580" w:lineRule="exact"/>
        <w:ind w:firstLine="640"/>
        <w:jc w:val="both"/>
        <w:rPr>
          <w:highlight w:val="none"/>
        </w:rPr>
      </w:pPr>
      <w:r>
        <w:rPr>
          <w:rFonts w:ascii="仿宋_GB2312" w:hAnsi="仿宋_GB2312" w:eastAsia="仿宋_GB2312"/>
          <w:b w:val="0"/>
          <w:sz w:val="32"/>
          <w:highlight w:val="none"/>
        </w:rPr>
        <w:t>13.农林水支出(类)林业和草原(款)防沙治沙(项):支出决算数为9.70万元，比上年决算减少24.46万元，下降71.60%,主要原因是：本年减少国土绿化沙化土地封禁保护补偿、林业草原支撑保障体系支出良种苗木培育项目，导致经费较上年减少。</w:t>
      </w:r>
    </w:p>
    <w:p>
      <w:pPr>
        <w:spacing w:line="580" w:lineRule="exact"/>
        <w:ind w:firstLine="640"/>
        <w:jc w:val="both"/>
        <w:rPr>
          <w:highlight w:val="none"/>
        </w:rPr>
      </w:pPr>
      <w:r>
        <w:rPr>
          <w:rFonts w:ascii="仿宋_GB2312" w:hAnsi="仿宋_GB2312" w:eastAsia="仿宋_GB2312"/>
          <w:b w:val="0"/>
          <w:sz w:val="32"/>
          <w:highlight w:val="none"/>
        </w:rPr>
        <w:t>14.农林水支出(类)林业和草原(款)林业草原防灾减灾(项):支出决算数为0.00万元，比上年决算减少1,511.23万元，下降100.00%,主要原因是：本年未安排草原防火和林业执法监管能力提升项目为续建项目，导致经费较上年减少。</w:t>
      </w:r>
    </w:p>
    <w:p>
      <w:pPr>
        <w:spacing w:line="580" w:lineRule="exact"/>
        <w:ind w:firstLine="640"/>
        <w:jc w:val="both"/>
        <w:rPr>
          <w:highlight w:val="none"/>
        </w:rPr>
      </w:pPr>
      <w:r>
        <w:rPr>
          <w:rFonts w:ascii="仿宋_GB2312" w:hAnsi="仿宋_GB2312" w:eastAsia="仿宋_GB2312"/>
          <w:b w:val="0"/>
          <w:sz w:val="32"/>
          <w:highlight w:val="none"/>
        </w:rPr>
        <w:t>15.农林水支出(类)林业和草原(款)草原管理(项):支出决算数为16.20万元，比上年决算增加16.20万元，增长100.00%,主要原因是：本年增加第三届中国新疆特色林果产品博览会经费项目资金，导致经费较上年增加。</w:t>
      </w:r>
    </w:p>
    <w:p>
      <w:pPr>
        <w:spacing w:line="580" w:lineRule="exact"/>
        <w:ind w:firstLine="640"/>
        <w:jc w:val="both"/>
        <w:rPr>
          <w:highlight w:val="none"/>
        </w:rPr>
      </w:pPr>
      <w:r>
        <w:rPr>
          <w:rFonts w:ascii="仿宋_GB2312" w:hAnsi="仿宋_GB2312" w:eastAsia="仿宋_GB2312"/>
          <w:b w:val="0"/>
          <w:sz w:val="32"/>
          <w:highlight w:val="none"/>
        </w:rPr>
        <w:t>16.农林水支出(类)林业和草原(款)其他林业和草原支出(项):支出决算数为385.70万元，比上年决算减少193.01万元，下降33.35%,主要原因是：本年减少中央林业改革发展资金、自治区林草专项资金等项目，导致经费较上年减少。</w:t>
      </w:r>
    </w:p>
    <w:p>
      <w:pPr>
        <w:spacing w:line="580" w:lineRule="exact"/>
        <w:ind w:firstLine="640"/>
        <w:jc w:val="both"/>
        <w:rPr>
          <w:highlight w:val="none"/>
        </w:rPr>
      </w:pPr>
      <w:r>
        <w:rPr>
          <w:rFonts w:ascii="仿宋_GB2312" w:hAnsi="仿宋_GB2312" w:eastAsia="仿宋_GB2312"/>
          <w:b w:val="0"/>
          <w:sz w:val="32"/>
          <w:highlight w:val="none"/>
        </w:rPr>
        <w:t>17.住房保障支出(类)住房改革支出(款)住房公积金(项):支出决算数为86.62万元，比上年决算增加86.62万元，增长100.00%,主要原因是：本年功能科目调整，住房公积金上年度在主科目列支，本年单独列支，导致经费较上年增加。</w:t>
      </w:r>
    </w:p>
    <w:p>
      <w:pPr>
        <w:spacing w:line="580" w:lineRule="exact"/>
        <w:ind w:firstLine="640"/>
        <w:jc w:val="both"/>
        <w:rPr>
          <w:highlight w:val="none"/>
        </w:rPr>
      </w:pPr>
      <w:r>
        <w:rPr>
          <w:rFonts w:ascii="仿宋_GB2312" w:hAnsi="仿宋_GB2312" w:eastAsia="仿宋_GB2312"/>
          <w:b w:val="0"/>
          <w:sz w:val="32"/>
          <w:highlight w:val="none"/>
        </w:rPr>
        <w:t>18.灾害防治及应急管理支出(类)应急管理事务(款)灾害风险防治(项):支出决算数为0.00万元，比上年决算减少4.00万元，下降100.00%,主要原因是：本年未安排全国自然灾害综合风险普查项目，导致经费较上年减少。</w:t>
      </w:r>
    </w:p>
    <w:p>
      <w:pPr>
        <w:spacing w:line="580" w:lineRule="exact"/>
        <w:ind w:firstLine="640"/>
        <w:jc w:val="both"/>
        <w:rPr>
          <w:highlight w:val="none"/>
        </w:rPr>
      </w:pPr>
      <w:r>
        <w:rPr>
          <w:rFonts w:ascii="仿宋_GB2312" w:hAnsi="仿宋_GB2312" w:eastAsia="仿宋_GB2312"/>
          <w:b w:val="0"/>
          <w:sz w:val="32"/>
          <w:highlight w:val="none"/>
        </w:rPr>
        <w:t>19.灾害防治及应急管理支出(类)自然灾害防治(款)森林草原防灾减灾(项):支出决算数为0.00万元，比上年决算减少646.39万元，下降100.00%,主要原因是：本年未安排生态保护和修复支撑体系专项中央基建投资项目，导致经费较上年减少。</w:t>
      </w:r>
    </w:p>
    <w:p>
      <w:pPr>
        <w:spacing w:line="580" w:lineRule="exact"/>
        <w:ind w:firstLine="640"/>
        <w:jc w:val="both"/>
        <w:rPr>
          <w:highlight w:val="none"/>
        </w:rPr>
      </w:pPr>
      <w:r>
        <w:rPr>
          <w:rFonts w:ascii="仿宋_GB2312" w:hAnsi="仿宋_GB2312" w:eastAsia="仿宋_GB2312"/>
          <w:b w:val="0"/>
          <w:sz w:val="32"/>
          <w:highlight w:val="none"/>
        </w:rPr>
        <w:t>20.其他支出(类)其他支出(款)其他支出(项):支出决算数为50.14万元，比上年决算减少2.86万元，下降5.40%,主要原因是：本年自治区驻村工作专项经费减少，导致经费较上年减少。</w:t>
      </w:r>
    </w:p>
    <w:p>
      <w:pPr>
        <w:spacing w:line="640" w:lineRule="exact"/>
        <w:ind w:firstLine="640"/>
        <w:jc w:val="both"/>
        <w:outlineLvl w:val="2"/>
        <w:rPr>
          <w:highlight w:val="none"/>
        </w:rPr>
      </w:pPr>
      <w:r>
        <w:rPr>
          <w:rFonts w:ascii="黑体" w:hAnsi="黑体" w:eastAsia="黑体"/>
          <w:sz w:val="32"/>
          <w:highlight w:val="none"/>
        </w:rPr>
        <w:t>六、一般公共预算财政拨款基本支出决算情况说明</w:t>
      </w:r>
    </w:p>
    <w:p>
      <w:pPr>
        <w:spacing w:line="580" w:lineRule="exact"/>
        <w:ind w:firstLine="640"/>
        <w:jc w:val="both"/>
        <w:rPr>
          <w:highlight w:val="none"/>
        </w:rPr>
      </w:pPr>
      <w:r>
        <w:rPr>
          <w:rFonts w:ascii="仿宋_GB2312" w:hAnsi="仿宋_GB2312" w:eastAsia="仿宋_GB2312"/>
          <w:b w:val="0"/>
          <w:sz w:val="32"/>
          <w:highlight w:val="none"/>
        </w:rPr>
        <w:t>2024年度一般公共预算财政拨款基本支出1,345.03万元，其中：</w:t>
      </w:r>
      <w:r>
        <w:rPr>
          <w:rFonts w:ascii="仿宋_GB2312" w:hAnsi="仿宋_GB2312" w:eastAsia="仿宋_GB2312"/>
          <w:b/>
          <w:sz w:val="32"/>
          <w:highlight w:val="none"/>
        </w:rPr>
        <w:t>人员经费1,258.67万元，</w:t>
      </w:r>
      <w:r>
        <w:rPr>
          <w:rFonts w:ascii="仿宋_GB2312" w:hAnsi="仿宋_GB2312" w:eastAsia="仿宋_GB2312"/>
          <w:b w:val="0"/>
          <w:sz w:val="32"/>
          <w:highlight w:val="none"/>
        </w:rPr>
        <w:t>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pPr>
        <w:spacing w:line="580" w:lineRule="exact"/>
        <w:ind w:firstLine="640"/>
        <w:jc w:val="both"/>
        <w:rPr>
          <w:highlight w:val="none"/>
        </w:rPr>
      </w:pPr>
      <w:r>
        <w:rPr>
          <w:rFonts w:ascii="仿宋_GB2312" w:hAnsi="仿宋_GB2312" w:eastAsia="仿宋_GB2312"/>
          <w:b/>
          <w:sz w:val="32"/>
          <w:highlight w:val="none"/>
        </w:rPr>
        <w:t>公用经费86.36万元，</w:t>
      </w:r>
      <w:r>
        <w:rPr>
          <w:rFonts w:ascii="仿宋_GB2312" w:hAnsi="仿宋_GB2312" w:eastAsia="仿宋_GB2312"/>
          <w:b w:val="0"/>
          <w:sz w:val="32"/>
          <w:highlight w:val="none"/>
        </w:rPr>
        <w:t>包括：办公费、水费、电费、取暖费、差旅费、工会经费、福利费、公务用车运行维护费、其他商品和服务支出。</w:t>
      </w:r>
    </w:p>
    <w:p>
      <w:pPr>
        <w:spacing w:line="640" w:lineRule="exact"/>
        <w:ind w:firstLine="640"/>
        <w:jc w:val="both"/>
        <w:outlineLvl w:val="2"/>
        <w:rPr>
          <w:highlight w:val="none"/>
        </w:rPr>
      </w:pPr>
      <w:r>
        <w:rPr>
          <w:rFonts w:ascii="黑体" w:hAnsi="黑体" w:eastAsia="黑体"/>
          <w:sz w:val="32"/>
          <w:highlight w:val="none"/>
        </w:rPr>
        <w:t>七、政府性基金预算财政拨款收入支出决算情况说明</w:t>
      </w:r>
    </w:p>
    <w:p>
      <w:pPr>
        <w:spacing w:line="580" w:lineRule="exact"/>
        <w:ind w:firstLine="640"/>
        <w:jc w:val="both"/>
        <w:rPr>
          <w:highlight w:val="none"/>
        </w:rPr>
      </w:pPr>
      <w:r>
        <w:rPr>
          <w:rFonts w:ascii="仿宋_GB2312" w:hAnsi="仿宋_GB2312" w:eastAsia="仿宋_GB2312"/>
          <w:b/>
          <w:sz w:val="32"/>
          <w:highlight w:val="none"/>
        </w:rPr>
        <w:t>2024年度政府性基金预算财政拨款收入总计3,358.48万元，</w:t>
      </w:r>
      <w:r>
        <w:rPr>
          <w:rFonts w:ascii="仿宋_GB2312" w:hAnsi="仿宋_GB2312" w:eastAsia="仿宋_GB2312"/>
          <w:b w:val="0"/>
          <w:sz w:val="32"/>
          <w:highlight w:val="none"/>
        </w:rPr>
        <w:t>其中：年初结转和结余0.00万元，本年收入3,358.48万元。</w:t>
      </w:r>
      <w:r>
        <w:rPr>
          <w:rFonts w:ascii="仿宋_GB2312" w:hAnsi="仿宋_GB2312" w:eastAsia="仿宋_GB2312"/>
          <w:b/>
          <w:sz w:val="32"/>
          <w:highlight w:val="none"/>
        </w:rPr>
        <w:t>政府性基金预算财政拨款支出总计3,358.48万元，</w:t>
      </w:r>
      <w:r>
        <w:rPr>
          <w:rFonts w:ascii="仿宋_GB2312" w:hAnsi="仿宋_GB2312" w:eastAsia="仿宋_GB2312"/>
          <w:b w:val="0"/>
          <w:sz w:val="32"/>
          <w:highlight w:val="none"/>
        </w:rPr>
        <w:t>其中：年末结转和结余0.00万元，本年支出3,358.48万元。</w:t>
      </w:r>
    </w:p>
    <w:p>
      <w:pPr>
        <w:spacing w:line="580" w:lineRule="exact"/>
        <w:ind w:firstLine="640"/>
        <w:jc w:val="both"/>
        <w:rPr>
          <w:highlight w:val="none"/>
        </w:rPr>
      </w:pPr>
      <w:r>
        <w:rPr>
          <w:rFonts w:ascii="仿宋_GB2312" w:hAnsi="仿宋_GB2312" w:eastAsia="仿宋_GB2312"/>
          <w:b/>
          <w:sz w:val="32"/>
          <w:highlight w:val="none"/>
        </w:rPr>
        <w:t>政府性基金预算财政拨款收入支出总体与上年相比，</w:t>
      </w:r>
      <w:r>
        <w:rPr>
          <w:rFonts w:ascii="仿宋_GB2312" w:hAnsi="仿宋_GB2312" w:eastAsia="仿宋_GB2312"/>
          <w:b w:val="0"/>
          <w:sz w:val="32"/>
          <w:highlight w:val="none"/>
        </w:rPr>
        <w:t>增加3,358.48万元，增长100.00%，主要原因是：本年增加和田地区和田河流域生态综合治理项目，导致经费较上年增加。</w:t>
      </w:r>
      <w:r>
        <w:rPr>
          <w:rFonts w:ascii="仿宋_GB2312" w:hAnsi="仿宋_GB2312" w:eastAsia="仿宋_GB2312"/>
          <w:b/>
          <w:sz w:val="32"/>
          <w:highlight w:val="none"/>
        </w:rPr>
        <w:t>与年初预算相比，</w:t>
      </w:r>
      <w:r>
        <w:rPr>
          <w:rFonts w:ascii="仿宋_GB2312" w:hAnsi="仿宋_GB2312" w:eastAsia="仿宋_GB2312"/>
          <w:b w:val="0"/>
          <w:sz w:val="32"/>
          <w:highlight w:val="none"/>
        </w:rPr>
        <w:t>年初预算数0.00万元，决算数3,358.48万元，预决算差异率100.00%，主要原因是：年中追加和田地区和田河流域生态综合治理项目，导致预决算存在差异。</w:t>
      </w:r>
    </w:p>
    <w:p>
      <w:pPr>
        <w:spacing w:line="580" w:lineRule="exact"/>
        <w:ind w:firstLine="640"/>
        <w:jc w:val="both"/>
        <w:rPr>
          <w:highlight w:val="none"/>
        </w:rPr>
      </w:pPr>
      <w:r>
        <w:rPr>
          <w:rFonts w:ascii="仿宋_GB2312" w:hAnsi="仿宋_GB2312" w:eastAsia="仿宋_GB2312"/>
          <w:b w:val="0"/>
          <w:sz w:val="32"/>
          <w:highlight w:val="none"/>
        </w:rPr>
        <w:t>政府性基金预算财政拨款支出3,358.48万元。</w:t>
      </w:r>
    </w:p>
    <w:p>
      <w:pPr>
        <w:spacing w:line="580" w:lineRule="exact"/>
        <w:ind w:firstLine="640"/>
        <w:jc w:val="both"/>
        <w:rPr>
          <w:highlight w:val="none"/>
        </w:rPr>
      </w:pPr>
      <w:r>
        <w:rPr>
          <w:rFonts w:ascii="仿宋_GB2312" w:hAnsi="仿宋_GB2312" w:eastAsia="仿宋_GB2312"/>
          <w:b w:val="0"/>
          <w:sz w:val="32"/>
          <w:highlight w:val="none"/>
        </w:rPr>
        <w:t>1.节能环保支出(类)超长期特别国债安排的支出(款)“三北”工程建设(项):支出决算数为3,358.48万元，比上年决算增加3,358.48万元，增长100.00%,主要原因是：本年增加和田地区和田河流域生态综合治理项目，导致经费较上年增加。</w:t>
      </w:r>
    </w:p>
    <w:p>
      <w:pPr>
        <w:spacing w:line="640" w:lineRule="exact"/>
        <w:ind w:firstLine="640"/>
        <w:jc w:val="both"/>
        <w:outlineLvl w:val="2"/>
        <w:rPr>
          <w:highlight w:val="none"/>
        </w:rPr>
      </w:pPr>
      <w:r>
        <w:rPr>
          <w:rFonts w:ascii="黑体" w:hAnsi="黑体" w:eastAsia="黑体"/>
          <w:sz w:val="32"/>
          <w:highlight w:val="none"/>
        </w:rPr>
        <w:t>八、国有资本经营预算财政拨款收入支出决算情况说明</w:t>
      </w:r>
    </w:p>
    <w:p>
      <w:pPr>
        <w:spacing w:line="580" w:lineRule="exact"/>
        <w:ind w:firstLine="640"/>
        <w:jc w:val="both"/>
        <w:rPr>
          <w:highlight w:val="none"/>
        </w:rPr>
      </w:pPr>
      <w:r>
        <w:rPr>
          <w:rFonts w:ascii="仿宋_GB2312" w:hAnsi="仿宋_GB2312" w:eastAsia="仿宋_GB2312"/>
          <w:b w:val="0"/>
          <w:sz w:val="32"/>
          <w:highlight w:val="none"/>
        </w:rPr>
        <w:t>本单位本年度无国有资本经营预算财政拨款收入、支出及结转和结余，国有资本经营预算财政拨款收入支出决算表为空表。</w:t>
      </w:r>
    </w:p>
    <w:p>
      <w:pPr>
        <w:spacing w:line="640" w:lineRule="exact"/>
        <w:ind w:firstLine="640"/>
        <w:jc w:val="both"/>
        <w:outlineLvl w:val="2"/>
        <w:rPr>
          <w:highlight w:val="none"/>
        </w:rPr>
      </w:pPr>
      <w:r>
        <w:rPr>
          <w:rFonts w:ascii="黑体" w:hAnsi="黑体" w:eastAsia="黑体"/>
          <w:sz w:val="32"/>
          <w:highlight w:val="none"/>
        </w:rPr>
        <w:t>九、财政拨款“三公”经费支出决算情况说明</w:t>
      </w:r>
    </w:p>
    <w:p>
      <w:pPr>
        <w:spacing w:line="580" w:lineRule="exact"/>
        <w:ind w:firstLine="640"/>
        <w:jc w:val="both"/>
        <w:rPr>
          <w:highlight w:val="none"/>
        </w:rPr>
      </w:pPr>
      <w:r>
        <w:rPr>
          <w:rFonts w:ascii="仿宋_GB2312" w:hAnsi="仿宋_GB2312" w:eastAsia="仿宋_GB2312"/>
          <w:b/>
          <w:sz w:val="32"/>
          <w:highlight w:val="none"/>
        </w:rPr>
        <w:t>2024年度财政拨款“三公”经费支出10.50万元，</w:t>
      </w:r>
      <w:r>
        <w:rPr>
          <w:rFonts w:ascii="仿宋_GB2312" w:hAnsi="仿宋_GB2312" w:eastAsia="仿宋_GB2312"/>
          <w:b w:val="0"/>
          <w:sz w:val="32"/>
          <w:highlight w:val="none"/>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10.50万元，占100.00%，比上年增加0.00万元，增长0.00%，主要原因是：本单位公务用车运行维护费与上年一致无变化。公务接待费支出0.00万元，占0.00%，比上年增加0.00万元，增长0.00%，主要原因是：2023年与2024年均未安排公务接待费支出。</w:t>
      </w:r>
    </w:p>
    <w:p>
      <w:pPr>
        <w:spacing w:line="580" w:lineRule="exact"/>
        <w:ind w:firstLine="640"/>
        <w:jc w:val="both"/>
        <w:rPr>
          <w:highlight w:val="none"/>
        </w:rPr>
      </w:pPr>
      <w:r>
        <w:rPr>
          <w:rFonts w:ascii="仿宋_GB2312" w:hAnsi="仿宋_GB2312" w:eastAsia="仿宋_GB2312"/>
          <w:b/>
          <w:sz w:val="32"/>
          <w:highlight w:val="none"/>
        </w:rPr>
        <w:t>具体情况如下：</w:t>
      </w:r>
    </w:p>
    <w:p>
      <w:pPr>
        <w:spacing w:line="580" w:lineRule="exact"/>
        <w:ind w:firstLine="640"/>
        <w:jc w:val="both"/>
        <w:rPr>
          <w:highlight w:val="none"/>
        </w:rPr>
      </w:pPr>
      <w:r>
        <w:rPr>
          <w:rFonts w:ascii="仿宋_GB2312" w:hAnsi="仿宋_GB2312" w:eastAsia="仿宋_GB2312"/>
          <w:b w:val="0"/>
          <w:sz w:val="32"/>
          <w:highlight w:val="none"/>
        </w:rPr>
        <w:t>因公出国（境）费支出0.00万元，开支内容包括本单位无因公出国（境）费。单位全年安排的因公出国（境）团组0个，因公出国（境）0人次。</w:t>
      </w:r>
    </w:p>
    <w:p>
      <w:pPr>
        <w:spacing w:line="580" w:lineRule="exact"/>
        <w:ind w:firstLine="640"/>
        <w:jc w:val="both"/>
        <w:rPr>
          <w:highlight w:val="none"/>
        </w:rPr>
      </w:pPr>
      <w:r>
        <w:rPr>
          <w:rFonts w:ascii="仿宋_GB2312" w:hAnsi="仿宋_GB2312" w:eastAsia="仿宋_GB2312"/>
          <w:b w:val="0"/>
          <w:sz w:val="32"/>
          <w:highlight w:val="none"/>
        </w:rPr>
        <w:t>公务用车购置及运行维护费10.50万元，其中：公务用车购置费0.00万元，公务用车运行维护费10.50万元。公务用车运行维护费开支内容包括车辆加油费、维修费、保险费、审车费、过路费等。公务用车购置数0辆，公务用车保有量24辆。国有资产占用情况中固定资产车辆24辆，与公务用车保有量差异原因是：本单位固定资产车辆与公务用车保有量一致无差异。</w:t>
      </w:r>
    </w:p>
    <w:p>
      <w:pPr>
        <w:spacing w:line="580" w:lineRule="exact"/>
        <w:ind w:firstLine="640"/>
        <w:jc w:val="both"/>
        <w:rPr>
          <w:highlight w:val="none"/>
        </w:rPr>
      </w:pPr>
      <w:r>
        <w:rPr>
          <w:rFonts w:ascii="仿宋_GB2312" w:hAnsi="仿宋_GB2312" w:eastAsia="仿宋_GB2312"/>
          <w:b w:val="0"/>
          <w:sz w:val="32"/>
          <w:highlight w:val="none"/>
        </w:rPr>
        <w:t>公务接待费0.00万元，开支内容包括本单位无公务接待费。单位全年安排的</w:t>
      </w:r>
      <w:r>
        <w:rPr>
          <w:rFonts w:ascii="仿宋_GB2312" w:hAnsi="仿宋_GB2312" w:eastAsia="仿宋_GB2312"/>
          <w:b w:val="0"/>
          <w:sz w:val="32"/>
          <w:highlight w:val="none"/>
        </w:rPr>
        <w:t>国内公务接待</w:t>
      </w:r>
      <w:r>
        <w:rPr>
          <w:rFonts w:ascii="仿宋_GB2312" w:hAnsi="仿宋_GB2312" w:eastAsia="仿宋_GB2312"/>
          <w:b w:val="0"/>
          <w:sz w:val="32"/>
          <w:highlight w:val="none"/>
        </w:rPr>
        <w:t>0批次，0人次。</w:t>
      </w:r>
    </w:p>
    <w:p>
      <w:pPr>
        <w:spacing w:line="580" w:lineRule="exact"/>
        <w:ind w:firstLine="640"/>
        <w:jc w:val="both"/>
        <w:rPr>
          <w:highlight w:val="none"/>
        </w:rPr>
      </w:pPr>
      <w:r>
        <w:rPr>
          <w:rFonts w:ascii="仿宋_GB2312" w:hAnsi="仿宋_GB2312" w:eastAsia="仿宋_GB2312"/>
          <w:b/>
          <w:sz w:val="32"/>
          <w:highlight w:val="none"/>
        </w:rPr>
        <w:t>与全年预算相比，</w:t>
      </w:r>
      <w:r>
        <w:rPr>
          <w:rFonts w:ascii="仿宋_GB2312" w:hAnsi="仿宋_GB2312" w:eastAsia="仿宋_GB2312"/>
          <w:b w:val="0"/>
          <w:sz w:val="32"/>
          <w:highlight w:val="none"/>
        </w:rPr>
        <w:t>财政拨款“三公”经费支出全年预算数10.50万元，决算数10.50万元，预决算差异率0.00%，主要原因是：严格按照预算执行，预决算无差异。其中：因公出国（境）费全年预算数0.00万元，决算数0.00万元，预决算差异率0.00%，主要原因是：本单位</w:t>
      </w:r>
      <w:r>
        <w:rPr>
          <w:rFonts w:ascii="仿宋_GB2312" w:hAnsi="仿宋_GB2312" w:eastAsia="仿宋_GB2312"/>
          <w:b w:val="0"/>
          <w:sz w:val="32"/>
          <w:highlight w:val="none"/>
        </w:rPr>
        <w:t>无因公出国（境）费</w:t>
      </w:r>
      <w:r>
        <w:rPr>
          <w:rFonts w:ascii="仿宋_GB2312" w:hAnsi="仿宋_GB2312" w:eastAsia="仿宋_GB2312"/>
          <w:b w:val="0"/>
          <w:sz w:val="32"/>
          <w:highlight w:val="none"/>
        </w:rPr>
        <w:t>。公务用车购置费全年预算数0.00万元，决算数0.00万元，预决算差异率0.00%，主要原因是：本单位无公务用车购置费。公务用车运行维护费全年预算数10.50万元，决算数10.50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rPr>
          <w:highlight w:val="none"/>
        </w:rPr>
      </w:pPr>
      <w:r>
        <w:rPr>
          <w:rFonts w:ascii="黑体" w:hAnsi="黑体" w:eastAsia="黑体"/>
          <w:sz w:val="32"/>
          <w:highlight w:val="none"/>
        </w:rPr>
        <w:t>十、其他重要事项的情况说明</w:t>
      </w:r>
    </w:p>
    <w:p>
      <w:pPr>
        <w:spacing w:line="640" w:lineRule="exact"/>
        <w:ind w:firstLine="640"/>
        <w:jc w:val="both"/>
        <w:outlineLvl w:val="3"/>
        <w:rPr>
          <w:highlight w:val="none"/>
        </w:rPr>
      </w:pPr>
      <w:r>
        <w:rPr>
          <w:rFonts w:ascii="楷体_GB2312" w:hAnsi="楷体_GB2312" w:eastAsia="楷体_GB2312"/>
          <w:b/>
          <w:sz w:val="32"/>
          <w:highlight w:val="none"/>
        </w:rPr>
        <w:t>（一）机关运行经费及公用经费支出情况</w:t>
      </w:r>
    </w:p>
    <w:p>
      <w:pPr>
        <w:spacing w:line="580" w:lineRule="exact"/>
        <w:ind w:firstLine="640"/>
        <w:jc w:val="both"/>
        <w:rPr>
          <w:highlight w:val="none"/>
        </w:rPr>
      </w:pPr>
      <w:r>
        <w:rPr>
          <w:rFonts w:ascii="仿宋_GB2312" w:hAnsi="仿宋_GB2312" w:eastAsia="仿宋_GB2312"/>
          <w:b w:val="0"/>
          <w:sz w:val="32"/>
          <w:highlight w:val="none"/>
        </w:rPr>
        <w:t>2024年度新疆维吾尔自治区和田地区林业和草原局（行政单位和参照公务员法管理事业单位）机关运行经费支出86.36万元，比上年增加10.08万元，增长13.21%，主要原因是：本年增加维修费、购置办公用品，机关运行经费较上年增加。</w:t>
      </w:r>
    </w:p>
    <w:p>
      <w:pPr>
        <w:spacing w:line="640" w:lineRule="exact"/>
        <w:ind w:firstLine="640"/>
        <w:jc w:val="both"/>
        <w:outlineLvl w:val="3"/>
        <w:rPr>
          <w:highlight w:val="none"/>
        </w:rPr>
      </w:pPr>
      <w:r>
        <w:rPr>
          <w:rFonts w:ascii="楷体_GB2312" w:hAnsi="楷体_GB2312" w:eastAsia="楷体_GB2312"/>
          <w:b/>
          <w:sz w:val="32"/>
          <w:highlight w:val="none"/>
        </w:rPr>
        <w:t>（二）政府采购情况</w:t>
      </w:r>
    </w:p>
    <w:p>
      <w:pPr>
        <w:spacing w:line="580" w:lineRule="exact"/>
        <w:ind w:firstLine="640"/>
        <w:jc w:val="both"/>
        <w:rPr>
          <w:highlight w:val="none"/>
        </w:rPr>
      </w:pPr>
      <w:r>
        <w:rPr>
          <w:rFonts w:ascii="仿宋_GB2312" w:hAnsi="仿宋_GB2312" w:eastAsia="仿宋_GB2312"/>
          <w:b w:val="0"/>
          <w:sz w:val="32"/>
          <w:highlight w:val="none"/>
        </w:rPr>
        <w:t>2024年度政府采购支出总额363.98万元，其中：政府采购货物支出5.15万元、政府采购工程支出0.00万元、政府采购服务支出358.83万元。</w:t>
      </w:r>
    </w:p>
    <w:p>
      <w:pPr>
        <w:spacing w:line="580" w:lineRule="exact"/>
        <w:ind w:firstLine="640"/>
        <w:jc w:val="both"/>
        <w:rPr>
          <w:highlight w:val="none"/>
        </w:rPr>
      </w:pPr>
      <w:r>
        <w:rPr>
          <w:rFonts w:ascii="仿宋_GB2312" w:hAnsi="仿宋_GB2312" w:eastAsia="仿宋_GB2312"/>
          <w:b w:val="0"/>
          <w:sz w:val="32"/>
          <w:highlight w:val="none"/>
        </w:rPr>
        <w:t>授予中小企业合同金额13.69万元，占政府采购支出总额的3.76%，其中：授予小微企业合同金额5.37万元，占政府采购支出总额的1.48%。</w:t>
      </w:r>
    </w:p>
    <w:p>
      <w:pPr>
        <w:spacing w:line="640" w:lineRule="exact"/>
        <w:ind w:firstLine="640"/>
        <w:jc w:val="both"/>
        <w:outlineLvl w:val="3"/>
        <w:rPr>
          <w:highlight w:val="none"/>
        </w:rPr>
      </w:pPr>
      <w:r>
        <w:rPr>
          <w:rFonts w:ascii="楷体_GB2312" w:hAnsi="楷体_GB2312" w:eastAsia="楷体_GB2312"/>
          <w:b/>
          <w:sz w:val="32"/>
          <w:highlight w:val="none"/>
        </w:rPr>
        <w:t>（三）国有资产占用情况说明</w:t>
      </w:r>
    </w:p>
    <w:p>
      <w:pPr>
        <w:spacing w:line="580" w:lineRule="exact"/>
        <w:ind w:firstLine="640"/>
        <w:jc w:val="both"/>
        <w:rPr>
          <w:highlight w:val="none"/>
        </w:rPr>
      </w:pPr>
      <w:r>
        <w:rPr>
          <w:rFonts w:ascii="仿宋_GB2312" w:hAnsi="仿宋_GB2312" w:eastAsia="仿宋_GB2312"/>
          <w:b w:val="0"/>
          <w:sz w:val="32"/>
          <w:highlight w:val="none"/>
        </w:rPr>
        <w:t>截至2024年12月31日，房屋7,151.64平方米，价值2,271.44万元。车辆24辆，价值685.91万元，其中：副部（省）级及以上领导用车0辆、主要负责人用车0辆、</w:t>
      </w:r>
      <w:r>
        <w:rPr>
          <w:rFonts w:ascii="仿宋_GB2312" w:hAnsi="仿宋_GB2312" w:eastAsia="仿宋_GB2312"/>
          <w:b w:val="0"/>
          <w:sz w:val="32"/>
          <w:highlight w:val="none"/>
        </w:rPr>
        <w:t>机要通信用车</w:t>
      </w:r>
      <w:r>
        <w:rPr>
          <w:rFonts w:ascii="仿宋_GB2312" w:hAnsi="仿宋_GB2312" w:eastAsia="仿宋_GB2312"/>
          <w:b w:val="0"/>
          <w:sz w:val="32"/>
          <w:highlight w:val="none"/>
        </w:rPr>
        <w:t>0辆、应急保障用车15辆、</w:t>
      </w:r>
      <w:r>
        <w:rPr>
          <w:rFonts w:hint="eastAsia" w:ascii="仿宋_GB2312" w:hAnsi="仿宋_GB2312" w:eastAsia="仿宋_GB2312"/>
          <w:b w:val="0"/>
          <w:sz w:val="32"/>
          <w:highlight w:val="none"/>
          <w:lang w:eastAsia="zh-CN"/>
        </w:rPr>
        <w:t>业务专业</w:t>
      </w:r>
      <w:r>
        <w:rPr>
          <w:rFonts w:ascii="仿宋_GB2312" w:hAnsi="仿宋_GB2312" w:eastAsia="仿宋_GB2312"/>
          <w:b w:val="0"/>
          <w:sz w:val="32"/>
          <w:highlight w:val="none"/>
        </w:rPr>
        <w:t>用车4辆、特种专业技术用车0辆、离退休干部服务用车0辆、其他用车5辆，其他用车主要是：一般公务用车。单价100万元（含）以上设备（不含车辆）0台（套）。</w:t>
      </w:r>
    </w:p>
    <w:p>
      <w:pPr>
        <w:spacing w:line="640" w:lineRule="exact"/>
        <w:ind w:firstLine="640"/>
        <w:jc w:val="both"/>
        <w:outlineLvl w:val="2"/>
        <w:rPr>
          <w:highlight w:val="none"/>
        </w:rPr>
      </w:pPr>
      <w:r>
        <w:rPr>
          <w:rFonts w:ascii="黑体" w:hAnsi="黑体" w:eastAsia="黑体"/>
          <w:sz w:val="32"/>
          <w:highlight w:val="none"/>
        </w:rPr>
        <w:t>十一、预算绩效的情况说明</w:t>
      </w:r>
    </w:p>
    <w:p>
      <w:pPr>
        <w:spacing w:line="580" w:lineRule="exact"/>
        <w:ind w:firstLine="640"/>
        <w:jc w:val="both"/>
        <w:rPr>
          <w:highlight w:val="none"/>
        </w:rPr>
      </w:pPr>
      <w:r>
        <w:rPr>
          <w:rFonts w:ascii="仿宋_GB2312" w:hAnsi="仿宋_GB2312" w:eastAsia="仿宋_GB2312"/>
          <w:b w:val="0"/>
          <w:sz w:val="32"/>
          <w:highlight w:val="none"/>
        </w:rPr>
        <w:t>根据预算绩效管理要求，本单位2024年度预算绩效管理形成整体支出绩效自评表1个，全年预算总额5,300.14万元，实际执行总额5,300.14万元；预算绩效评价项目9个，全年预算数656.15万元，全年执行数603.57万元。预算绩效管理取得的成效：本单位2024年度部门整体支出绩效目标，围绕部门职能、中长期规划、年度工作计划、重点工作任务及要求，确定年度部门整体支出的绩效目标，按照确定的部门职责履行情况、部门运行有效情况及部门职能设置具体的指标。拟通过绩效评价分析部门整体支出对单位基本运转及单位职能履职的保障作用，总结经验做法，找出资金使用和管理中的薄弱环节，进一步加强预算管理，提高财政资金使用效益，为部门科学决策、规范管理提供参考。发现的问题及原因：一是在实施过程中成本节约方面欠缺，没有将资金使用效益最大化；自评报告的格式不规范，内容结构过于混乱，分指标评估衡量方式比较简单，评价内容不够全面；部门沟通协调不足，监督责任不明确。二是项目指标设定不科学，不合理，数据收集不全面、不准确，影响评价的客观性。三是项目在实施过程中，缺乏动态跟踪，仅在特定的时间进行跟踪，对经费使用的全过程跟踪不足，无法及时发现和解决问题，各部门之间关于绩效评价的信息交流不充分，沟通反馈不畅，影响改进措施的落实。下一步改进措施：1、加强管理，及时掌握与之相关的各类信息，减少成本，使资金效益最大化；自评报告遵循统一的格式规范编写报告</w:t>
      </w:r>
      <w:r>
        <w:rPr>
          <w:rFonts w:hint="eastAsia" w:ascii="仿宋_GB2312" w:hAnsi="仿宋_GB2312" w:eastAsia="仿宋_GB2312"/>
          <w:b w:val="0"/>
          <w:sz w:val="32"/>
          <w:highlight w:val="none"/>
          <w:lang w:eastAsia="zh-CN"/>
        </w:rPr>
        <w:t>，</w:t>
      </w:r>
      <w:r>
        <w:rPr>
          <w:rFonts w:ascii="仿宋_GB2312" w:hAnsi="仿宋_GB2312" w:eastAsia="仿宋_GB2312"/>
          <w:b w:val="0"/>
          <w:sz w:val="32"/>
          <w:highlight w:val="none"/>
        </w:rPr>
        <w:t>内容</w:t>
      </w:r>
      <w:r>
        <w:rPr>
          <w:rFonts w:hint="eastAsia" w:ascii="仿宋_GB2312" w:hAnsi="仿宋_GB2312" w:eastAsia="仿宋_GB2312"/>
          <w:b w:val="0"/>
          <w:sz w:val="32"/>
          <w:highlight w:val="none"/>
          <w:lang w:eastAsia="zh-CN"/>
        </w:rPr>
        <w:t>条理清晰</w:t>
      </w:r>
      <w:r>
        <w:rPr>
          <w:rFonts w:ascii="仿宋_GB2312" w:hAnsi="仿宋_GB2312" w:eastAsia="仿宋_GB2312"/>
          <w:b w:val="0"/>
          <w:sz w:val="32"/>
          <w:highlight w:val="none"/>
        </w:rPr>
        <w:t>，通过绩效管理，发现实施中存在漏洞；加强沟通协作，促进各部门在绩效评级过程中的沟通协作，及时共享信息和反馈意见。2、邀请专业人员或相关领域专家参与指标设计，确保其科学性和合理性，在项目实施决策中，建立科学的预算绩效评估体系；确保项目决策基于科学的绩效评估，避免浪费资源或无效支出，同时考虑项目规模和范围；项目启动时同步做好档案的归纳与整理，及时整理、收集、汇总，健全档案资料，建立健全数据收集和审核制度，保证数据质量。3、实施全程跟踪，</w:t>
      </w:r>
      <w:r>
        <w:rPr>
          <w:rFonts w:hint="eastAsia" w:ascii="仿宋_GB2312" w:hAnsi="仿宋_GB2312" w:eastAsia="仿宋_GB2312"/>
          <w:b w:val="0"/>
          <w:sz w:val="32"/>
          <w:highlight w:val="none"/>
          <w:lang w:eastAsia="zh-CN"/>
        </w:rPr>
        <w:t>实施</w:t>
      </w:r>
      <w:r>
        <w:rPr>
          <w:rFonts w:ascii="仿宋_GB2312" w:hAnsi="仿宋_GB2312" w:eastAsia="仿宋_GB2312"/>
          <w:b w:val="0"/>
          <w:sz w:val="32"/>
          <w:highlight w:val="none"/>
        </w:rPr>
        <w:t>动态跟踪，对实施中发现的一些问题随时调整策略，改进措施进行持续跟踪，确保落实到位。加强项目相关人员的培训，提高绩效评价</w:t>
      </w:r>
      <w:r>
        <w:rPr>
          <w:rFonts w:hint="eastAsia" w:ascii="仿宋_GB2312" w:hAnsi="仿宋_GB2312" w:eastAsia="仿宋_GB2312"/>
          <w:b w:val="0"/>
          <w:sz w:val="32"/>
          <w:highlight w:val="none"/>
          <w:lang w:eastAsia="zh-CN"/>
        </w:rPr>
        <w:t>工作</w:t>
      </w:r>
      <w:r>
        <w:rPr>
          <w:rFonts w:ascii="仿宋_GB2312" w:hAnsi="仿宋_GB2312" w:eastAsia="仿宋_GB2312"/>
          <w:b w:val="0"/>
          <w:sz w:val="32"/>
          <w:highlight w:val="none"/>
        </w:rPr>
        <w:t>的专业水平和能力。在决策过程中，要提高员工对预算绩效的认识和执行力，项目决策规划要准备充分，全过程检查监督项目资金的运行，确保项目资金有效使用，项目得以顺利实施。具体附整体支出绩效自评表，项目支出绩效自评表和评价报告。</w:t>
      </w:r>
    </w:p>
    <w:p>
      <w:pPr>
        <w:rPr>
          <w:highlight w:val="none"/>
        </w:rPr>
      </w:pPr>
      <w:r>
        <w:rPr>
          <w:highlight w:val="none"/>
        </w:rP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单位整体支出绩效自评表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2,088.86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5,300.14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5,300.14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348.22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3,661.05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3,661.05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1,726.92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1,622.58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1,622.58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13.72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16.51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16.51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实际完成目标</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ascii="宋体" w:hAnsi="宋体" w:eastAsia="宋体"/>
                <w:sz w:val="16"/>
                <w:highlight w:val="none"/>
              </w:rPr>
              <w:t>完成人工造林4.18万亩，种草改良46.6万亩，荒漠化治理103万亩；林果面积、产量稳定在295万亩、96万吨；森林、草原火灾受害率不超过0.9‰和2‰；完成林业和草原有害生物防治118万亩、草原有害生物防治15万亩，成灾率控制在8.2‰和9.5%以内.</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hint="eastAsia" w:ascii="宋体" w:hAnsi="宋体"/>
                <w:sz w:val="16"/>
                <w:highlight w:val="none"/>
                <w:lang w:eastAsia="zh-CN"/>
              </w:rPr>
              <w:t>截至</w:t>
            </w:r>
            <w:r>
              <w:rPr>
                <w:rFonts w:ascii="宋体" w:hAnsi="宋体" w:eastAsia="宋体"/>
                <w:sz w:val="16"/>
                <w:highlight w:val="none"/>
              </w:rPr>
              <w:t>2024年12月31日，本单位实际完成了人工造林4.18万亩，种草改良了46.6万亩，荒漠化治理了103万亩；林果面积、产量稳定在295万亩、96万吨；森林、草原火灾受害率不超过0.9‰和2‰；完成林业和草原有害生物防治118万亩、草原有害生物防治15万亩，成灾率控制在8.2‰和9.5%以内的任务，实际形成支出5,300.14万元，通过完成以上工作，实现了控制林业和草原有害生物成灾情况的效益。</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管理效率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完成人工造林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hint="eastAsia" w:ascii="宋体" w:hAnsi="宋体"/>
                <w:sz w:val="16"/>
                <w:highlight w:val="none"/>
                <w:lang w:eastAsia="zh-CN"/>
              </w:rPr>
              <w:t>≥</w:t>
            </w:r>
            <w:r>
              <w:rPr>
                <w:rFonts w:ascii="宋体" w:hAnsi="宋体" w:eastAsia="宋体"/>
                <w:sz w:val="16"/>
                <w:highlight w:val="none"/>
              </w:rPr>
              <w:t>4.18万亩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4.18万亩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制度执行有效性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森林、草原火灾受害率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hint="eastAsia" w:ascii="宋体" w:hAnsi="宋体"/>
                <w:sz w:val="16"/>
                <w:highlight w:val="none"/>
                <w:lang w:eastAsia="zh-CN"/>
              </w:rPr>
              <w:t>≤</w:t>
            </w:r>
            <w:r>
              <w:rPr>
                <w:rFonts w:ascii="宋体" w:hAnsi="宋体" w:eastAsia="宋体"/>
                <w:sz w:val="16"/>
                <w:highlight w:val="none"/>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重点工作报告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林业和草原有害生物成灾率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hint="eastAsia" w:ascii="宋体" w:hAnsi="宋体"/>
                <w:sz w:val="16"/>
                <w:highlight w:val="none"/>
                <w:lang w:eastAsia="zh-CN"/>
              </w:rPr>
              <w:t>≤</w:t>
            </w:r>
            <w:r>
              <w:rPr>
                <w:rFonts w:ascii="宋体" w:hAnsi="宋体" w:eastAsia="宋体"/>
                <w:sz w:val="16"/>
                <w:highlight w:val="none"/>
              </w:rPr>
              <w:t>8.20‰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重点工作报告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种草改良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hint="eastAsia" w:ascii="宋体" w:hAnsi="宋体"/>
                <w:sz w:val="16"/>
                <w:highlight w:val="none"/>
                <w:lang w:eastAsia="zh-CN"/>
              </w:rPr>
              <w:t>≥</w:t>
            </w:r>
            <w:r>
              <w:rPr>
                <w:rFonts w:ascii="宋体" w:hAnsi="宋体" w:eastAsia="宋体"/>
                <w:sz w:val="16"/>
                <w:highlight w:val="none"/>
              </w:rPr>
              <w:t>46.60万亩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重大工作报告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46.6万亩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荒漠化治理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hint="eastAsia" w:ascii="宋体" w:hAnsi="宋体"/>
                <w:sz w:val="16"/>
                <w:highlight w:val="none"/>
                <w:lang w:eastAsia="zh-CN"/>
              </w:rPr>
              <w:t>≥</w:t>
            </w:r>
            <w:r>
              <w:rPr>
                <w:rFonts w:ascii="宋体" w:hAnsi="宋体" w:eastAsia="宋体"/>
                <w:sz w:val="16"/>
                <w:highlight w:val="none"/>
              </w:rPr>
              <w:t>103万亩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重大工作报告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103万亩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hint="eastAsia" w:ascii="宋体" w:hAnsi="宋体"/>
                <w:sz w:val="16"/>
                <w:highlight w:val="none"/>
                <w:lang w:eastAsia="zh-CN"/>
              </w:rPr>
              <w:t>≥</w:t>
            </w:r>
            <w:r>
              <w:rPr>
                <w:rFonts w:ascii="宋体" w:hAnsi="宋体" w:eastAsia="宋体"/>
                <w:sz w:val="16"/>
                <w:highlight w:val="none"/>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r>
    </w:tbl>
    <w:p>
      <w:pPr>
        <w:rPr>
          <w:highlight w:val="none"/>
        </w:rPr>
      </w:pPr>
      <w:r>
        <w:rPr>
          <w:highlight w:val="none"/>
        </w:rP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2024年上半年自治区驻村工作专项项目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48.84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92.15%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8.04分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48.84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ascii="宋体" w:hAnsi="宋体" w:eastAsia="宋体"/>
                <w:sz w:val="16"/>
                <w:highlight w:val="none"/>
              </w:rPr>
              <w:t>本项目主要实施内容为：保障工作队4个，项目总投资为1.3万元，项目计划于2024年12月完成。通过本项目的实施，可有效落实惠民政策、带动基层党组织，待项目实施完成，争取使受益人群满意度不低于95%。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hint="eastAsia" w:ascii="宋体" w:hAnsi="宋体"/>
                <w:sz w:val="16"/>
                <w:highlight w:val="none"/>
                <w:lang w:eastAsia="zh-CN"/>
              </w:rPr>
              <w:t>截至</w:t>
            </w:r>
            <w:r>
              <w:rPr>
                <w:rFonts w:ascii="宋体" w:hAnsi="宋体" w:eastAsia="宋体"/>
                <w:sz w:val="16"/>
                <w:highlight w:val="none"/>
              </w:rPr>
              <w:t>2024年12月31日，本项目实际形成支出48.84万元，已完成保障了工作队4个的任务，达到了有效落实惠民政策、带动基层党组织的效益，</w:t>
            </w:r>
            <w:r>
              <w:rPr>
                <w:rFonts w:hint="eastAsia" w:ascii="宋体" w:hAnsi="宋体"/>
                <w:sz w:val="16"/>
                <w:highlight w:val="none"/>
                <w:lang w:eastAsia="zh-CN"/>
              </w:rPr>
              <w:t>为民办实事</w:t>
            </w:r>
            <w:r>
              <w:rPr>
                <w:rFonts w:ascii="宋体" w:hAnsi="宋体" w:eastAsia="宋体"/>
                <w:sz w:val="16"/>
                <w:highlight w:val="none"/>
              </w:rPr>
              <w:t>工作队所在村村民满意度达到100%。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保障工作队数量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为民办实事支出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=48.84万元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16.08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偏差原因：项目进度执行缓慢，导致资金支付率偏低；改进措施：加大项目进展力度，尽快收集支付材料，提交会议研究进行支付。</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落实惠民政策、带动基层党组织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hint="eastAsia" w:ascii="宋体" w:hAnsi="宋体"/>
                <w:sz w:val="16"/>
                <w:highlight w:val="none"/>
                <w:lang w:eastAsia="zh-CN"/>
              </w:rPr>
              <w:t>为民办实事</w:t>
            </w:r>
            <w:r>
              <w:rPr>
                <w:rFonts w:ascii="宋体" w:hAnsi="宋体" w:eastAsia="宋体"/>
                <w:sz w:val="16"/>
                <w:highlight w:val="none"/>
              </w:rPr>
              <w:t>工作队所在村村民满意度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94.12分</w:t>
            </w:r>
          </w:p>
        </w:tc>
      </w:tr>
    </w:tbl>
    <w:p>
      <w:pPr>
        <w:rPr>
          <w:highlight w:val="none"/>
        </w:rPr>
      </w:pPr>
      <w:r>
        <w:rPr>
          <w:highlight w:val="none"/>
        </w:rP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2024年中央林业草原生态保护恢复资金</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137.00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137.00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118.36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86.39%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6.60分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69.36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hint="eastAsia" w:ascii="宋体" w:hAnsi="宋体"/>
                <w:sz w:val="16"/>
                <w:highlight w:val="none"/>
                <w:lang w:val="en-US" w:eastAsia="zh-CN"/>
              </w:rPr>
              <w:t>50</w:t>
            </w:r>
            <w:r>
              <w:rPr>
                <w:rFonts w:ascii="宋体" w:hAnsi="宋体" w:eastAsia="宋体"/>
                <w:sz w:val="16"/>
                <w:highlight w:val="none"/>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ascii="宋体" w:hAnsi="宋体" w:eastAsia="宋体"/>
                <w:sz w:val="16"/>
                <w:highlight w:val="none"/>
              </w:rPr>
              <w:t>本项目主要实施内容为：开展有害生物监测调查1次，检查森林保护修复监督指导项目6项，建设国家级公益林智慧监管系统1个，项目总投资为137万元，项目计划于2024年12月完成。通过本项目的实施，可有效改善林区民生状况，巩固森林生态系统稳定，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hint="eastAsia" w:ascii="宋体" w:hAnsi="宋体"/>
                <w:sz w:val="16"/>
                <w:highlight w:val="none"/>
                <w:lang w:eastAsia="zh-CN"/>
              </w:rPr>
              <w:t>截至</w:t>
            </w:r>
            <w:r>
              <w:rPr>
                <w:rFonts w:ascii="宋体" w:hAnsi="宋体" w:eastAsia="宋体"/>
                <w:sz w:val="16"/>
                <w:highlight w:val="none"/>
              </w:rPr>
              <w:t>2024年12月31日，本项目实际形成支出118.36万元，完成了有害生物监测调查1次，检查森林保护修复监督指导项目6项，建设了国家级公益林智慧监管系统1个的任务。达到了有效改善了林区民生状况，巩固了森林生态系统稳定的效益，服务对象满意度达到98%。</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全年开展有害生物监测调查次数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检查森林保护修复监督检查指导项目数量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=6项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=6项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国家级公益林智慧监管系统建设数量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林业有害生物监测调查覆盖率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检查验收项目完成率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监测工作完成及时率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松材线虫病等重大林业有害生物专项调查（普查）项目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=36.02万元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偏差原因：项目进度执行缓慢，导致资金支付率偏低；改进措施：加大项目进展力度，尽快收集支付材料，提交会议研究进行支付。</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森林保护修复管护质量监督检查项目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=33.34万元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偏差原因：项目进度执行缓慢，导致资金支付率偏低；改进措施：加大项目进展力度，尽快收集支付材料，提交会议研究进行支付。</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森林保护修复—国有林保护修复支持保障项目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偏差原因：项目进度执行缓慢，导致资金支付率偏低；改进措施：加大项目进展力度，尽快收集支付材料，提交会议研究进行支付。</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改善林区民生状况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逐步改善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巩固森林生态系统稳定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90.35分</w:t>
            </w:r>
          </w:p>
        </w:tc>
      </w:tr>
    </w:tbl>
    <w:p>
      <w:pPr>
        <w:rPr>
          <w:highlight w:val="none"/>
        </w:rPr>
      </w:pPr>
      <w:r>
        <w:rPr>
          <w:highlight w:val="none"/>
        </w:rP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2024年和田地区创新战略合作框架协议项目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ascii="宋体" w:hAnsi="宋体" w:eastAsia="宋体"/>
                <w:sz w:val="16"/>
                <w:highlight w:val="none"/>
              </w:rPr>
              <w:t>1：聚焦和田地区林果全产业链升级，为标准化果园管理和林果提质增效提供技术支撑。深度实施和田核桃、红枣品质提升工程建设,创新团队运行建设≤48万元,目标2：做好林果品种选育与关键栽培技术联合攻关。目标3：为生态综合治理、防沙治沙、沙产业提升提供关键技术支撑,项目完成及时率=100%;目标4：联合打造区域林果产业发展科技样板,受益人员满意度≥95%;目标5：共同商议制定当地林</w:t>
            </w:r>
            <w:r>
              <w:rPr>
                <w:rFonts w:hint="eastAsia" w:ascii="宋体" w:hAnsi="宋体"/>
                <w:sz w:val="16"/>
                <w:highlight w:val="none"/>
                <w:lang w:eastAsia="zh-CN"/>
              </w:rPr>
              <w:t>果产</w:t>
            </w:r>
            <w:r>
              <w:rPr>
                <w:rFonts w:ascii="宋体" w:hAnsi="宋体" w:eastAsia="宋体"/>
                <w:sz w:val="16"/>
                <w:highlight w:val="none"/>
              </w:rPr>
              <w:t>业发展规划。</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hint="eastAsia" w:ascii="宋体" w:hAnsi="宋体"/>
                <w:sz w:val="16"/>
                <w:highlight w:val="none"/>
                <w:lang w:eastAsia="zh-CN"/>
              </w:rPr>
              <w:t>截至</w:t>
            </w:r>
            <w:r>
              <w:rPr>
                <w:rFonts w:ascii="宋体" w:hAnsi="宋体" w:eastAsia="宋体"/>
                <w:sz w:val="16"/>
                <w:highlight w:val="none"/>
              </w:rPr>
              <w:t>2024年12月31日，本项目实际形成支出48万元，已完成聚焦和田地区林果全产业链升级，为标准化果园管理和林果提质增效提供了技术支撑。做好林果品种选育与关键栽培技术联合攻关的任务。达到了为生态综合治理、防沙治沙、沙产业提升提供了关键技术支撑的效益，受益人员满意度达到98%。</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补助资金项目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补助资金使用率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创新战略合作框架协议项目资金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提高和田林草的整体科研水平和科技支撑能力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逐渐提高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提高生态脆弱区生态保护和修复提供技术支撑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逐渐提高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100分</w:t>
            </w:r>
          </w:p>
        </w:tc>
      </w:tr>
    </w:tbl>
    <w:p>
      <w:pPr>
        <w:rPr>
          <w:highlight w:val="none"/>
        </w:rPr>
      </w:pPr>
      <w:r>
        <w:rPr>
          <w:highlight w:val="none"/>
        </w:rP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2024年援疆干部人才南疆工作补贴项目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ascii="宋体" w:hAnsi="宋体" w:eastAsia="宋体"/>
                <w:sz w:val="16"/>
                <w:highlight w:val="none"/>
              </w:rPr>
              <w:t>本项目主要实施内容为：援疆干部保障人数2人，保障月数12个月，项目总投资为1.3万元，项目计划于2024年12月完成。通过本项目的实施，可有效提高工作积极性，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hint="eastAsia" w:ascii="宋体" w:hAnsi="宋体"/>
                <w:sz w:val="16"/>
                <w:highlight w:val="none"/>
                <w:lang w:eastAsia="zh-CN"/>
              </w:rPr>
              <w:t>截至</w:t>
            </w:r>
            <w:r>
              <w:rPr>
                <w:rFonts w:ascii="宋体" w:hAnsi="宋体" w:eastAsia="宋体"/>
                <w:sz w:val="16"/>
                <w:highlight w:val="none"/>
              </w:rPr>
              <w:t>2024年12月31日，本项目实际形成支出1.3万元，已完成援疆干部保障了2人，保障了12个月的任务，达到了有效提高了工作积极性的效益，受益干部满意度达到100%。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援疆干部保障人数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保障月数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提高工作积极性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100分</w:t>
            </w:r>
          </w:p>
        </w:tc>
      </w:tr>
    </w:tbl>
    <w:p>
      <w:pPr>
        <w:rPr>
          <w:highlight w:val="none"/>
        </w:rPr>
      </w:pPr>
      <w:r>
        <w:rPr>
          <w:highlight w:val="none"/>
        </w:rP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rPr>
                <w:sz w:val="28"/>
                <w:szCs w:val="22"/>
                <w:highlight w:val="none"/>
              </w:rPr>
            </w:pPr>
            <w:r>
              <w:rPr>
                <w:rFonts w:ascii="宋体" w:hAnsi="宋体" w:eastAsia="宋体"/>
                <w:sz w:val="22"/>
                <w:szCs w:val="22"/>
                <w:highlight w:val="none"/>
              </w:rPr>
              <w:t>项目支出绩效自评表</w:t>
            </w:r>
          </w:p>
        </w:tc>
      </w:tr>
      <w:tr>
        <w:tblPrEx>
          <w:tblLayout w:type="fixed"/>
          <w:tblCellMar>
            <w:top w:w="0" w:type="dxa"/>
            <w:left w:w="108" w:type="dxa"/>
            <w:bottom w:w="0" w:type="dxa"/>
            <w:right w:w="108" w:type="dxa"/>
          </w:tblCellMar>
        </w:tblPrEx>
        <w:trPr>
          <w:trHeight w:val="90" w:hRule="atLeast"/>
        </w:trPr>
        <w:tc>
          <w:tcPr>
            <w:tcW w:w="8847" w:type="dxa"/>
            <w:gridSpan w:val="9"/>
            <w:vAlign w:val="center"/>
          </w:tcPr>
          <w:p>
            <w:pPr>
              <w:jc w:val="center"/>
              <w:rPr>
                <w:sz w:val="28"/>
                <w:szCs w:val="22"/>
                <w:highlight w:val="none"/>
              </w:rPr>
            </w:pPr>
            <w:r>
              <w:rPr>
                <w:rFonts w:ascii="宋体" w:hAnsi="宋体" w:eastAsia="宋体"/>
                <w:sz w:val="22"/>
                <w:szCs w:val="22"/>
                <w:highlight w:val="none"/>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中央基建投资森林草原防火项目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新疆维吾尔自治区和田地区林业和草原局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新疆维吾尔自治区和田地区林业和草原局</w:t>
            </w:r>
          </w:p>
        </w:tc>
      </w:tr>
      <w:tr>
        <w:tblPrEx>
          <w:tblLayout w:type="fixed"/>
          <w:tblCellMar>
            <w:top w:w="0" w:type="dxa"/>
            <w:left w:w="108" w:type="dxa"/>
            <w:bottom w:w="0" w:type="dxa"/>
            <w:right w:w="108" w:type="dxa"/>
          </w:tblCellMar>
        </w:tblPrEx>
        <w:trPr>
          <w:trHeight w:val="323"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116.35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116.35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116.35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116.35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116.35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116.35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w:t>
            </w:r>
          </w:p>
        </w:tc>
      </w:tr>
      <w:tr>
        <w:tblPrEx>
          <w:tblLayout w:type="fixed"/>
          <w:tblCellMar>
            <w:top w:w="0" w:type="dxa"/>
            <w:left w:w="108" w:type="dxa"/>
            <w:bottom w:w="0" w:type="dxa"/>
            <w:right w:w="108" w:type="dxa"/>
          </w:tblCellMar>
        </w:tblPrEx>
        <w:trPr>
          <w:trHeight w:val="90"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实际完成情况</w:t>
            </w:r>
          </w:p>
        </w:tc>
      </w:tr>
      <w:tr>
        <w:tblPrEx>
          <w:tblLayout w:type="fixed"/>
          <w:tblCellMar>
            <w:top w:w="0" w:type="dxa"/>
            <w:left w:w="108" w:type="dxa"/>
            <w:bottom w:w="0" w:type="dxa"/>
            <w:right w:w="108" w:type="dxa"/>
          </w:tblCellMar>
        </w:tblPrEx>
        <w:trPr>
          <w:trHeight w:val="1643"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rPr>
                <w:sz w:val="28"/>
                <w:szCs w:val="22"/>
                <w:highlight w:val="none"/>
              </w:rPr>
            </w:pPr>
            <w:r>
              <w:rPr>
                <w:rFonts w:ascii="宋体" w:hAnsi="宋体" w:eastAsia="宋体"/>
                <w:sz w:val="15"/>
                <w:szCs w:val="22"/>
                <w:highlight w:val="none"/>
              </w:rPr>
              <w:t>本项目主要实施内容为：支付往年2个基建类项目尾款，项目总投资为116.35万元，项目计划于2024年12月完成。通过本项目的实施，可有效提高政府公信力，待项目实施完成，争取使受益企业满意度达到100%。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rPr>
                <w:sz w:val="28"/>
                <w:szCs w:val="22"/>
                <w:highlight w:val="none"/>
              </w:rPr>
            </w:pPr>
            <w:r>
              <w:rPr>
                <w:rFonts w:hint="eastAsia" w:ascii="宋体" w:hAnsi="宋体"/>
                <w:sz w:val="15"/>
                <w:szCs w:val="22"/>
                <w:highlight w:val="none"/>
                <w:lang w:eastAsia="zh-CN"/>
              </w:rPr>
              <w:t>截至</w:t>
            </w:r>
            <w:r>
              <w:rPr>
                <w:rFonts w:ascii="宋体" w:hAnsi="宋体" w:eastAsia="宋体"/>
                <w:sz w:val="15"/>
                <w:szCs w:val="22"/>
                <w:highlight w:val="none"/>
              </w:rPr>
              <w:t>2024年12月31日，本项目实际形成支出116.35万元，已完成拟化解基建类项目数量2个等任务，达到了有效提高政府公信力的效益，受益企业满意度达到98%。</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拟化解基建类项目数量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债务纠纷发案率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2024年8月31日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化解基建类项目债务支出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≤116.35万元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=116.35万元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提高政府公信力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p>
        </w:tc>
      </w:tr>
      <w:tr>
        <w:tblPrEx>
          <w:tblLayout w:type="fixed"/>
          <w:tblCellMar>
            <w:top w:w="0" w:type="dxa"/>
            <w:left w:w="108" w:type="dxa"/>
            <w:bottom w:w="0" w:type="dxa"/>
            <w:right w:w="108" w:type="dxa"/>
          </w:tblCellMar>
        </w:tblPrEx>
        <w:trPr>
          <w:trHeight w:val="335"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sz w:val="28"/>
                <w:szCs w:val="22"/>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p>
        </w:tc>
      </w:tr>
      <w:tr>
        <w:tblPrEx>
          <w:tblLayout w:type="fixed"/>
          <w:tblCellMar>
            <w:top w:w="0" w:type="dxa"/>
            <w:left w:w="108" w:type="dxa"/>
            <w:bottom w:w="0" w:type="dxa"/>
            <w:right w:w="108" w:type="dxa"/>
          </w:tblCellMar>
        </w:tblPrEx>
        <w:trPr>
          <w:trHeight w:val="120"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sz w:val="28"/>
                <w:szCs w:val="22"/>
                <w:highlight w:val="none"/>
              </w:rPr>
            </w:pPr>
            <w:r>
              <w:rPr>
                <w:rFonts w:ascii="宋体" w:hAnsi="宋体" w:eastAsia="宋体"/>
                <w:sz w:val="15"/>
                <w:szCs w:val="22"/>
                <w:highlight w:val="none"/>
              </w:rPr>
              <w:t>100分</w:t>
            </w:r>
          </w:p>
        </w:tc>
      </w:tr>
    </w:tbl>
    <w:p>
      <w:pPr>
        <w:rPr>
          <w:highlight w:val="none"/>
        </w:rPr>
      </w:pPr>
      <w:r>
        <w:rPr>
          <w:highlight w:val="none"/>
        </w:rP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和田地区防沙治沙沙漠锁边绿洲连片规划</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ascii="宋体" w:hAnsi="宋体" w:eastAsia="宋体"/>
                <w:sz w:val="16"/>
                <w:highlight w:val="none"/>
              </w:rPr>
              <w:t>本项目主要实施内容为：充分利用荒漠与绿洲生态国家重点实验室科研成果，编制《和田地区防沙治沙沙漠锁边绿洲连片规划》，项目总投资为70万元。通过本项目的实施，可有效推进项目建设，研究成果为经济社会发展提供决策参考，待项目实施完成，争取使受益人群满意度不低于90%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hint="eastAsia" w:ascii="宋体" w:hAnsi="宋体"/>
                <w:sz w:val="16"/>
                <w:highlight w:val="none"/>
                <w:lang w:eastAsia="zh-CN"/>
              </w:rPr>
              <w:t>截至</w:t>
            </w:r>
            <w:r>
              <w:rPr>
                <w:rFonts w:ascii="宋体" w:hAnsi="宋体" w:eastAsia="宋体"/>
                <w:sz w:val="16"/>
                <w:highlight w:val="none"/>
              </w:rPr>
              <w:t>2024年12月31日，本项目实际形成支出70万元，本项目已完成充分利用荒漠与绿洲生态国家重点实验室科研成果，编制了《和田地区防沙治沙沙漠锁边绿洲连片规划》等任务，达到了有效推进了项目建设，研究成果为经济社会发展提供了决策参考等效益，地区发改委对各县市各部门项目实施满意度达到了99%。</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前期工作开展率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前期费执行率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考察项目验收合格情况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投资计划分解（转发）用时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10个工作日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=10个工作日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按照时间节点完成率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规划编制费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推进项目建设，研究成果为经济社会发展提供决策参考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作用明显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地区发改委对各县市各部门项目实施满意度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100分</w:t>
            </w:r>
          </w:p>
        </w:tc>
      </w:tr>
    </w:tbl>
    <w:p>
      <w:pPr>
        <w:rPr>
          <w:highlight w:val="none"/>
        </w:rPr>
      </w:pPr>
      <w:r>
        <w:rPr>
          <w:highlight w:val="none"/>
        </w:rP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国土绿化沙化土地封禁保护补偿项目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13.05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13.05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74.33%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3.58分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13.05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13.05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ascii="宋体" w:hAnsi="宋体" w:eastAsia="宋体"/>
                <w:sz w:val="16"/>
                <w:highlight w:val="none"/>
              </w:rPr>
              <w:t>本项目主要实施内容为：治理沙化土地10次，项目总投资为13.05万元，项目计划于2024年12月完成。通过本项目的实施，可持续提升荒漠系统功能改善的影响，生态系统生态效益发挥，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hint="eastAsia" w:ascii="宋体" w:hAnsi="宋体"/>
                <w:sz w:val="16"/>
                <w:highlight w:val="none"/>
                <w:lang w:eastAsia="zh-CN"/>
              </w:rPr>
              <w:t>截至</w:t>
            </w:r>
            <w:r>
              <w:rPr>
                <w:rFonts w:ascii="宋体" w:hAnsi="宋体" w:eastAsia="宋体"/>
                <w:sz w:val="16"/>
                <w:highlight w:val="none"/>
              </w:rPr>
              <w:t>2024年12月31日，本项目实际形成支出9.7万元，已完成治理了沙化土地10次的任务，达到了持续提升荒漠系统功能改善的影响，生态系统生态效益发挥，受益群众满意度达到100%。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治理沙化土地次数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森林覆盖率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资金支付完成率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沙化土地封禁保护补偿资金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≤13.05万元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7.16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偏差原因：项目进度执行缓慢，导致资金支付率偏低；改进措施：加大项目进展力度，尽快收集支付材料，提交会议研究进行支付。</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荒漠系统功能改善可持续影响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明显改善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生态系统生态效益发挥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发挥明显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80.74分</w:t>
            </w:r>
          </w:p>
        </w:tc>
      </w:tr>
    </w:tbl>
    <w:p>
      <w:pPr>
        <w:rPr>
          <w:highlight w:val="none"/>
        </w:rPr>
      </w:pPr>
      <w:r>
        <w:rPr>
          <w:highlight w:val="none"/>
        </w:rP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第三届中国新疆特色林果产品博览会经费</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19.27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19.27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16.29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84.54%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6.14分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19.27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19.27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16.29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ascii="宋体" w:hAnsi="宋体" w:eastAsia="宋体"/>
                <w:sz w:val="16"/>
                <w:highlight w:val="none"/>
              </w:rPr>
              <w:t>本项目主要实施内容为：组织参加疆内外林果展会1个，项目总投资为19.27万元，项目计划于2024年12月完成。通过本项目的实施，可有效提升新疆特色林果产品知名度，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hint="eastAsia" w:ascii="宋体" w:hAnsi="宋体"/>
                <w:sz w:val="16"/>
                <w:highlight w:val="none"/>
                <w:lang w:eastAsia="zh-CN"/>
              </w:rPr>
              <w:t>截至</w:t>
            </w:r>
            <w:r>
              <w:rPr>
                <w:rFonts w:ascii="宋体" w:hAnsi="宋体" w:eastAsia="宋体"/>
                <w:sz w:val="16"/>
                <w:highlight w:val="none"/>
              </w:rPr>
              <w:t>2024年12月31日，本项目实际形成支出16.29万元，已完成组织参加了疆内外林果展会1个的任务，达到了有效提升新疆特色林果产品知名度的效益，信息系统服务对象满意度达到100%。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组织参加疆内外林果展会数量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参展产品种类数量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特色林果博览会完成时间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特色林果博览会经费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≤19.27万元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=16.29万元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12.27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偏差原因：正在走支付审批流程，改进措施：加快支付进度。</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提升新疆特色林果产品知名度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进一步提升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信息系统服务对象满意度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88.41分</w:t>
            </w:r>
          </w:p>
        </w:tc>
      </w:tr>
    </w:tbl>
    <w:p>
      <w:pPr>
        <w:rPr>
          <w:highlight w:val="none"/>
        </w:rPr>
      </w:pPr>
      <w:r>
        <w:rPr>
          <w:highlight w:val="none"/>
        </w:rP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rPr>
                <w:highlight w:val="none"/>
              </w:rPr>
            </w:pPr>
            <w:r>
              <w:rPr>
                <w:rFonts w:ascii="宋体" w:hAnsi="宋体" w:eastAsia="宋体"/>
                <w:sz w:val="24"/>
                <w:highlight w:val="none"/>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自治区林草专项资金项目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新疆维吾尔自治区和田地区林业和草原局</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198.18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198.18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174.73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88.17%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7.04分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71.13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109.18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default" w:eastAsia="宋体"/>
                <w:highlight w:val="none"/>
                <w:lang w:val="en-US" w:eastAsia="zh-CN"/>
              </w:rPr>
            </w:pPr>
            <w:r>
              <w:rPr>
                <w:rFonts w:hint="eastAsia" w:ascii="宋体" w:hAnsi="宋体"/>
                <w:sz w:val="16"/>
                <w:highlight w:val="none"/>
                <w:lang w:val="en-US" w:eastAsia="zh-CN"/>
              </w:rPr>
              <w:t>109.18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103.60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ascii="宋体" w:hAnsi="宋体" w:eastAsia="宋体"/>
                <w:sz w:val="16"/>
                <w:highlight w:val="none"/>
              </w:rPr>
              <w:t>本项目主要实施内容为：开展现场推进会1次，地级示范园1个，开展专项技术服务120次，禁牧和草畜平衡管理县市8个，草原检测和有害生物常规检测县市8个，开展林果技术培训150场，项目总投资为198.18万元，项目计划于2024年12月完成。通过本项目的实施，可有效提高林果提质增效群众认知度，改变项目区周围的小气候，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rPr>
                <w:highlight w:val="none"/>
              </w:rPr>
            </w:pPr>
            <w:r>
              <w:rPr>
                <w:rFonts w:hint="eastAsia" w:ascii="宋体" w:hAnsi="宋体"/>
                <w:sz w:val="16"/>
                <w:highlight w:val="none"/>
                <w:lang w:eastAsia="zh-CN"/>
              </w:rPr>
              <w:t>截至</w:t>
            </w:r>
            <w:r>
              <w:rPr>
                <w:rFonts w:ascii="宋体" w:hAnsi="宋体" w:eastAsia="宋体"/>
                <w:sz w:val="16"/>
                <w:highlight w:val="none"/>
              </w:rPr>
              <w:t>2024年12月31日，本项目实际形成支出174.73万元，已完成开展了现场推进会1次，地级示范园1个，开展专项技术服务120次，禁牧和草畜平衡管理县市8个，草原检测和有害生物常规检测县市8个，开展林果技术培训150场等任务，达到了有效提高林果提质增效群众认知度，改变项目区周围的小气候的效益，受益群体满意度达到99%。</w:t>
            </w:r>
            <w:r>
              <w:rPr>
                <w:rFonts w:ascii="宋体" w:hAnsi="宋体" w:eastAsia="宋体"/>
                <w:sz w:val="16"/>
                <w:highlight w:val="none"/>
              </w:rPr>
              <w:br w:type="textWrapping"/>
            </w:r>
            <w:r>
              <w:rPr>
                <w:rFonts w:ascii="宋体" w:hAnsi="宋体" w:eastAsia="宋体"/>
                <w:sz w:val="16"/>
                <w:highlight w:val="none"/>
              </w:rPr>
              <w:br w:type="textWrapping"/>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完成现场推进会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地级示范园数量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开展专技技术服务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≥120天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=120天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禁牧和草畜平衡管理县（市）区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草原监测和有害生物常规监测县（市）区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开展林果技术培训场次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≥150场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=150场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推进重大业务取得扎实成效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示范园优质果率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工作质量达标率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完成重点业务推进工作时效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林果提质增效当期完成率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项目经费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≤198.18万元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=174.73万元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14.09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偏差原因：项目进度执行缓慢，导致资金支付率偏低；改进措施：加大项目进展力度，尽快收集支付材料，提交会议研究进行支付。</w:t>
            </w:r>
          </w:p>
        </w:tc>
      </w:tr>
      <w:tr>
        <w:tblPrEx>
          <w:tblLayout w:type="fixed"/>
          <w:tblCellMar>
            <w:top w:w="0" w:type="dxa"/>
            <w:left w:w="108" w:type="dxa"/>
            <w:bottom w:w="0" w:type="dxa"/>
            <w:right w:w="108" w:type="dxa"/>
          </w:tblCellMar>
        </w:tblPrEx>
        <w:trPr>
          <w:trHeight w:val="743"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提高林果提质增效群众认知度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改变项目区周围的小气候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有效改变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pPr>
              <w:rPr>
                <w:highlight w:val="none"/>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受益群体满意度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highlight w:val="none"/>
              </w:rPr>
            </w:pPr>
            <w:r>
              <w:rPr>
                <w:rFonts w:ascii="宋体" w:hAnsi="宋体" w:eastAsia="宋体"/>
                <w:sz w:val="16"/>
                <w:highlight w:val="none"/>
              </w:rPr>
              <w:t>91.13分</w:t>
            </w:r>
          </w:p>
        </w:tc>
      </w:tr>
    </w:tbl>
    <w:p>
      <w:pPr>
        <w:rPr>
          <w:highlight w:val="none"/>
        </w:rPr>
      </w:pPr>
      <w:r>
        <w:rPr>
          <w:highlight w:val="none"/>
        </w:rPr>
        <w:br w:type="page"/>
      </w:r>
    </w:p>
    <w:p>
      <w:pPr>
        <w:spacing w:line="640" w:lineRule="exact"/>
        <w:ind w:firstLine="640"/>
        <w:jc w:val="both"/>
        <w:outlineLvl w:val="2"/>
        <w:rPr>
          <w:highlight w:val="none"/>
        </w:rPr>
      </w:pPr>
      <w:r>
        <w:rPr>
          <w:rFonts w:ascii="黑体" w:hAnsi="黑体" w:eastAsia="黑体"/>
          <w:sz w:val="32"/>
          <w:highlight w:val="none"/>
        </w:rPr>
        <w:t>十二、其他需说明的事项</w:t>
      </w:r>
    </w:p>
    <w:p>
      <w:pPr>
        <w:spacing w:line="580" w:lineRule="exact"/>
        <w:ind w:firstLine="640"/>
        <w:jc w:val="both"/>
        <w:rPr>
          <w:highlight w:val="none"/>
        </w:rPr>
      </w:pPr>
      <w:r>
        <w:rPr>
          <w:rFonts w:ascii="仿宋_GB2312" w:hAnsi="仿宋_GB2312" w:eastAsia="仿宋_GB2312"/>
          <w:b w:val="0"/>
          <w:sz w:val="32"/>
          <w:highlight w:val="none"/>
        </w:rPr>
        <w:t>本单位无其他需说明的事项。</w:t>
      </w:r>
    </w:p>
    <w:p>
      <w:pPr>
        <w:rPr>
          <w:highlight w:val="none"/>
        </w:rPr>
      </w:pPr>
      <w:r>
        <w:rPr>
          <w:highlight w:val="none"/>
        </w:rPr>
        <w:br w:type="page"/>
      </w:r>
    </w:p>
    <w:p>
      <w:pPr>
        <w:spacing w:line="240" w:lineRule="auto"/>
        <w:jc w:val="center"/>
        <w:outlineLvl w:val="1"/>
        <w:rPr>
          <w:highlight w:val="none"/>
        </w:rPr>
      </w:pPr>
      <w:r>
        <w:rPr>
          <w:rFonts w:ascii="黑体" w:hAnsi="黑体" w:eastAsia="黑体"/>
          <w:sz w:val="32"/>
          <w:highlight w:val="none"/>
        </w:rPr>
        <w:t>第三部分 专业名词解释</w:t>
      </w:r>
    </w:p>
    <w:p>
      <w:pPr>
        <w:spacing w:line="240" w:lineRule="auto"/>
        <w:ind w:firstLine="640"/>
        <w:jc w:val="both"/>
        <w:rPr>
          <w:highlight w:val="none"/>
        </w:rPr>
      </w:pPr>
      <w:r>
        <w:rPr>
          <w:rFonts w:ascii="仿宋_GB2312" w:hAnsi="仿宋_GB2312" w:eastAsia="仿宋_GB2312"/>
          <w:b/>
          <w:sz w:val="32"/>
          <w:highlight w:val="none"/>
        </w:rPr>
        <w:t>一、财政拨款收入：</w:t>
      </w:r>
      <w:r>
        <w:rPr>
          <w:rFonts w:ascii="仿宋_GB2312" w:hAnsi="仿宋_GB2312" w:eastAsia="仿宋_GB2312"/>
          <w:b w:val="0"/>
          <w:sz w:val="32"/>
          <w:highlight w:val="none"/>
        </w:rPr>
        <w:t>指同级财政当年拨付的资金。</w:t>
      </w:r>
    </w:p>
    <w:p>
      <w:pPr>
        <w:spacing w:line="240" w:lineRule="auto"/>
        <w:ind w:firstLine="640"/>
        <w:jc w:val="both"/>
        <w:rPr>
          <w:highlight w:val="none"/>
        </w:rPr>
      </w:pPr>
      <w:r>
        <w:rPr>
          <w:rFonts w:ascii="仿宋_GB2312" w:hAnsi="仿宋_GB2312" w:eastAsia="仿宋_GB2312"/>
          <w:b/>
          <w:sz w:val="32"/>
          <w:highlight w:val="none"/>
        </w:rPr>
        <w:t>二、上级补助收入：</w:t>
      </w:r>
      <w:r>
        <w:rPr>
          <w:rFonts w:ascii="仿宋_GB2312" w:hAnsi="仿宋_GB2312" w:eastAsia="仿宋_GB2312"/>
          <w:b w:val="0"/>
          <w:sz w:val="32"/>
          <w:highlight w:val="none"/>
        </w:rPr>
        <w:t>指事业单位从主管部门和上级单位取得的非财政补助收入。</w:t>
      </w:r>
    </w:p>
    <w:p>
      <w:pPr>
        <w:spacing w:line="240" w:lineRule="auto"/>
        <w:ind w:firstLine="640"/>
        <w:jc w:val="both"/>
        <w:rPr>
          <w:highlight w:val="none"/>
        </w:rPr>
      </w:pPr>
      <w:r>
        <w:rPr>
          <w:rFonts w:ascii="仿宋_GB2312" w:hAnsi="仿宋_GB2312" w:eastAsia="仿宋_GB2312"/>
          <w:b/>
          <w:sz w:val="32"/>
          <w:highlight w:val="none"/>
        </w:rPr>
        <w:t>三、事业收入：</w:t>
      </w:r>
      <w:r>
        <w:rPr>
          <w:rFonts w:ascii="仿宋_GB2312" w:hAnsi="仿宋_GB2312" w:eastAsia="仿宋_GB2312"/>
          <w:b w:val="0"/>
          <w:sz w:val="32"/>
          <w:highlight w:val="none"/>
        </w:rPr>
        <w:t>指事业单位开展专业业务活动及其辅助活动所取得的收入。</w:t>
      </w:r>
    </w:p>
    <w:p>
      <w:pPr>
        <w:spacing w:line="240" w:lineRule="auto"/>
        <w:ind w:firstLine="640"/>
        <w:jc w:val="both"/>
        <w:rPr>
          <w:highlight w:val="none"/>
        </w:rPr>
      </w:pPr>
      <w:r>
        <w:rPr>
          <w:rFonts w:ascii="仿宋_GB2312" w:hAnsi="仿宋_GB2312" w:eastAsia="仿宋_GB2312"/>
          <w:b/>
          <w:sz w:val="32"/>
          <w:highlight w:val="none"/>
        </w:rPr>
        <w:t>四、经营收入：</w:t>
      </w:r>
      <w:r>
        <w:rPr>
          <w:rFonts w:ascii="仿宋_GB2312" w:hAnsi="仿宋_GB2312" w:eastAsia="仿宋_GB2312"/>
          <w:b w:val="0"/>
          <w:sz w:val="32"/>
          <w:highlight w:val="none"/>
        </w:rPr>
        <w:t>指事业单位在专业业务活动及其辅助活动之外开展非独立核算经营活动取得的收入。</w:t>
      </w:r>
    </w:p>
    <w:p>
      <w:pPr>
        <w:spacing w:line="240" w:lineRule="auto"/>
        <w:ind w:firstLine="640"/>
        <w:jc w:val="both"/>
        <w:rPr>
          <w:highlight w:val="none"/>
        </w:rPr>
      </w:pPr>
      <w:r>
        <w:rPr>
          <w:rFonts w:ascii="仿宋_GB2312" w:hAnsi="仿宋_GB2312" w:eastAsia="仿宋_GB2312"/>
          <w:b/>
          <w:sz w:val="32"/>
          <w:highlight w:val="none"/>
        </w:rPr>
        <w:t>五、附属单位上缴收入：</w:t>
      </w:r>
      <w:r>
        <w:rPr>
          <w:rFonts w:ascii="仿宋_GB2312" w:hAnsi="仿宋_GB2312" w:eastAsia="仿宋_GB2312"/>
          <w:b w:val="0"/>
          <w:sz w:val="32"/>
          <w:highlight w:val="none"/>
        </w:rPr>
        <w:t>指事业单位附属的独立核算单位按有关规定上缴的收入。</w:t>
      </w:r>
    </w:p>
    <w:p>
      <w:pPr>
        <w:spacing w:line="240" w:lineRule="auto"/>
        <w:ind w:firstLine="640"/>
        <w:jc w:val="both"/>
        <w:rPr>
          <w:highlight w:val="none"/>
        </w:rPr>
      </w:pPr>
      <w:r>
        <w:rPr>
          <w:rFonts w:ascii="仿宋_GB2312" w:hAnsi="仿宋_GB2312" w:eastAsia="仿宋_GB2312"/>
          <w:b/>
          <w:sz w:val="32"/>
          <w:highlight w:val="none"/>
        </w:rPr>
        <w:t>六、其他收入：</w:t>
      </w:r>
      <w:r>
        <w:rPr>
          <w:rFonts w:ascii="仿宋_GB2312" w:hAnsi="仿宋_GB2312" w:eastAsia="仿宋_GB2312"/>
          <w:b w:val="0"/>
          <w:sz w:val="32"/>
          <w:highlight w:val="none"/>
        </w:rPr>
        <w:t>指除上述“财政拨款收入”、“事业收入”、“经营收入”、“附属单位上缴收入”等之外取得的收入。</w:t>
      </w:r>
    </w:p>
    <w:p>
      <w:pPr>
        <w:spacing w:line="240" w:lineRule="auto"/>
        <w:ind w:firstLine="640"/>
        <w:jc w:val="both"/>
        <w:rPr>
          <w:highlight w:val="none"/>
        </w:rPr>
      </w:pPr>
      <w:r>
        <w:rPr>
          <w:rFonts w:ascii="仿宋_GB2312" w:hAnsi="仿宋_GB2312" w:eastAsia="仿宋_GB2312"/>
          <w:b/>
          <w:sz w:val="32"/>
          <w:highlight w:val="none"/>
        </w:rPr>
        <w:t>七、年初结转和结余：</w:t>
      </w:r>
      <w:r>
        <w:rPr>
          <w:rFonts w:ascii="仿宋_GB2312" w:hAnsi="仿宋_GB2312" w:eastAsia="仿宋_GB2312"/>
          <w:b w:val="0"/>
          <w:sz w:val="32"/>
          <w:highlight w:val="none"/>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rPr>
          <w:highlight w:val="none"/>
        </w:rPr>
      </w:pPr>
      <w:r>
        <w:rPr>
          <w:rFonts w:ascii="仿宋_GB2312" w:hAnsi="仿宋_GB2312" w:eastAsia="仿宋_GB2312"/>
          <w:b/>
          <w:sz w:val="32"/>
          <w:highlight w:val="none"/>
        </w:rPr>
        <w:t>八、年末结转和结余：</w:t>
      </w:r>
      <w:r>
        <w:rPr>
          <w:rFonts w:ascii="仿宋_GB2312" w:hAnsi="仿宋_GB2312" w:eastAsia="仿宋_GB2312"/>
          <w:b w:val="0"/>
          <w:sz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rPr>
          <w:highlight w:val="none"/>
        </w:rPr>
      </w:pPr>
      <w:r>
        <w:rPr>
          <w:rFonts w:ascii="仿宋_GB2312" w:hAnsi="仿宋_GB2312" w:eastAsia="仿宋_GB2312"/>
          <w:b/>
          <w:sz w:val="32"/>
          <w:highlight w:val="none"/>
        </w:rPr>
        <w:t>九、基本支出：</w:t>
      </w:r>
      <w:r>
        <w:rPr>
          <w:rFonts w:ascii="仿宋_GB2312" w:hAnsi="仿宋_GB2312" w:eastAsia="仿宋_GB2312"/>
          <w:b w:val="0"/>
          <w:sz w:val="32"/>
          <w:highlight w:val="none"/>
        </w:rPr>
        <w:t>指为保障机构正常运转、完成日常工作任务而发生的人员支出和公用支出。</w:t>
      </w:r>
    </w:p>
    <w:p>
      <w:pPr>
        <w:spacing w:line="240" w:lineRule="auto"/>
        <w:ind w:firstLine="640"/>
        <w:jc w:val="both"/>
        <w:rPr>
          <w:highlight w:val="none"/>
        </w:rPr>
      </w:pPr>
      <w:r>
        <w:rPr>
          <w:rFonts w:ascii="仿宋_GB2312" w:hAnsi="仿宋_GB2312" w:eastAsia="仿宋_GB2312"/>
          <w:b/>
          <w:sz w:val="32"/>
          <w:highlight w:val="none"/>
        </w:rPr>
        <w:t>十、项目支出：</w:t>
      </w:r>
      <w:r>
        <w:rPr>
          <w:rFonts w:ascii="仿宋_GB2312" w:hAnsi="仿宋_GB2312" w:eastAsia="仿宋_GB2312"/>
          <w:b w:val="0"/>
          <w:sz w:val="32"/>
          <w:highlight w:val="none"/>
        </w:rPr>
        <w:t>指在基本支出之外为完成特定行政任务和事业发展目标所发生的支出。</w:t>
      </w:r>
    </w:p>
    <w:p>
      <w:pPr>
        <w:spacing w:line="240" w:lineRule="auto"/>
        <w:ind w:firstLine="640"/>
        <w:jc w:val="both"/>
        <w:rPr>
          <w:highlight w:val="none"/>
        </w:rPr>
      </w:pPr>
      <w:r>
        <w:rPr>
          <w:rFonts w:ascii="仿宋_GB2312" w:hAnsi="仿宋_GB2312" w:eastAsia="仿宋_GB2312"/>
          <w:b/>
          <w:sz w:val="32"/>
          <w:highlight w:val="none"/>
        </w:rPr>
        <w:t>十一、经营支出：</w:t>
      </w:r>
      <w:r>
        <w:rPr>
          <w:rFonts w:ascii="仿宋_GB2312" w:hAnsi="仿宋_GB2312" w:eastAsia="仿宋_GB2312"/>
          <w:b w:val="0"/>
          <w:sz w:val="32"/>
          <w:highlight w:val="none"/>
        </w:rPr>
        <w:t>指事业单位在专业业务活动及其辅助活动之外开展非独立核算经营活动发生的支出。</w:t>
      </w:r>
    </w:p>
    <w:p>
      <w:pPr>
        <w:spacing w:line="240" w:lineRule="auto"/>
        <w:ind w:firstLine="640"/>
        <w:jc w:val="both"/>
        <w:rPr>
          <w:highlight w:val="none"/>
        </w:rPr>
      </w:pPr>
      <w:r>
        <w:rPr>
          <w:rFonts w:ascii="仿宋_GB2312" w:hAnsi="仿宋_GB2312" w:eastAsia="仿宋_GB2312"/>
          <w:b/>
          <w:sz w:val="32"/>
          <w:highlight w:val="none"/>
        </w:rPr>
        <w:t>十二、对附属单位补助支出：</w:t>
      </w:r>
      <w:r>
        <w:rPr>
          <w:rFonts w:ascii="仿宋_GB2312" w:hAnsi="仿宋_GB2312" w:eastAsia="仿宋_GB2312"/>
          <w:b w:val="0"/>
          <w:sz w:val="32"/>
          <w:highlight w:val="none"/>
        </w:rPr>
        <w:t>指事业单位发生的用非财政预算资金对附属单位的补助支出。</w:t>
      </w:r>
    </w:p>
    <w:p>
      <w:pPr>
        <w:spacing w:line="240" w:lineRule="auto"/>
        <w:ind w:firstLine="640"/>
        <w:jc w:val="both"/>
        <w:rPr>
          <w:highlight w:val="none"/>
        </w:rPr>
      </w:pPr>
      <w:r>
        <w:rPr>
          <w:rFonts w:ascii="仿宋_GB2312" w:hAnsi="仿宋_GB2312" w:eastAsia="仿宋_GB2312"/>
          <w:b/>
          <w:sz w:val="32"/>
          <w:highlight w:val="none"/>
        </w:rPr>
        <w:t>十三、“三公”经费：</w:t>
      </w:r>
      <w:r>
        <w:rPr>
          <w:rFonts w:ascii="仿宋_GB2312" w:hAnsi="仿宋_GB2312" w:eastAsia="仿宋_GB2312"/>
          <w:b w:val="0"/>
          <w:sz w:val="32"/>
          <w:highlight w:val="none"/>
        </w:rPr>
        <w:t>指用财政拨款安排的因公出国（境）费、公务用车购置及运行费和公务接待费。其中，因公出国（境）费反映单位公务</w:t>
      </w:r>
      <w:r>
        <w:rPr>
          <w:rFonts w:ascii="仿宋_GB2312" w:hAnsi="仿宋_GB2312" w:eastAsia="仿宋_GB2312"/>
          <w:b w:val="0"/>
          <w:sz w:val="32"/>
          <w:highlight w:val="none"/>
        </w:rPr>
        <w:t>出国（境）的国际旅费、</w:t>
      </w:r>
      <w:r>
        <w:rPr>
          <w:rFonts w:ascii="仿宋_GB2312" w:hAnsi="仿宋_GB2312" w:eastAsia="仿宋_GB2312"/>
          <w:b w:val="0"/>
          <w:sz w:val="32"/>
          <w:highlight w:val="none"/>
        </w:rPr>
        <w:t>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w:t>
      </w:r>
      <w:r>
        <w:rPr>
          <w:rFonts w:ascii="仿宋_GB2312" w:hAnsi="仿宋_GB2312" w:eastAsia="仿宋_GB2312"/>
          <w:b w:val="0"/>
          <w:sz w:val="32"/>
          <w:highlight w:val="none"/>
        </w:rPr>
        <w:t>（含外宾接待）</w:t>
      </w:r>
      <w:r>
        <w:rPr>
          <w:rFonts w:ascii="仿宋_GB2312" w:hAnsi="仿宋_GB2312" w:eastAsia="仿宋_GB2312"/>
          <w:b w:val="0"/>
          <w:sz w:val="32"/>
          <w:highlight w:val="none"/>
        </w:rPr>
        <w:t>费用。</w:t>
      </w:r>
    </w:p>
    <w:p>
      <w:pPr>
        <w:spacing w:line="240" w:lineRule="auto"/>
        <w:ind w:firstLine="640"/>
        <w:jc w:val="both"/>
        <w:rPr>
          <w:highlight w:val="none"/>
        </w:rPr>
      </w:pPr>
      <w:r>
        <w:rPr>
          <w:rFonts w:ascii="仿宋_GB2312" w:hAnsi="仿宋_GB2312" w:eastAsia="仿宋_GB2312"/>
          <w:b/>
          <w:sz w:val="32"/>
          <w:highlight w:val="none"/>
        </w:rPr>
        <w:t>十四、机关运行经费：</w:t>
      </w:r>
      <w:r>
        <w:rPr>
          <w:rFonts w:ascii="仿宋_GB2312" w:hAnsi="仿宋_GB2312" w:eastAsia="仿宋_GB2312"/>
          <w:b w:val="0"/>
          <w:sz w:val="32"/>
          <w:highlight w:val="none"/>
        </w:rPr>
        <w:t>行政单位和参照公务员法管理的事业单位财政拨款基本支出中的公用经费支出。</w:t>
      </w:r>
    </w:p>
    <w:p>
      <w:pPr>
        <w:rPr>
          <w:highlight w:val="none"/>
        </w:rPr>
      </w:pPr>
      <w:r>
        <w:rPr>
          <w:highlight w:val="none"/>
        </w:rPr>
        <w:br w:type="page"/>
      </w:r>
    </w:p>
    <w:p>
      <w:pPr>
        <w:spacing w:line="240" w:lineRule="auto"/>
        <w:jc w:val="center"/>
        <w:outlineLvl w:val="1"/>
        <w:rPr>
          <w:highlight w:val="none"/>
        </w:rPr>
      </w:pPr>
      <w:r>
        <w:rPr>
          <w:rFonts w:ascii="黑体" w:hAnsi="黑体" w:eastAsia="黑体"/>
          <w:sz w:val="32"/>
          <w:highlight w:val="none"/>
        </w:rPr>
        <w:t>第四部分 部门决算报表（见附表）</w:t>
      </w:r>
    </w:p>
    <w:p>
      <w:pPr>
        <w:spacing w:line="240" w:lineRule="auto"/>
        <w:ind w:firstLine="640"/>
        <w:jc w:val="both"/>
        <w:rPr>
          <w:highlight w:val="none"/>
        </w:rPr>
      </w:pPr>
      <w:r>
        <w:rPr>
          <w:rFonts w:ascii="仿宋_GB2312" w:hAnsi="仿宋_GB2312" w:eastAsia="仿宋_GB2312"/>
          <w:b w:val="0"/>
          <w:sz w:val="32"/>
          <w:highlight w:val="none"/>
        </w:rPr>
        <w:t>一、《收入支出决算总表》</w:t>
      </w:r>
    </w:p>
    <w:p>
      <w:pPr>
        <w:spacing w:line="240" w:lineRule="auto"/>
        <w:ind w:firstLine="640"/>
        <w:jc w:val="both"/>
        <w:rPr>
          <w:highlight w:val="none"/>
        </w:rPr>
      </w:pPr>
      <w:r>
        <w:rPr>
          <w:rFonts w:ascii="仿宋_GB2312" w:hAnsi="仿宋_GB2312" w:eastAsia="仿宋_GB2312"/>
          <w:b w:val="0"/>
          <w:sz w:val="32"/>
          <w:highlight w:val="none"/>
        </w:rPr>
        <w:t>二、《收入决算表》</w:t>
      </w:r>
    </w:p>
    <w:p>
      <w:pPr>
        <w:spacing w:line="240" w:lineRule="auto"/>
        <w:ind w:firstLine="640"/>
        <w:jc w:val="both"/>
        <w:rPr>
          <w:highlight w:val="none"/>
        </w:rPr>
      </w:pPr>
      <w:r>
        <w:rPr>
          <w:rFonts w:ascii="仿宋_GB2312" w:hAnsi="仿宋_GB2312" w:eastAsia="仿宋_GB2312"/>
          <w:b w:val="0"/>
          <w:sz w:val="32"/>
          <w:highlight w:val="none"/>
        </w:rPr>
        <w:t>三、《支出决算表》</w:t>
      </w:r>
    </w:p>
    <w:p>
      <w:pPr>
        <w:spacing w:line="240" w:lineRule="auto"/>
        <w:ind w:firstLine="640"/>
        <w:jc w:val="both"/>
        <w:rPr>
          <w:highlight w:val="none"/>
        </w:rPr>
      </w:pPr>
      <w:r>
        <w:rPr>
          <w:rFonts w:ascii="仿宋_GB2312" w:hAnsi="仿宋_GB2312" w:eastAsia="仿宋_GB2312"/>
          <w:b w:val="0"/>
          <w:sz w:val="32"/>
          <w:highlight w:val="none"/>
        </w:rPr>
        <w:t>四、《财政拨款收入支出决算总表》</w:t>
      </w:r>
    </w:p>
    <w:p>
      <w:pPr>
        <w:spacing w:line="240" w:lineRule="auto"/>
        <w:ind w:firstLine="640"/>
        <w:jc w:val="both"/>
        <w:rPr>
          <w:highlight w:val="none"/>
        </w:rPr>
      </w:pPr>
      <w:r>
        <w:rPr>
          <w:rFonts w:ascii="仿宋_GB2312" w:hAnsi="仿宋_GB2312" w:eastAsia="仿宋_GB2312"/>
          <w:b w:val="0"/>
          <w:sz w:val="32"/>
          <w:highlight w:val="none"/>
        </w:rPr>
        <w:t>五、《一般公共预算财政拨款支出决算表》</w:t>
      </w:r>
    </w:p>
    <w:p>
      <w:pPr>
        <w:spacing w:line="240" w:lineRule="auto"/>
        <w:ind w:firstLine="640"/>
        <w:jc w:val="both"/>
        <w:rPr>
          <w:highlight w:val="none"/>
        </w:rPr>
      </w:pPr>
      <w:r>
        <w:rPr>
          <w:rFonts w:ascii="仿宋_GB2312" w:hAnsi="仿宋_GB2312" w:eastAsia="仿宋_GB2312"/>
          <w:b w:val="0"/>
          <w:sz w:val="32"/>
          <w:highlight w:val="none"/>
        </w:rPr>
        <w:t>六、《一般公共预算财政拨款基本支出决算表》</w:t>
      </w:r>
    </w:p>
    <w:p>
      <w:pPr>
        <w:spacing w:line="240" w:lineRule="auto"/>
        <w:ind w:firstLine="640"/>
        <w:jc w:val="both"/>
        <w:rPr>
          <w:highlight w:val="none"/>
        </w:rPr>
      </w:pPr>
      <w:r>
        <w:rPr>
          <w:rFonts w:ascii="仿宋_GB2312" w:hAnsi="仿宋_GB2312" w:eastAsia="仿宋_GB2312"/>
          <w:b w:val="0"/>
          <w:sz w:val="32"/>
          <w:highlight w:val="none"/>
        </w:rPr>
        <w:t>七、《政府性基金预算财政拨款收入支出决算表》</w:t>
      </w:r>
    </w:p>
    <w:p>
      <w:pPr>
        <w:spacing w:line="240" w:lineRule="auto"/>
        <w:ind w:firstLine="640"/>
        <w:jc w:val="both"/>
        <w:rPr>
          <w:highlight w:val="none"/>
        </w:rPr>
      </w:pPr>
      <w:r>
        <w:rPr>
          <w:rFonts w:ascii="仿宋_GB2312" w:hAnsi="仿宋_GB2312" w:eastAsia="仿宋_GB2312"/>
          <w:b w:val="0"/>
          <w:sz w:val="32"/>
          <w:highlight w:val="none"/>
        </w:rPr>
        <w:t>八、《国有资本经营预算财政拨款收入支出决算表》</w:t>
      </w:r>
    </w:p>
    <w:p>
      <w:pPr>
        <w:spacing w:line="240" w:lineRule="auto"/>
        <w:ind w:firstLine="640"/>
        <w:jc w:val="both"/>
        <w:rPr>
          <w:highlight w:val="none"/>
        </w:rPr>
      </w:pPr>
      <w:r>
        <w:rPr>
          <w:rFonts w:ascii="仿宋_GB2312" w:hAnsi="仿宋_GB2312" w:eastAsia="仿宋_GB2312"/>
          <w:b w:val="0"/>
          <w:sz w:val="32"/>
          <w:highlight w:val="none"/>
        </w:rPr>
        <w:t>九、《财政拨款“三公”经费支出决算表》</w:t>
      </w:r>
    </w:p>
    <w:p>
      <w:pPr>
        <w:spacing w:line="240" w:lineRule="auto"/>
        <w:ind w:firstLine="640"/>
        <w:jc w:val="both"/>
        <w:rPr>
          <w:highlight w:val="none"/>
        </w:rPr>
      </w:pPr>
    </w:p>
    <w:p>
      <w:pPr>
        <w:spacing w:line="240" w:lineRule="auto"/>
        <w:ind w:firstLine="640"/>
        <w:jc w:val="both"/>
        <w:rPr>
          <w:highlight w:val="none"/>
        </w:rPr>
      </w:pPr>
    </w:p>
    <w:p>
      <w:pPr>
        <w:spacing w:line="240" w:lineRule="auto"/>
        <w:ind w:firstLine="640"/>
        <w:jc w:val="both"/>
        <w:rPr>
          <w:highlight w:val="none"/>
        </w:rPr>
      </w:pPr>
    </w:p>
    <w:p>
      <w:pPr>
        <w:spacing w:line="240" w:lineRule="auto"/>
        <w:ind w:firstLine="640"/>
        <w:jc w:val="both"/>
        <w:rPr>
          <w:highlight w:val="none"/>
        </w:rPr>
      </w:pPr>
    </w:p>
    <w:p>
      <w:pPr>
        <w:spacing w:line="240" w:lineRule="auto"/>
        <w:ind w:firstLine="640"/>
        <w:jc w:val="both"/>
        <w:rPr>
          <w:highlight w:val="none"/>
        </w:rPr>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2000000000000000000"/>
    <w:charset w:val="86"/>
    <w:family w:val="script"/>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F764F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CB393D"/>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CE31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8231</Words>
  <Characters>9659</Characters>
  <Lines>0</Lines>
  <Paragraphs>0</Paragraphs>
  <TotalTime>12</TotalTime>
  <ScaleCrop>false</ScaleCrop>
  <LinksUpToDate>false</LinksUpToDate>
  <CharactersWithSpaces>9677</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2025-09-11T11:48:19Z</cp:lastPrinted>
  <dcterms:modified xsi:type="dcterms:W3CDTF">2025-09-11T11:48:24Z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