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新疆维吾尔自治区和田地区行政服务和公共资源交易中心2024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5DEC3F">
      <w:r>
        <w:br w:type="page"/>
      </w:r>
    </w:p>
    <w:p w14:paraId="25BFD5D0">
      <w:pPr>
        <w:spacing w:line="640" w:lineRule="exact"/>
        <w:jc w:val="center"/>
        <w:outlineLvl w:val="1"/>
      </w:pPr>
      <w:r>
        <w:rPr>
          <w:rFonts w:ascii="黑体" w:hAnsi="黑体" w:eastAsia="黑体"/>
          <w:sz w:val="32"/>
        </w:rPr>
        <w:t>第一部分 单位概况</w:t>
      </w:r>
    </w:p>
    <w:p w14:paraId="269C6B09">
      <w:pPr>
        <w:spacing w:line="640" w:lineRule="exact"/>
        <w:ind w:firstLine="640"/>
        <w:jc w:val="both"/>
        <w:outlineLvl w:val="2"/>
      </w:pPr>
      <w:r>
        <w:rPr>
          <w:rFonts w:ascii="黑体" w:hAnsi="黑体" w:eastAsia="黑体"/>
          <w:sz w:val="32"/>
        </w:rPr>
        <w:t>一、主要职能</w:t>
      </w:r>
    </w:p>
    <w:p w14:paraId="2590BAF3">
      <w:pPr>
        <w:spacing w:line="580" w:lineRule="exact"/>
        <w:ind w:firstLine="640"/>
        <w:jc w:val="both"/>
      </w:pPr>
      <w:r>
        <w:rPr>
          <w:rFonts w:ascii="仿宋_GB2312" w:hAnsi="仿宋_GB2312" w:eastAsia="仿宋_GB2312"/>
          <w:sz w:val="32"/>
        </w:rPr>
        <w:t>(一)负责和田地区政务服务和公共资源交易市场的建设，会同相关工作部门制定、完善相关业务流程、操作细则、内部规章、业务咨询、人员培训等工作。</w:t>
      </w:r>
    </w:p>
    <w:p w14:paraId="7B76028A">
      <w:pPr>
        <w:spacing w:line="580" w:lineRule="exact"/>
        <w:ind w:firstLine="640"/>
        <w:jc w:val="both"/>
      </w:pPr>
      <w:r>
        <w:rPr>
          <w:rFonts w:ascii="仿宋_GB2312" w:hAnsi="仿宋_GB2312" w:eastAsia="仿宋_GB2312"/>
          <w:sz w:val="32"/>
        </w:rPr>
        <w:t>(二)负责督促指导地区各级政务服务和公共资源体系建设，统筹安排各工作部门组织开展政务服务和交易活动工作。</w:t>
      </w:r>
    </w:p>
    <w:p w14:paraId="48F2093F">
      <w:pPr>
        <w:spacing w:line="580" w:lineRule="exact"/>
        <w:ind w:firstLine="640"/>
        <w:jc w:val="both"/>
      </w:pPr>
      <w:r>
        <w:rPr>
          <w:rFonts w:ascii="仿宋_GB2312" w:hAnsi="仿宋_GB2312" w:eastAsia="仿宋_GB2312"/>
          <w:sz w:val="32"/>
        </w:rPr>
        <w:t>(三)负责政务服务和公共资源交易平台的建设管理，为政务服务和公共资源交易提供必要的硬件、软件支撑工作。</w:t>
      </w:r>
    </w:p>
    <w:p w14:paraId="7ED4F3B5">
      <w:pPr>
        <w:spacing w:line="580" w:lineRule="exact"/>
        <w:ind w:firstLine="640"/>
        <w:jc w:val="both"/>
      </w:pPr>
      <w:r>
        <w:rPr>
          <w:rFonts w:ascii="仿宋_GB2312" w:hAnsi="仿宋_GB2312" w:eastAsia="仿宋_GB2312"/>
          <w:sz w:val="32"/>
        </w:rPr>
        <w:t>(四)负责协助相关部门对交易活动进行监管和监察工作。</w:t>
      </w:r>
    </w:p>
    <w:p w14:paraId="61AC357C">
      <w:pPr>
        <w:spacing w:line="580" w:lineRule="exact"/>
        <w:ind w:firstLine="640"/>
        <w:jc w:val="both"/>
      </w:pPr>
      <w:r>
        <w:rPr>
          <w:rFonts w:ascii="仿宋_GB2312" w:hAnsi="仿宋_GB2312" w:eastAsia="仿宋_GB2312"/>
          <w:sz w:val="32"/>
        </w:rPr>
        <w:t>(五)负责受理政府采购交易项目，编制交易文件，审查报名资格；组织交易活动，出具交易证明；负责交易资料归档，建立信息库等事项。</w:t>
      </w:r>
    </w:p>
    <w:p w14:paraId="7E62F267">
      <w:pPr>
        <w:spacing w:line="580" w:lineRule="exact"/>
        <w:ind w:firstLine="640"/>
        <w:jc w:val="both"/>
      </w:pPr>
      <w:r>
        <w:rPr>
          <w:rFonts w:ascii="仿宋_GB2312" w:hAnsi="仿宋_GB2312" w:eastAsia="仿宋_GB2312"/>
          <w:sz w:val="32"/>
        </w:rPr>
        <w:t>(六)负责受理国有土地使用权、采矿权等现场交易项目，审备报名资格；组织招投标活动，出具交易证明；负责交易资料归档，建立信息库等事项。</w:t>
      </w:r>
    </w:p>
    <w:p w14:paraId="75628225">
      <w:pPr>
        <w:spacing w:line="580" w:lineRule="exact"/>
        <w:ind w:firstLine="640"/>
        <w:jc w:val="both"/>
      </w:pPr>
      <w:r>
        <w:rPr>
          <w:rFonts w:ascii="仿宋_GB2312" w:hAnsi="仿宋_GB2312" w:eastAsia="仿宋_GB2312"/>
          <w:sz w:val="32"/>
        </w:rPr>
        <w:t>(七)负责受理工程建设项目，审备报名资格；组织招投标活动，出具交易证明；负责资料归档，建立信息库；承办地区行政服务和公共资源交易中心交办的其他事项。</w:t>
      </w:r>
    </w:p>
    <w:p w14:paraId="1595EFF6">
      <w:pPr>
        <w:spacing w:line="580" w:lineRule="exact"/>
        <w:ind w:firstLine="640"/>
        <w:jc w:val="both"/>
      </w:pPr>
      <w:r>
        <w:rPr>
          <w:rFonts w:ascii="仿宋_GB2312" w:hAnsi="仿宋_GB2312" w:eastAsia="仿宋_GB2312"/>
          <w:sz w:val="32"/>
        </w:rPr>
        <w:t>(八)通过多种方便快捷的形式,为公众提供政府信息、政策法规办事指南等咨询服务；接受群众对政府部门、公共服务行业工作作风、服务水平、服务效能的监督、投诉、意见、建议；完成接诉即办其他相关职责任务。</w:t>
      </w:r>
    </w:p>
    <w:p w14:paraId="04AA1A75">
      <w:pPr>
        <w:spacing w:line="580" w:lineRule="exact"/>
        <w:ind w:firstLine="640"/>
        <w:jc w:val="both"/>
      </w:pPr>
      <w:r>
        <w:rPr>
          <w:rFonts w:ascii="仿宋_GB2312" w:hAnsi="仿宋_GB2312" w:eastAsia="仿宋_GB2312"/>
          <w:sz w:val="32"/>
        </w:rPr>
        <w:t>(九)负责地委、行署安排的其他工作。</w:t>
      </w:r>
    </w:p>
    <w:p w14:paraId="3089555A">
      <w:pPr>
        <w:spacing w:line="640" w:lineRule="exact"/>
        <w:ind w:firstLine="640"/>
        <w:jc w:val="both"/>
        <w:outlineLvl w:val="2"/>
      </w:pPr>
      <w:r>
        <w:rPr>
          <w:rFonts w:ascii="黑体" w:hAnsi="黑体" w:eastAsia="黑体"/>
          <w:sz w:val="32"/>
        </w:rPr>
        <w:t>二、机构设置及人员情况</w:t>
      </w:r>
    </w:p>
    <w:p w14:paraId="1FD1195B">
      <w:pPr>
        <w:spacing w:line="580" w:lineRule="exact"/>
        <w:ind w:firstLine="640"/>
        <w:jc w:val="both"/>
      </w:pPr>
      <w:r>
        <w:rPr>
          <w:rFonts w:ascii="仿宋_GB2312" w:hAnsi="仿宋_GB2312" w:eastAsia="仿宋_GB2312"/>
          <w:sz w:val="32"/>
        </w:rPr>
        <w:t>新疆维吾尔自治区和田地区行政服务和公共资源交易中心2024年度，实有人数17人，其中：在职人员17人</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比上年减少2人，主要是因机构改革，职能划转，2名干部划转数字化发展局</w:t>
      </w:r>
      <w:r>
        <w:rPr>
          <w:rFonts w:ascii="仿宋_GB2312" w:hAnsi="仿宋_GB2312" w:eastAsia="仿宋_GB2312"/>
          <w:sz w:val="32"/>
        </w:rPr>
        <w:t>；离休人员0人，增加0人；退休人员0人,增加0人。</w:t>
      </w:r>
    </w:p>
    <w:p w14:paraId="30760892">
      <w:pPr>
        <w:spacing w:line="580" w:lineRule="exact"/>
        <w:ind w:firstLine="640"/>
        <w:jc w:val="both"/>
        <w:rPr>
          <w:rFonts w:hint="eastAsia" w:ascii="仿宋_GB2312" w:hAnsi="仿宋_GB2312" w:eastAsia="仿宋_GB2312"/>
          <w:sz w:val="32"/>
          <w:lang w:val="en-US" w:eastAsia="zh-CN"/>
        </w:rPr>
      </w:pPr>
      <w:r>
        <w:rPr>
          <w:rFonts w:ascii="仿宋_GB2312" w:hAnsi="仿宋_GB2312" w:eastAsia="仿宋_GB2312"/>
          <w:sz w:val="32"/>
        </w:rPr>
        <w:t>新疆维吾尔自治区和田地区行政服务和公共资源交易中心无下属预算单位，</w:t>
      </w:r>
      <w:r>
        <w:rPr>
          <w:rFonts w:hint="eastAsia" w:ascii="仿宋_GB2312" w:hAnsi="仿宋_GB2312" w:eastAsia="仿宋_GB2312"/>
          <w:sz w:val="32"/>
          <w:lang w:val="en-US" w:eastAsia="zh-CN"/>
        </w:rPr>
        <w:t>内</w:t>
      </w:r>
      <w:r>
        <w:rPr>
          <w:rFonts w:ascii="仿宋_GB2312" w:hAnsi="仿宋_GB2312" w:eastAsia="仿宋_GB2312"/>
          <w:sz w:val="32"/>
        </w:rPr>
        <w:t>设综合科、业务科</w:t>
      </w:r>
      <w:r>
        <w:rPr>
          <w:rFonts w:hint="eastAsia" w:ascii="仿宋_GB2312" w:hAnsi="仿宋_GB2312" w:eastAsia="仿宋_GB2312"/>
          <w:sz w:val="32"/>
          <w:lang w:val="en-US" w:eastAsia="zh-CN"/>
        </w:rPr>
        <w:t>2</w:t>
      </w:r>
      <w:r>
        <w:rPr>
          <w:rFonts w:ascii="仿宋_GB2312" w:hAnsi="仿宋_GB2312" w:eastAsia="仿宋_GB2312"/>
          <w:sz w:val="32"/>
        </w:rPr>
        <w:t>个科室</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下设</w:t>
      </w:r>
      <w:r>
        <w:rPr>
          <w:rFonts w:ascii="仿宋_GB2312" w:hAnsi="仿宋_GB2312" w:eastAsia="仿宋_GB2312"/>
          <w:sz w:val="32"/>
        </w:rPr>
        <w:t>政府采购</w:t>
      </w:r>
      <w:r>
        <w:rPr>
          <w:rFonts w:hint="eastAsia" w:ascii="仿宋_GB2312" w:hAnsi="仿宋_GB2312" w:eastAsia="仿宋_GB2312"/>
          <w:sz w:val="32"/>
          <w:lang w:val="en-US" w:eastAsia="zh-CN"/>
        </w:rPr>
        <w:t>交易</w:t>
      </w:r>
      <w:r>
        <w:rPr>
          <w:rFonts w:ascii="仿宋_GB2312" w:hAnsi="仿宋_GB2312" w:eastAsia="仿宋_GB2312"/>
          <w:sz w:val="32"/>
        </w:rPr>
        <w:t>中心、建设工程交易中心、国土资源交易中心、12345政务服务便民热线管理中心</w:t>
      </w:r>
      <w:r>
        <w:rPr>
          <w:rFonts w:hint="eastAsia" w:ascii="仿宋_GB2312" w:hAnsi="仿宋_GB2312" w:eastAsia="仿宋_GB2312"/>
          <w:sz w:val="32"/>
          <w:lang w:val="en-US" w:eastAsia="zh-CN"/>
        </w:rPr>
        <w:t>4个二级事业单位。</w:t>
      </w:r>
    </w:p>
    <w:p w14:paraId="47DB3668">
      <w:pPr>
        <w:spacing w:line="580" w:lineRule="exact"/>
        <w:ind w:firstLine="640"/>
        <w:jc w:val="both"/>
        <w:rPr>
          <w:rFonts w:hint="eastAsia" w:ascii="仿宋_GB2312" w:hAnsi="仿宋_GB2312" w:eastAsia="仿宋_GB2312"/>
          <w:sz w:val="32"/>
          <w:lang w:val="en-US" w:eastAsia="zh-CN"/>
        </w:rPr>
      </w:pPr>
    </w:p>
    <w:p w14:paraId="0168EB19">
      <w:pPr>
        <w:spacing w:line="580" w:lineRule="exact"/>
        <w:ind w:firstLine="640"/>
        <w:jc w:val="both"/>
        <w:rPr>
          <w:rFonts w:hint="eastAsia" w:ascii="仿宋_GB2312" w:hAnsi="仿宋_GB2312" w:eastAsia="仿宋_GB2312"/>
          <w:sz w:val="32"/>
          <w:lang w:val="en-US" w:eastAsia="zh-CN"/>
        </w:rPr>
      </w:pPr>
    </w:p>
    <w:p w14:paraId="4EF9D1B7">
      <w:pPr>
        <w:spacing w:line="580" w:lineRule="exact"/>
        <w:ind w:firstLine="640"/>
        <w:jc w:val="both"/>
        <w:rPr>
          <w:rFonts w:hint="eastAsia" w:ascii="仿宋_GB2312" w:hAnsi="仿宋_GB2312" w:eastAsia="仿宋_GB2312"/>
          <w:sz w:val="32"/>
          <w:lang w:val="en-US" w:eastAsia="zh-CN"/>
        </w:rPr>
      </w:pPr>
    </w:p>
    <w:p w14:paraId="1D90941F">
      <w:pPr>
        <w:spacing w:line="580" w:lineRule="exact"/>
        <w:ind w:firstLine="640"/>
        <w:jc w:val="both"/>
        <w:rPr>
          <w:rFonts w:hint="eastAsia" w:ascii="仿宋_GB2312" w:hAnsi="仿宋_GB2312" w:eastAsia="仿宋_GB2312"/>
          <w:sz w:val="32"/>
          <w:lang w:val="en-US" w:eastAsia="zh-CN"/>
        </w:rPr>
      </w:pPr>
    </w:p>
    <w:p w14:paraId="77DADF82">
      <w:pPr>
        <w:spacing w:line="580" w:lineRule="exact"/>
        <w:ind w:firstLine="640"/>
        <w:jc w:val="both"/>
        <w:rPr>
          <w:rFonts w:hint="eastAsia" w:ascii="仿宋_GB2312" w:hAnsi="仿宋_GB2312" w:eastAsia="仿宋_GB2312"/>
          <w:sz w:val="32"/>
          <w:lang w:val="en-US" w:eastAsia="zh-CN"/>
        </w:rPr>
      </w:pPr>
    </w:p>
    <w:p w14:paraId="4CA44DD1">
      <w:pPr>
        <w:spacing w:line="580" w:lineRule="exact"/>
        <w:ind w:firstLine="640"/>
        <w:jc w:val="both"/>
        <w:rPr>
          <w:rFonts w:hint="eastAsia" w:ascii="仿宋_GB2312" w:hAnsi="仿宋_GB2312" w:eastAsia="仿宋_GB2312"/>
          <w:sz w:val="32"/>
          <w:lang w:val="en-US" w:eastAsia="zh-CN"/>
        </w:rPr>
      </w:pPr>
    </w:p>
    <w:p w14:paraId="5E3CBF10">
      <w:pPr>
        <w:spacing w:line="580" w:lineRule="exact"/>
        <w:ind w:firstLine="640"/>
        <w:jc w:val="both"/>
        <w:rPr>
          <w:rFonts w:hint="eastAsia" w:ascii="仿宋_GB2312" w:hAnsi="仿宋_GB2312" w:eastAsia="仿宋_GB2312"/>
          <w:sz w:val="32"/>
          <w:lang w:val="en-US" w:eastAsia="zh-CN"/>
        </w:rPr>
      </w:pPr>
    </w:p>
    <w:p w14:paraId="25415312">
      <w:pPr>
        <w:spacing w:line="580" w:lineRule="exact"/>
        <w:ind w:firstLine="640"/>
        <w:jc w:val="both"/>
        <w:rPr>
          <w:rFonts w:hint="eastAsia" w:ascii="仿宋_GB2312" w:hAnsi="仿宋_GB2312" w:eastAsia="仿宋_GB2312"/>
          <w:sz w:val="32"/>
          <w:lang w:val="en-US" w:eastAsia="zh-CN"/>
        </w:rPr>
      </w:pPr>
    </w:p>
    <w:p w14:paraId="11BF2036">
      <w:pPr>
        <w:spacing w:line="580" w:lineRule="exact"/>
        <w:jc w:val="both"/>
        <w:rPr>
          <w:rFonts w:hint="eastAsia" w:ascii="仿宋_GB2312" w:hAnsi="仿宋_GB2312" w:eastAsia="仿宋_GB2312"/>
          <w:sz w:val="32"/>
          <w:lang w:val="en-US" w:eastAsia="zh-CN"/>
        </w:rPr>
      </w:pPr>
    </w:p>
    <w:p w14:paraId="6D6F8DDB">
      <w:pPr>
        <w:spacing w:line="240" w:lineRule="auto"/>
        <w:jc w:val="center"/>
        <w:outlineLvl w:val="1"/>
      </w:pPr>
      <w:r>
        <w:rPr>
          <w:rFonts w:ascii="黑体" w:hAnsi="黑体" w:eastAsia="黑体"/>
          <w:sz w:val="32"/>
        </w:rPr>
        <w:t>第二部分 部门决算情况说明</w:t>
      </w:r>
    </w:p>
    <w:p w14:paraId="13EED85A">
      <w:pPr>
        <w:spacing w:line="640" w:lineRule="exact"/>
        <w:ind w:firstLine="640"/>
        <w:jc w:val="both"/>
        <w:outlineLvl w:val="2"/>
      </w:pPr>
      <w:r>
        <w:rPr>
          <w:rFonts w:ascii="黑体" w:hAnsi="黑体" w:eastAsia="黑体"/>
          <w:sz w:val="32"/>
        </w:rPr>
        <w:t>一、收入支出决算总体情况说明</w:t>
      </w:r>
    </w:p>
    <w:p w14:paraId="618690EE">
      <w:pPr>
        <w:spacing w:line="580" w:lineRule="exact"/>
        <w:ind w:firstLine="640"/>
        <w:jc w:val="both"/>
      </w:pPr>
      <w:r>
        <w:rPr>
          <w:rFonts w:ascii="仿宋_GB2312" w:hAnsi="仿宋_GB2312" w:eastAsia="仿宋_GB2312"/>
          <w:b/>
          <w:sz w:val="32"/>
        </w:rPr>
        <w:t>2024年度收入总计1,687.53万元，</w:t>
      </w:r>
      <w:r>
        <w:rPr>
          <w:rFonts w:ascii="仿宋_GB2312" w:hAnsi="仿宋_GB2312" w:eastAsia="仿宋_GB2312"/>
          <w:b w:val="0"/>
          <w:sz w:val="32"/>
        </w:rPr>
        <w:t>其中：本年收入合计1,687.53万元，使用非财政拨款结余（含专用结余）0.00万元，年初结转和结余0.00万元。</w:t>
      </w:r>
    </w:p>
    <w:p w14:paraId="6A346247">
      <w:pPr>
        <w:spacing w:line="580" w:lineRule="exact"/>
        <w:ind w:firstLine="640"/>
        <w:jc w:val="both"/>
      </w:pPr>
      <w:r>
        <w:rPr>
          <w:rFonts w:ascii="仿宋_GB2312" w:hAnsi="仿宋_GB2312" w:eastAsia="仿宋_GB2312"/>
          <w:b/>
          <w:sz w:val="32"/>
        </w:rPr>
        <w:t>2024年度支出总计1,687.53万元，</w:t>
      </w:r>
      <w:r>
        <w:rPr>
          <w:rFonts w:ascii="仿宋_GB2312" w:hAnsi="仿宋_GB2312" w:eastAsia="仿宋_GB2312"/>
          <w:b w:val="0"/>
          <w:sz w:val="32"/>
        </w:rPr>
        <w:t>其中：本年支出合计1,687.53万元，结余分配0.00万元，年末结转和结余0.00万元。</w:t>
      </w:r>
    </w:p>
    <w:p w14:paraId="5CABB0BC">
      <w:pPr>
        <w:spacing w:line="580" w:lineRule="exact"/>
        <w:ind w:firstLine="640"/>
        <w:jc w:val="both"/>
      </w:pPr>
      <w:r>
        <w:rPr>
          <w:rFonts w:ascii="仿宋_GB2312" w:hAnsi="仿宋_GB2312" w:eastAsia="仿宋_GB2312"/>
          <w:b w:val="0"/>
          <w:sz w:val="32"/>
        </w:rPr>
        <w:t>收入支出总体与上年相比，减少167.19万元，下降9.01%，主要原因是：</w:t>
      </w:r>
      <w:r>
        <w:rPr>
          <w:rFonts w:hint="eastAsia" w:ascii="仿宋_GB2312" w:hAnsi="仿宋_GB2312" w:eastAsia="仿宋_GB2312"/>
          <w:b w:val="0"/>
          <w:sz w:val="32"/>
          <w:lang w:val="en-US" w:eastAsia="zh-CN"/>
        </w:rPr>
        <w:t>一是本年度节约成本，</w:t>
      </w:r>
      <w:r>
        <w:rPr>
          <w:rFonts w:ascii="仿宋_GB2312" w:hAnsi="仿宋_GB2312" w:eastAsia="仿宋_GB2312"/>
          <w:b w:val="0"/>
          <w:sz w:val="32"/>
        </w:rPr>
        <w:t>政务大厅保障经费项目资金</w:t>
      </w:r>
      <w:r>
        <w:rPr>
          <w:rFonts w:hint="eastAsia" w:ascii="仿宋_GB2312" w:hAnsi="仿宋_GB2312" w:eastAsia="仿宋_GB2312"/>
          <w:b w:val="0"/>
          <w:sz w:val="32"/>
          <w:lang w:val="en-US" w:eastAsia="zh-CN"/>
        </w:rPr>
        <w:t>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2024年单位机构改革，政务服务职能划转数字化发展局，2名在职人员转隶数字化发展局，聘用人员5名转至数字化发展局，相关经费</w:t>
      </w:r>
      <w:r>
        <w:rPr>
          <w:rFonts w:hint="eastAsia" w:ascii="仿宋_GB2312" w:hAnsi="仿宋_GB2312" w:eastAsia="仿宋_GB2312"/>
          <w:b w:val="0"/>
          <w:sz w:val="32"/>
          <w:lang w:val="en-US" w:eastAsia="zh-CN"/>
        </w:rPr>
        <w:t>减</w:t>
      </w:r>
      <w:r>
        <w:rPr>
          <w:rFonts w:ascii="仿宋_GB2312" w:hAnsi="仿宋_GB2312" w:eastAsia="仿宋_GB2312"/>
          <w:b w:val="0"/>
          <w:sz w:val="32"/>
        </w:rPr>
        <w:t>少。</w:t>
      </w:r>
    </w:p>
    <w:p w14:paraId="454B2957">
      <w:pPr>
        <w:spacing w:line="640" w:lineRule="exact"/>
        <w:ind w:firstLine="640"/>
        <w:jc w:val="both"/>
        <w:outlineLvl w:val="2"/>
      </w:pPr>
      <w:r>
        <w:rPr>
          <w:rFonts w:ascii="黑体" w:hAnsi="黑体" w:eastAsia="黑体"/>
          <w:sz w:val="32"/>
        </w:rPr>
        <w:t>二、收入决算情况说明</w:t>
      </w:r>
    </w:p>
    <w:p w14:paraId="45F35C80">
      <w:pPr>
        <w:spacing w:line="580" w:lineRule="exact"/>
        <w:ind w:firstLine="640"/>
        <w:jc w:val="both"/>
      </w:pPr>
      <w:r>
        <w:rPr>
          <w:rFonts w:ascii="仿宋_GB2312" w:hAnsi="仿宋_GB2312" w:eastAsia="仿宋_GB2312"/>
          <w:b/>
          <w:sz w:val="32"/>
        </w:rPr>
        <w:t>本年收入1,687.53万元，</w:t>
      </w:r>
      <w:r>
        <w:rPr>
          <w:rFonts w:ascii="仿宋_GB2312" w:hAnsi="仿宋_GB2312" w:eastAsia="仿宋_GB2312"/>
          <w:b w:val="0"/>
          <w:sz w:val="32"/>
        </w:rPr>
        <w:t>其中：财政拨款收入1,687.53万元，占100.00%；上级补助收入0.00万元，占0.00%；事业收入0.00万元，占0.00%；经营收入0.00万元，占0.00%；附属单位上缴收入0.00万元，占0.00%；其他收入0.00万元，占0.00%。</w:t>
      </w:r>
    </w:p>
    <w:p w14:paraId="5FF8A059">
      <w:pPr>
        <w:spacing w:line="640" w:lineRule="exact"/>
        <w:ind w:firstLine="640"/>
        <w:jc w:val="both"/>
        <w:outlineLvl w:val="2"/>
      </w:pPr>
      <w:r>
        <w:rPr>
          <w:rFonts w:ascii="黑体" w:hAnsi="黑体" w:eastAsia="黑体"/>
          <w:sz w:val="32"/>
        </w:rPr>
        <w:t>三、支出决算情况说明</w:t>
      </w:r>
    </w:p>
    <w:p w14:paraId="66D095B5">
      <w:pPr>
        <w:spacing w:line="580" w:lineRule="exact"/>
        <w:ind w:firstLine="640"/>
        <w:jc w:val="both"/>
      </w:pPr>
      <w:r>
        <w:rPr>
          <w:rFonts w:ascii="仿宋_GB2312" w:hAnsi="仿宋_GB2312" w:eastAsia="仿宋_GB2312"/>
          <w:b/>
          <w:sz w:val="32"/>
        </w:rPr>
        <w:t>本年支出1,687.53万元，</w:t>
      </w:r>
      <w:r>
        <w:rPr>
          <w:rFonts w:ascii="仿宋_GB2312" w:hAnsi="仿宋_GB2312" w:eastAsia="仿宋_GB2312"/>
          <w:b w:val="0"/>
          <w:sz w:val="32"/>
        </w:rPr>
        <w:t>其中：基本支出505.91万元，占29.98%；项目支出1,181.62万元，占70.02%；上缴上级支出0.00万元，占0.00%；经营支出0.00万元，占0.00%；对附属单位补助支出0.00万元，占0.00%。</w:t>
      </w:r>
    </w:p>
    <w:p w14:paraId="4B207490">
      <w:pPr>
        <w:spacing w:line="640" w:lineRule="exact"/>
        <w:ind w:firstLine="640"/>
        <w:jc w:val="both"/>
        <w:outlineLvl w:val="2"/>
      </w:pPr>
      <w:r>
        <w:rPr>
          <w:rFonts w:ascii="黑体" w:hAnsi="黑体" w:eastAsia="黑体"/>
          <w:sz w:val="32"/>
        </w:rPr>
        <w:t>四、财政拨款收入支出决算总体情况说明</w:t>
      </w:r>
    </w:p>
    <w:p w14:paraId="68680532">
      <w:pPr>
        <w:spacing w:line="580" w:lineRule="exact"/>
        <w:ind w:firstLine="640"/>
        <w:jc w:val="both"/>
      </w:pPr>
      <w:r>
        <w:rPr>
          <w:rFonts w:ascii="仿宋_GB2312" w:hAnsi="仿宋_GB2312" w:eastAsia="仿宋_GB2312"/>
          <w:b/>
          <w:sz w:val="32"/>
        </w:rPr>
        <w:t>2024年度财政拨款收入总计1,687.53万元，</w:t>
      </w:r>
      <w:r>
        <w:rPr>
          <w:rFonts w:ascii="仿宋_GB2312" w:hAnsi="仿宋_GB2312" w:eastAsia="仿宋_GB2312"/>
          <w:b w:val="0"/>
          <w:sz w:val="32"/>
        </w:rPr>
        <w:t>其中：年初财政拨款结转和结余0.00万元，本年财政拨款收入1,687.53万元。</w:t>
      </w:r>
      <w:r>
        <w:rPr>
          <w:rFonts w:ascii="仿宋_GB2312" w:hAnsi="仿宋_GB2312" w:eastAsia="仿宋_GB2312"/>
          <w:b/>
          <w:sz w:val="32"/>
        </w:rPr>
        <w:t>财政拨款支出总计1,687.53万元，</w:t>
      </w:r>
      <w:r>
        <w:rPr>
          <w:rFonts w:ascii="仿宋_GB2312" w:hAnsi="仿宋_GB2312" w:eastAsia="仿宋_GB2312"/>
          <w:b w:val="0"/>
          <w:sz w:val="32"/>
        </w:rPr>
        <w:t>其中：年末财政拨款结转和结余0.00万元，本年财政拨款支出1,687.53万元。</w:t>
      </w:r>
    </w:p>
    <w:p w14:paraId="21482A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增加422.61万元，增长33.41%，主要原因是：</w:t>
      </w:r>
      <w:r>
        <w:rPr>
          <w:rFonts w:hint="eastAsia" w:ascii="仿宋_GB2312" w:hAnsi="仿宋_GB2312" w:eastAsia="仿宋_GB2312"/>
          <w:b w:val="0"/>
          <w:sz w:val="32"/>
        </w:rPr>
        <w:t>本年在职人员工资调增，导致相关人员经费较上年有所增加</w:t>
      </w:r>
      <w:r>
        <w:rPr>
          <w:rFonts w:hint="eastAsia" w:ascii="仿宋_GB2312" w:hAnsi="仿宋_GB2312" w:eastAsia="仿宋_GB2312"/>
          <w:b w:val="0"/>
          <w:sz w:val="32"/>
          <w:lang w:eastAsia="zh-CN"/>
        </w:rPr>
        <w:t>；</w:t>
      </w:r>
      <w:r>
        <w:rPr>
          <w:rFonts w:ascii="仿宋_GB2312" w:hAnsi="仿宋_GB2312" w:eastAsia="仿宋_GB2312"/>
          <w:b w:val="0"/>
          <w:sz w:val="32"/>
        </w:rPr>
        <w:t>本年增加12345便民服务热线平台项目经费，导致经费较上年增加。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年初预算数1,106.19万元，决算数1,687.53万元，预决算差异率52.55%，主要原因是：年中追加12345便民服务热线平台项目经费，导致预决算存在差异。</w:t>
      </w:r>
    </w:p>
    <w:p w14:paraId="28C48A4B">
      <w:pPr>
        <w:spacing w:line="640" w:lineRule="exact"/>
        <w:ind w:firstLine="640"/>
        <w:jc w:val="both"/>
        <w:outlineLvl w:val="2"/>
      </w:pPr>
      <w:r>
        <w:rPr>
          <w:rFonts w:ascii="黑体" w:hAnsi="黑体" w:eastAsia="黑体"/>
          <w:sz w:val="32"/>
        </w:rPr>
        <w:t>五、一般公共预算财政拨款支出决算情况说明</w:t>
      </w:r>
    </w:p>
    <w:p w14:paraId="51626694">
      <w:pPr>
        <w:spacing w:line="640" w:lineRule="exact"/>
        <w:ind w:firstLine="640"/>
        <w:jc w:val="both"/>
        <w:outlineLvl w:val="3"/>
      </w:pPr>
      <w:r>
        <w:rPr>
          <w:rFonts w:ascii="楷体_GB2312" w:hAnsi="楷体_GB2312" w:eastAsia="楷体_GB2312"/>
          <w:b/>
          <w:sz w:val="32"/>
        </w:rPr>
        <w:t>（一）一般公共预算财政拨款支出决算总体情况</w:t>
      </w:r>
    </w:p>
    <w:p w14:paraId="52131914">
      <w:pPr>
        <w:spacing w:line="580" w:lineRule="exact"/>
        <w:ind w:firstLine="640"/>
        <w:jc w:val="both"/>
      </w:pPr>
      <w:r>
        <w:rPr>
          <w:rFonts w:ascii="仿宋_GB2312" w:hAnsi="仿宋_GB2312" w:eastAsia="仿宋_GB2312"/>
          <w:b/>
          <w:sz w:val="32"/>
        </w:rPr>
        <w:t>2024年度一般公共预算财政拨款支出1,687.53万元，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增加422.61万元，增长33.41%，主要原因是：</w:t>
      </w:r>
      <w:r>
        <w:rPr>
          <w:rFonts w:hint="eastAsia" w:ascii="仿宋_GB2312" w:hAnsi="仿宋_GB2312" w:eastAsia="仿宋_GB2312"/>
          <w:b w:val="0"/>
          <w:sz w:val="32"/>
        </w:rPr>
        <w:t>本年在职人员工资调增，导致相关人员经费较上年有所增加</w:t>
      </w:r>
      <w:r>
        <w:rPr>
          <w:rFonts w:hint="eastAsia" w:ascii="仿宋_GB2312" w:hAnsi="仿宋_GB2312" w:eastAsia="仿宋_GB2312"/>
          <w:b w:val="0"/>
          <w:sz w:val="32"/>
          <w:lang w:eastAsia="zh-CN"/>
        </w:rPr>
        <w:t>；</w:t>
      </w:r>
      <w:r>
        <w:rPr>
          <w:rFonts w:ascii="仿宋_GB2312" w:hAnsi="仿宋_GB2312" w:eastAsia="仿宋_GB2312"/>
          <w:b w:val="0"/>
          <w:sz w:val="32"/>
        </w:rPr>
        <w:t>本年增加12345便民服务热线平台项目经费，导致经费较上年增加。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年初预算数1,106.19万元，决算数1,687.53万元，预决算差异率52.55%，主要原因是：年中追加12345便民服务热线平台项目经费，导致预决算存在差异。</w:t>
      </w:r>
    </w:p>
    <w:p w14:paraId="1E36772A">
      <w:pPr>
        <w:spacing w:line="640" w:lineRule="exact"/>
        <w:ind w:firstLine="640"/>
        <w:jc w:val="both"/>
        <w:outlineLvl w:val="3"/>
      </w:pPr>
      <w:r>
        <w:rPr>
          <w:rFonts w:ascii="楷体_GB2312" w:hAnsi="楷体_GB2312" w:eastAsia="楷体_GB2312"/>
          <w:b/>
          <w:sz w:val="32"/>
        </w:rPr>
        <w:t>（二）一般公共预算财政拨款支出决算结构情况</w:t>
      </w:r>
    </w:p>
    <w:p w14:paraId="73AA1AE3">
      <w:pPr>
        <w:spacing w:line="580" w:lineRule="exact"/>
        <w:ind w:firstLine="640"/>
        <w:jc w:val="both"/>
      </w:pPr>
      <w:r>
        <w:rPr>
          <w:rFonts w:ascii="仿宋_GB2312" w:hAnsi="仿宋_GB2312" w:eastAsia="仿宋_GB2312"/>
          <w:b w:val="0"/>
          <w:sz w:val="32"/>
        </w:rPr>
        <w:t>1.一般公共服务支出(类)1,609.78万元,占95.39%。</w:t>
      </w:r>
    </w:p>
    <w:p w14:paraId="58E4B033">
      <w:pPr>
        <w:spacing w:line="580" w:lineRule="exact"/>
        <w:ind w:firstLine="640"/>
        <w:jc w:val="both"/>
      </w:pPr>
      <w:r>
        <w:rPr>
          <w:rFonts w:ascii="仿宋_GB2312" w:hAnsi="仿宋_GB2312" w:eastAsia="仿宋_GB2312"/>
          <w:b w:val="0"/>
          <w:sz w:val="32"/>
        </w:rPr>
        <w:t>2.社会保障和就业支出(类)32.18万元,占1.91%。</w:t>
      </w:r>
    </w:p>
    <w:p w14:paraId="16D095EB">
      <w:pPr>
        <w:spacing w:line="580" w:lineRule="exact"/>
        <w:ind w:firstLine="640"/>
        <w:jc w:val="both"/>
      </w:pPr>
      <w:r>
        <w:rPr>
          <w:rFonts w:ascii="仿宋_GB2312" w:hAnsi="仿宋_GB2312" w:eastAsia="仿宋_GB2312"/>
          <w:b w:val="0"/>
          <w:sz w:val="32"/>
        </w:rPr>
        <w:t>3.卫生健康支出(类)11.72万元,占0.69%。</w:t>
      </w:r>
    </w:p>
    <w:p w14:paraId="65E537D7">
      <w:pPr>
        <w:spacing w:line="580" w:lineRule="exact"/>
        <w:ind w:firstLine="640"/>
        <w:jc w:val="both"/>
      </w:pPr>
      <w:r>
        <w:rPr>
          <w:rFonts w:ascii="仿宋_GB2312" w:hAnsi="仿宋_GB2312" w:eastAsia="仿宋_GB2312"/>
          <w:b w:val="0"/>
          <w:sz w:val="32"/>
        </w:rPr>
        <w:t>4.住房保障支出(类)29.38万元,占1.74%。</w:t>
      </w:r>
    </w:p>
    <w:p w14:paraId="63FD39E8">
      <w:pPr>
        <w:spacing w:line="580" w:lineRule="exact"/>
        <w:ind w:firstLine="640"/>
        <w:jc w:val="both"/>
      </w:pPr>
      <w:r>
        <w:rPr>
          <w:rFonts w:ascii="仿宋_GB2312" w:hAnsi="仿宋_GB2312" w:eastAsia="仿宋_GB2312"/>
          <w:b w:val="0"/>
          <w:sz w:val="32"/>
        </w:rPr>
        <w:t>5.其他支出(类)4.46万元,占0.26%。</w:t>
      </w:r>
    </w:p>
    <w:p w14:paraId="45DFBED0">
      <w:pPr>
        <w:spacing w:line="640" w:lineRule="exact"/>
        <w:ind w:firstLine="640"/>
        <w:jc w:val="both"/>
        <w:outlineLvl w:val="3"/>
      </w:pPr>
      <w:r>
        <w:rPr>
          <w:rFonts w:ascii="楷体_GB2312" w:hAnsi="楷体_GB2312" w:eastAsia="楷体_GB2312"/>
          <w:b/>
          <w:sz w:val="32"/>
        </w:rPr>
        <w:t>（三）一般公共预算财政拨款支出决算具体情况</w:t>
      </w:r>
    </w:p>
    <w:p w14:paraId="42EF7FCC">
      <w:pPr>
        <w:spacing w:line="580" w:lineRule="exact"/>
        <w:ind w:firstLine="640"/>
        <w:jc w:val="both"/>
      </w:pPr>
      <w:r>
        <w:rPr>
          <w:rFonts w:ascii="仿宋_GB2312" w:hAnsi="仿宋_GB2312" w:eastAsia="仿宋_GB2312"/>
          <w:b w:val="0"/>
          <w:sz w:val="32"/>
        </w:rPr>
        <w:t>1.一般公共服务支出(类)政府办公厅（室）及相关机构事务(款)政务公开审批(项):支出决算数为432.63万元，比上年决算减少33.66万元，下降7.22%,主要原因是：2024年单位机构改革，政务服务职能划转数字化发展局，2名在职人员转隶数字化发展局，聘用人员5名转至数字化发展局，相关人员经费较少。本年功能科目调整，事业单位医疗、住房公积金上年在主科目列支，本年单独列支，相关支出减少。</w:t>
      </w:r>
    </w:p>
    <w:p w14:paraId="63B26118">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1,177.16万元，比上年决算增加415.39万元，增长54.53%,主要原因是：本年增加12345便民服务热线平台项目经费，导致经费较上年增加。</w:t>
      </w:r>
    </w:p>
    <w:p w14:paraId="1F811682">
      <w:pPr>
        <w:spacing w:line="580" w:lineRule="exact"/>
        <w:ind w:firstLine="640"/>
        <w:jc w:val="both"/>
      </w:pPr>
      <w:r>
        <w:rPr>
          <w:rFonts w:ascii="仿宋_GB2312" w:hAnsi="仿宋_GB2312" w:eastAsia="仿宋_GB2312"/>
          <w:b w:val="0"/>
          <w:sz w:val="32"/>
        </w:rPr>
        <w:t>3.一般公共服务支出(类)组织事务(款)其他组织事务支出(项):支出决算数为0.00万元，比上年决算减少3.02万元，下降100.00%,主要原因是：本年度科目调整，援疆干部人才南疆工作补贴由其他组织事务支出科目调整至其他支出科目，导致经费较上年减少。</w:t>
      </w:r>
    </w:p>
    <w:p w14:paraId="65552C1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32.18万元，比上年决算减少1.66万元，下降4.91%,主要原因是：本年机构改革，在职人员2人转隶至和田地区数字化发展局，单位基本养老保险缴费较上年减少。</w:t>
      </w:r>
    </w:p>
    <w:p w14:paraId="7790113C">
      <w:pPr>
        <w:spacing w:line="580" w:lineRule="exact"/>
        <w:ind w:firstLine="640"/>
        <w:jc w:val="both"/>
      </w:pPr>
      <w:r>
        <w:rPr>
          <w:rFonts w:ascii="仿宋_GB2312" w:hAnsi="仿宋_GB2312" w:eastAsia="仿宋_GB2312"/>
          <w:b w:val="0"/>
          <w:sz w:val="32"/>
        </w:rPr>
        <w:t>5.卫生健康支出(类)行政事业单位医疗(款)事业单位医疗(项):支出决算数为11.72万元，比上年决算增加11.72万元，增长100.00%,主要原因是：本年功能科目调整，事业单位医疗支出上年度在主科目列支，本年单独列支，导致经费较上年增加。</w:t>
      </w:r>
    </w:p>
    <w:p w14:paraId="58A55EAC">
      <w:pPr>
        <w:spacing w:line="580" w:lineRule="exact"/>
        <w:ind w:firstLine="640"/>
        <w:jc w:val="both"/>
      </w:pPr>
      <w:r>
        <w:rPr>
          <w:rFonts w:ascii="仿宋_GB2312" w:hAnsi="仿宋_GB2312" w:eastAsia="仿宋_GB2312"/>
          <w:b w:val="0"/>
          <w:sz w:val="32"/>
        </w:rPr>
        <w:t>6.住房保障支出(类)住房改革支出(款)住房公积金(项):支出决算数为29.38万元，比上年决算增加29.38万元，增长100.00%,主要原因是：本年功能科目调整，住房公积金上年度在主科目列支，本年单独列支，导致经费较上年增加。</w:t>
      </w:r>
    </w:p>
    <w:p w14:paraId="29086812">
      <w:pPr>
        <w:spacing w:line="580" w:lineRule="exact"/>
        <w:ind w:firstLine="640"/>
        <w:jc w:val="both"/>
      </w:pPr>
      <w:r>
        <w:rPr>
          <w:rFonts w:ascii="仿宋_GB2312" w:hAnsi="仿宋_GB2312" w:eastAsia="仿宋_GB2312"/>
          <w:b w:val="0"/>
          <w:sz w:val="32"/>
        </w:rPr>
        <w:t>7.其他支出(类)其他支出(款)其他支出(项):支出决算数为4.46万元，比上年决算增加4.46万元，增长100.00%,主要原因是：本年度科目调整，援疆干部人才南疆工作补贴由其他组织事务支出科目调整至其他支出科目，导致经费较上年增加。</w:t>
      </w:r>
    </w:p>
    <w:p w14:paraId="2FA73CD9">
      <w:pPr>
        <w:spacing w:line="640" w:lineRule="exact"/>
        <w:ind w:firstLine="640"/>
        <w:jc w:val="both"/>
        <w:outlineLvl w:val="2"/>
      </w:pPr>
      <w:r>
        <w:rPr>
          <w:rFonts w:ascii="黑体" w:hAnsi="黑体" w:eastAsia="黑体"/>
          <w:sz w:val="32"/>
        </w:rPr>
        <w:t>六、一般公共预算财政拨款基本支出决算情况说明</w:t>
      </w:r>
    </w:p>
    <w:p w14:paraId="576FFD91">
      <w:pPr>
        <w:spacing w:line="580" w:lineRule="exact"/>
        <w:ind w:firstLine="640"/>
        <w:jc w:val="both"/>
      </w:pPr>
      <w:r>
        <w:rPr>
          <w:rFonts w:ascii="仿宋_GB2312" w:hAnsi="仿宋_GB2312" w:eastAsia="仿宋_GB2312"/>
          <w:b w:val="0"/>
          <w:sz w:val="32"/>
        </w:rPr>
        <w:t>2024年度一般公共预算财政拨款基本支出505.91万元，其中：</w:t>
      </w:r>
      <w:r>
        <w:rPr>
          <w:rFonts w:ascii="仿宋_GB2312" w:hAnsi="仿宋_GB2312" w:eastAsia="仿宋_GB2312"/>
          <w:b/>
          <w:sz w:val="32"/>
        </w:rPr>
        <w:t>人员经费472.76万元，</w:t>
      </w:r>
      <w:r>
        <w:rPr>
          <w:rFonts w:ascii="仿宋_GB2312" w:hAnsi="仿宋_GB2312" w:eastAsia="仿宋_GB2312"/>
          <w:b w:val="0"/>
          <w:sz w:val="32"/>
        </w:rPr>
        <w:t>包括：基本工资、津贴补贴、绩效工资、机关事业单位基本养老保险缴费、职工基本医疗保险缴费、其他社会保障缴费、住房公积金、其他工资福利支出、生活补助、奖励金。</w:t>
      </w:r>
    </w:p>
    <w:p w14:paraId="12231EDB">
      <w:pPr>
        <w:spacing w:line="580" w:lineRule="exact"/>
        <w:ind w:firstLine="640"/>
        <w:jc w:val="both"/>
      </w:pPr>
      <w:r>
        <w:rPr>
          <w:rFonts w:ascii="仿宋_GB2312" w:hAnsi="仿宋_GB2312" w:eastAsia="仿宋_GB2312"/>
          <w:b/>
          <w:sz w:val="32"/>
        </w:rPr>
        <w:t>公用经费33.15万元，</w:t>
      </w:r>
      <w:r>
        <w:rPr>
          <w:rFonts w:ascii="仿宋_GB2312" w:hAnsi="仿宋_GB2312" w:eastAsia="仿宋_GB2312"/>
          <w:b w:val="0"/>
          <w:sz w:val="32"/>
        </w:rPr>
        <w:t>包括：办公费、水费、电费、取暖费、差旅费、工会经费、福利费、公务用车运行维护费、其他商品和服务支出。</w:t>
      </w:r>
    </w:p>
    <w:p w14:paraId="233091C4">
      <w:pPr>
        <w:spacing w:line="640" w:lineRule="exact"/>
        <w:ind w:firstLine="640"/>
        <w:jc w:val="both"/>
        <w:outlineLvl w:val="2"/>
      </w:pPr>
      <w:r>
        <w:rPr>
          <w:rFonts w:ascii="黑体" w:hAnsi="黑体" w:eastAsia="黑体"/>
          <w:sz w:val="32"/>
        </w:rPr>
        <w:t>七、政府性基金预算财政拨款收入支出决算情况说明</w:t>
      </w:r>
    </w:p>
    <w:p w14:paraId="211DF94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0D0B24">
      <w:pPr>
        <w:spacing w:line="640" w:lineRule="exact"/>
        <w:ind w:firstLine="640"/>
        <w:jc w:val="both"/>
        <w:outlineLvl w:val="2"/>
      </w:pPr>
      <w:r>
        <w:rPr>
          <w:rFonts w:ascii="黑体" w:hAnsi="黑体" w:eastAsia="黑体"/>
          <w:sz w:val="32"/>
        </w:rPr>
        <w:t>八、国有资本经营预算财政拨款收入支出决算情况说明</w:t>
      </w:r>
    </w:p>
    <w:p w14:paraId="15354F8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6292D6">
      <w:pPr>
        <w:spacing w:line="640" w:lineRule="exact"/>
        <w:ind w:firstLine="640"/>
        <w:jc w:val="both"/>
        <w:outlineLvl w:val="2"/>
      </w:pPr>
      <w:r>
        <w:rPr>
          <w:rFonts w:ascii="黑体" w:hAnsi="黑体" w:eastAsia="黑体"/>
          <w:sz w:val="32"/>
        </w:rPr>
        <w:t>九、财政拨款“三公”经费支出决算情况说明</w:t>
      </w:r>
    </w:p>
    <w:p w14:paraId="10C236EF">
      <w:pPr>
        <w:spacing w:line="580" w:lineRule="exact"/>
        <w:ind w:firstLine="640"/>
        <w:jc w:val="both"/>
      </w:pPr>
      <w:r>
        <w:rPr>
          <w:rFonts w:ascii="仿宋_GB2312" w:hAnsi="仿宋_GB2312" w:eastAsia="仿宋_GB2312"/>
          <w:b/>
          <w:sz w:val="32"/>
        </w:rPr>
        <w:t>2024年度财政拨款“三公”经费支出2.72万元，</w:t>
      </w:r>
      <w:r>
        <w:rPr>
          <w:rFonts w:ascii="仿宋_GB2312" w:hAnsi="仿宋_GB2312" w:eastAsia="仿宋_GB2312"/>
          <w:b w:val="0"/>
          <w:sz w:val="32"/>
        </w:rPr>
        <w:t>比上年减少0.28万元，下降9.33%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2.72万元，占100.00%，比上年减少0.28万元，下降9.33%，主要原因是：严格落实中央八项规定精神，厉行节约，减少公务用车运行维护费。公务接待费支出0.00万元，占0.00%，比上年增加0.00万元，增长0.00%，主要原因是：2023年与2024年均未安排公务接待费支出。</w:t>
      </w:r>
    </w:p>
    <w:p w14:paraId="1589A8A5">
      <w:pPr>
        <w:spacing w:line="580" w:lineRule="exact"/>
        <w:ind w:firstLine="640"/>
        <w:jc w:val="both"/>
      </w:pPr>
      <w:r>
        <w:rPr>
          <w:rFonts w:ascii="仿宋_GB2312" w:hAnsi="仿宋_GB2312" w:eastAsia="仿宋_GB2312"/>
          <w:b/>
          <w:sz w:val="32"/>
        </w:rPr>
        <w:t>具体情况如下：</w:t>
      </w:r>
    </w:p>
    <w:p w14:paraId="2CB1A8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D3ED09">
      <w:pPr>
        <w:spacing w:line="580" w:lineRule="exact"/>
        <w:ind w:firstLine="640"/>
        <w:jc w:val="both"/>
      </w:pPr>
      <w:r>
        <w:rPr>
          <w:rFonts w:ascii="仿宋_GB2312" w:hAnsi="仿宋_GB2312" w:eastAsia="仿宋_GB2312"/>
          <w:b w:val="0"/>
          <w:sz w:val="32"/>
        </w:rPr>
        <w:t>公务用车购置及运行维护费2.72万元，其中：公务用车购置费0.00万元，公务用车运行维护费2.72万元。公务用车运行维护费开支内容包括车辆加油费、维修费、保险费、审车费、过路费。公务用车购置数0辆，公务用车保有量2辆。国有资产占用情况中固定资产车辆1辆，与公务用车保有量差异原因是：有1辆车为机关事务局批准的借用车辆，车辆费用由本单位支付。</w:t>
      </w:r>
    </w:p>
    <w:p w14:paraId="57518C9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6DC9D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2.72万元，预决算差异率-9.33%，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2.72万元，预决算差异率-9.33%，主要原因是：严格落实中央八项规定精神，厉行节约，减少公务用车使用频次，燃油费减少。公务接待费全年预算数0.00万元，决算数0.00万元，预决算差异率0.00%，主要原因是：本单位无公务接待费。</w:t>
      </w:r>
    </w:p>
    <w:p w14:paraId="4B9CBAF7">
      <w:pPr>
        <w:spacing w:line="640" w:lineRule="exact"/>
        <w:ind w:firstLine="640"/>
        <w:jc w:val="both"/>
        <w:outlineLvl w:val="2"/>
      </w:pPr>
      <w:r>
        <w:rPr>
          <w:rFonts w:ascii="黑体" w:hAnsi="黑体" w:eastAsia="黑体"/>
          <w:sz w:val="32"/>
        </w:rPr>
        <w:t>十、其他重要事项的情况说明</w:t>
      </w:r>
    </w:p>
    <w:p w14:paraId="77C9A535">
      <w:pPr>
        <w:spacing w:line="640" w:lineRule="exact"/>
        <w:ind w:firstLine="640"/>
        <w:jc w:val="both"/>
        <w:outlineLvl w:val="3"/>
      </w:pPr>
      <w:r>
        <w:rPr>
          <w:rFonts w:ascii="楷体_GB2312" w:hAnsi="楷体_GB2312" w:eastAsia="楷体_GB2312"/>
          <w:b/>
          <w:sz w:val="32"/>
        </w:rPr>
        <w:t>（一）机关运行经费及公用经费支出情况</w:t>
      </w:r>
    </w:p>
    <w:p w14:paraId="74236607">
      <w:pPr>
        <w:spacing w:line="580" w:lineRule="exact"/>
        <w:ind w:firstLine="640"/>
        <w:jc w:val="both"/>
      </w:pPr>
      <w:r>
        <w:rPr>
          <w:rFonts w:ascii="仿宋_GB2312" w:hAnsi="仿宋_GB2312" w:eastAsia="仿宋_GB2312"/>
          <w:b w:val="0"/>
          <w:sz w:val="32"/>
        </w:rPr>
        <w:t>2024年度新疆维吾尔自治区和田地区行政服务和公共资源交易中心（事业单位）公用经费支出33.15万元，比上年减少23.37万元，下降41.35%，主要原因是：根据机构改革办公场所移交，本年度减少</w:t>
      </w:r>
      <w:r>
        <w:rPr>
          <w:rFonts w:hint="eastAsia" w:ascii="仿宋_GB2312" w:hAnsi="仿宋_GB2312" w:eastAsia="仿宋_GB2312"/>
          <w:b w:val="0"/>
          <w:sz w:val="32"/>
          <w:lang w:val="en-US" w:eastAsia="zh-CN"/>
        </w:rPr>
        <w:t>办公</w:t>
      </w:r>
      <w:r>
        <w:rPr>
          <w:rFonts w:ascii="仿宋_GB2312" w:hAnsi="仿宋_GB2312" w:eastAsia="仿宋_GB2312"/>
          <w:b w:val="0"/>
          <w:sz w:val="32"/>
        </w:rPr>
        <w:t>取暖费</w:t>
      </w:r>
      <w:r>
        <w:rPr>
          <w:rFonts w:hint="eastAsia" w:ascii="仿宋_GB2312" w:hAnsi="仿宋_GB2312" w:eastAsia="仿宋_GB2312"/>
          <w:b w:val="0"/>
          <w:sz w:val="32"/>
          <w:lang w:eastAsia="zh-CN"/>
        </w:rPr>
        <w:t>，</w:t>
      </w:r>
      <w:r>
        <w:rPr>
          <w:rFonts w:ascii="仿宋_GB2312" w:hAnsi="仿宋_GB2312" w:eastAsia="仿宋_GB2312"/>
          <w:b w:val="0"/>
          <w:sz w:val="32"/>
        </w:rPr>
        <w:t>导致公用经费减少。</w:t>
      </w:r>
    </w:p>
    <w:p w14:paraId="364F5642">
      <w:pPr>
        <w:spacing w:line="640" w:lineRule="exact"/>
        <w:ind w:firstLine="640"/>
        <w:jc w:val="both"/>
        <w:outlineLvl w:val="3"/>
      </w:pPr>
      <w:r>
        <w:rPr>
          <w:rFonts w:ascii="楷体_GB2312" w:hAnsi="楷体_GB2312" w:eastAsia="楷体_GB2312"/>
          <w:b/>
          <w:sz w:val="32"/>
        </w:rPr>
        <w:t>（二）政府采购情况</w:t>
      </w:r>
    </w:p>
    <w:p w14:paraId="53F5FBA5">
      <w:pPr>
        <w:spacing w:line="580" w:lineRule="exact"/>
        <w:ind w:firstLine="640"/>
        <w:jc w:val="both"/>
      </w:pPr>
      <w:r>
        <w:rPr>
          <w:rFonts w:ascii="仿宋_GB2312" w:hAnsi="仿宋_GB2312" w:eastAsia="仿宋_GB2312"/>
          <w:b w:val="0"/>
          <w:sz w:val="32"/>
        </w:rPr>
        <w:t>2024年度政府采购支出总额29.32万元，其中：政府采购货物支出2.15万元、政府采购工程支出25.37万元、政府采购服务支出1.80万元。</w:t>
      </w:r>
    </w:p>
    <w:p w14:paraId="7BD94B6B">
      <w:pPr>
        <w:spacing w:line="580" w:lineRule="exact"/>
        <w:ind w:firstLine="640"/>
        <w:jc w:val="both"/>
      </w:pPr>
      <w:r>
        <w:rPr>
          <w:rFonts w:ascii="仿宋_GB2312" w:hAnsi="仿宋_GB2312" w:eastAsia="仿宋_GB2312"/>
          <w:b w:val="0"/>
          <w:sz w:val="32"/>
        </w:rPr>
        <w:t>授予中小企业合同金额27.83万元，占政府采购支出总额的94.92%，其中：授予小微企业合同金额27.11万元，占政府采购支出总额的92.46%。</w:t>
      </w:r>
    </w:p>
    <w:p w14:paraId="767F4AD9">
      <w:pPr>
        <w:spacing w:line="640" w:lineRule="exact"/>
        <w:ind w:firstLine="640"/>
        <w:jc w:val="both"/>
        <w:outlineLvl w:val="3"/>
      </w:pPr>
      <w:r>
        <w:rPr>
          <w:rFonts w:ascii="楷体_GB2312" w:hAnsi="楷体_GB2312" w:eastAsia="楷体_GB2312"/>
          <w:b/>
          <w:sz w:val="32"/>
        </w:rPr>
        <w:t>（三）国有资产占用情况说明</w:t>
      </w:r>
    </w:p>
    <w:p w14:paraId="0F5A3F8B">
      <w:pPr>
        <w:spacing w:line="580" w:lineRule="exact"/>
        <w:ind w:firstLine="640"/>
        <w:jc w:val="both"/>
      </w:pPr>
      <w:r>
        <w:rPr>
          <w:rFonts w:ascii="仿宋_GB2312" w:hAnsi="仿宋_GB2312" w:eastAsia="仿宋_GB2312"/>
          <w:b w:val="0"/>
          <w:sz w:val="32"/>
        </w:rPr>
        <w:t>截至2024年12月31日，房屋16.50平方米，价值1.35万元。车辆1辆，价值22.70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56D4101">
      <w:pPr>
        <w:spacing w:line="640" w:lineRule="exact"/>
        <w:ind w:firstLine="640"/>
        <w:jc w:val="both"/>
        <w:outlineLvl w:val="2"/>
      </w:pPr>
      <w:r>
        <w:rPr>
          <w:rFonts w:ascii="黑体" w:hAnsi="黑体" w:eastAsia="黑体"/>
          <w:sz w:val="32"/>
        </w:rPr>
        <w:t>十一、预算绩效的情况说明</w:t>
      </w:r>
    </w:p>
    <w:p w14:paraId="0AD3415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1,746.08万元，实际执行总额1,687.53万元；预算绩效评价项目3个，全年预算数1,186.76万元，全年执行数1,181.62万元。预算绩效管理取得的成效：一是：坚持党建引领，不断加强自身建设。深入贯彻落实党的路线、方针、政策，发挥党组织领导核心作用，确保党的重大决策部署不折不扣地落地落实，打造坚强的基层党组织战斗堡垒，提升战斗力和凝聚力，推动党建工作带动业务工作同频共振，协同发展。旗帜鲜明讲政治，发挥党组领导核心作用。中心党组始终将政治建设放在首位，坚持党的集中统一领导，发挥党组领导核心作用。立足实际强基础，不断加强党的建设。不断加强自身建设，完善制度，落实基层党组织建设主体责任，加强班子和干部队伍建设。压实主体责任，全面推进</w:t>
      </w:r>
      <w:r>
        <w:rPr>
          <w:rFonts w:hint="eastAsia" w:ascii="仿宋_GB2312" w:hAnsi="仿宋_GB2312" w:eastAsia="仿宋_GB2312"/>
          <w:b w:val="0"/>
          <w:sz w:val="32"/>
          <w:lang w:eastAsia="zh-CN"/>
        </w:rPr>
        <w:t>全面从严治党</w:t>
      </w:r>
      <w:r>
        <w:rPr>
          <w:rFonts w:ascii="仿宋_GB2312" w:hAnsi="仿宋_GB2312" w:eastAsia="仿宋_GB2312"/>
          <w:b w:val="0"/>
          <w:sz w:val="32"/>
        </w:rPr>
        <w:t>。扎实履行全面从严治党主体责任，加强党风廉政建设和反腐败工作，推动党中央、自治区、地区重大决策部署落实见效；二是：坚持多措并举，推进政务服务标准化规范化便利化。今年来，政资中心持续深化“一窗受理、集成服务”改革，推动实现更多服务事项无差别受理、同标准办理，推进政务服务标准化规范化便利化。</w:t>
      </w:r>
      <w:r>
        <w:rPr>
          <w:rFonts w:hint="eastAsia" w:ascii="仿宋_GB2312" w:hAnsi="仿宋_GB2312" w:eastAsia="仿宋_GB2312"/>
          <w:b w:val="0"/>
          <w:sz w:val="32"/>
          <w:lang w:val="en-US" w:eastAsia="zh-CN"/>
        </w:rPr>
        <w:t>8月</w:t>
      </w:r>
      <w:r>
        <w:rPr>
          <w:rFonts w:ascii="仿宋_GB2312" w:hAnsi="仿宋_GB2312" w:eastAsia="仿宋_GB2312"/>
          <w:b w:val="0"/>
          <w:sz w:val="32"/>
        </w:rPr>
        <w:t>在行署统筹安排下，按照机构改革工作部署，将政务服务职能划转至地区数字化发展局；三是：持续深化整合共享，不断提升公共资源交易效能。立足公共服务职能定位，不断完善分类统一的交易制度规则，不断优化见证、场所、信息、档案、专家抽取等服务，实现公共资源阳光交易、公开透明、制度规范。持续推进公共资源交易电子化，助力营商环境优化升级。探索招投标新模式，切实解决交易瓶颈问题。发现的问题及原因：一是对各项指标和指标值要进一步优化、完善，主要在细化、量化上改进，缺乏预算绩效管理基础数据库建设，相关原始资料整理、信息汇总及研究利用效率不高；部门沟通协调不足，监督责任不明确，部分指标评估衡量方式比较简单，评价内容不够全面；成本节约方面欠缺，没有将资金使用效益最大化；二是自评价工作还存在自我审定的局限性，会影响评价质量，容易造成问题的疏漏，在客观性和公正性上说服力不强；现场评价的工作量少，后续效益评价具体措施和方法较少；三是项目在实施过程中，缺乏动态跟踪，仅在特定的时间进行跟踪，对经费使用的全过程跟踪不足，无法及时发现和解决问题，各部门之间关于绩效评价的信息交流不充分，沟通反馈不畅，影响改进措施的落实。下一步改进措施：一是项目评价资料有待进一步完善。项目启动时同步做好档案的归纳与整理，及时整理、收集、汇总，健全档案资料。项目后续管理有待进一步加强和跟踪；通过绩效管理，发现实施中存在漏洞，以后加强管理，及时掌握与之相关的各类信息，减少成本，使资金效益最大化；二是在项目实施决策中，建立科学的预算绩效评估体系：确保项目决策基于科学的绩效评估，避免浪费资源或无效支出</w:t>
      </w:r>
      <w:r>
        <w:rPr>
          <w:rFonts w:hint="eastAsia" w:ascii="仿宋_GB2312" w:hAnsi="仿宋_GB2312" w:eastAsia="仿宋_GB2312"/>
          <w:b w:val="0"/>
          <w:sz w:val="32"/>
          <w:lang w:eastAsia="zh-CN"/>
        </w:rPr>
        <w:t>；</w:t>
      </w:r>
      <w:r>
        <w:rPr>
          <w:rFonts w:ascii="仿宋_GB2312" w:hAnsi="仿宋_GB2312" w:eastAsia="仿宋_GB2312"/>
          <w:b w:val="0"/>
          <w:sz w:val="32"/>
        </w:rPr>
        <w:t>三是项目实施全程监督，实施动态跟踪，对实施中发现的一些问题随时调整策略，改进措施进行持续跟踪，确保落实到位。加强沟通协作，促进各部门在绩效评级过程中的沟通协作，及时共享信息和反馈意见。加强项目相关人员的培训，提高绩效评价工作的专业水平和能力。在决策过程中，要加强相关项目人员的培训工作，提</w:t>
      </w:r>
      <w:r>
        <w:rPr>
          <w:rFonts w:hint="eastAsia" w:ascii="仿宋_GB2312" w:hAnsi="仿宋_GB2312" w:eastAsia="仿宋_GB2312"/>
          <w:b w:val="0"/>
          <w:sz w:val="32"/>
          <w:lang w:val="en-US" w:eastAsia="zh-CN"/>
        </w:rPr>
        <w:t>高</w:t>
      </w:r>
      <w:r>
        <w:rPr>
          <w:rFonts w:ascii="仿宋_GB2312" w:hAnsi="仿宋_GB2312" w:eastAsia="仿宋_GB2312"/>
          <w:b w:val="0"/>
          <w:sz w:val="32"/>
        </w:rPr>
        <w:t>对预算绩效的认识和执行力，确保项目决策的有效实施。进一步强化预算管理意识，项目决策规划要准备充分，用规范、机制和制度全方位、全过程检查监督项目资金的运行，确保项目资金有效使用，项目得以顺利实施。具体附整体支出绩效自评表，项目支出绩效自评表和评价报告。</w:t>
      </w:r>
    </w:p>
    <w:p w14:paraId="1A01BA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72D752">
        <w:tblPrEx>
          <w:tblCellMar>
            <w:top w:w="0" w:type="dxa"/>
            <w:left w:w="108" w:type="dxa"/>
            <w:bottom w:w="0" w:type="dxa"/>
            <w:right w:w="108" w:type="dxa"/>
          </w:tblCellMar>
        </w:tblPrEx>
        <w:tc>
          <w:tcPr>
            <w:tcW w:w="8847" w:type="dxa"/>
            <w:gridSpan w:val="9"/>
            <w:vAlign w:val="center"/>
          </w:tcPr>
          <w:p w14:paraId="3926E21F">
            <w:pPr>
              <w:jc w:val="center"/>
            </w:pPr>
            <w:r>
              <w:rPr>
                <w:rFonts w:ascii="宋体" w:hAnsi="宋体" w:eastAsia="宋体"/>
                <w:sz w:val="24"/>
              </w:rPr>
              <w:t>单位整体支出绩效自评表</w:t>
            </w:r>
          </w:p>
        </w:tc>
      </w:tr>
      <w:tr w14:paraId="65588019">
        <w:tblPrEx>
          <w:tblCellMar>
            <w:top w:w="0" w:type="dxa"/>
            <w:left w:w="108" w:type="dxa"/>
            <w:bottom w:w="0" w:type="dxa"/>
            <w:right w:w="108" w:type="dxa"/>
          </w:tblCellMar>
        </w:tblPrEx>
        <w:tc>
          <w:tcPr>
            <w:tcW w:w="8847" w:type="dxa"/>
            <w:gridSpan w:val="9"/>
            <w:vAlign w:val="center"/>
          </w:tcPr>
          <w:p w14:paraId="3F6E5072">
            <w:pPr>
              <w:jc w:val="center"/>
            </w:pPr>
            <w:r>
              <w:rPr>
                <w:rFonts w:ascii="宋体" w:hAnsi="宋体" w:eastAsia="宋体"/>
                <w:sz w:val="24"/>
              </w:rPr>
              <w:t>（2024年度）</w:t>
            </w:r>
          </w:p>
        </w:tc>
      </w:tr>
      <w:tr w14:paraId="04FB6A4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5FAA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E76A06">
            <w:pPr>
              <w:jc w:val="center"/>
            </w:pPr>
            <w:r>
              <w:rPr>
                <w:rFonts w:ascii="宋体" w:hAnsi="宋体" w:eastAsia="宋体"/>
                <w:sz w:val="16"/>
              </w:rPr>
              <w:t>新疆维吾尔自治区和田地区行政服务和公共资源交易中心</w:t>
            </w:r>
          </w:p>
        </w:tc>
      </w:tr>
      <w:tr w14:paraId="77D698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5618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A106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BD6F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A350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437D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95B4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F3B2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B9DA">
            <w:pPr>
              <w:jc w:val="center"/>
            </w:pPr>
            <w:r>
              <w:rPr>
                <w:rFonts w:ascii="宋体" w:hAnsi="宋体" w:eastAsia="宋体"/>
                <w:sz w:val="16"/>
              </w:rPr>
              <w:t>得分</w:t>
            </w:r>
          </w:p>
        </w:tc>
      </w:tr>
      <w:tr w14:paraId="571DB2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84E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6AF0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7865F">
            <w:pPr>
              <w:jc w:val="center"/>
            </w:pPr>
            <w:r>
              <w:rPr>
                <w:rFonts w:ascii="宋体" w:hAnsi="宋体" w:eastAsia="宋体"/>
                <w:sz w:val="16"/>
              </w:rPr>
              <w:t>1,106.19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0771C">
            <w:pPr>
              <w:jc w:val="center"/>
            </w:pPr>
            <w:r>
              <w:rPr>
                <w:rFonts w:ascii="宋体" w:hAnsi="宋体" w:eastAsia="宋体"/>
                <w:sz w:val="16"/>
              </w:rPr>
              <w:t>1,746.08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5D3DE">
            <w:pPr>
              <w:jc w:val="center"/>
            </w:pPr>
            <w:r>
              <w:rPr>
                <w:rFonts w:ascii="宋体" w:hAnsi="宋体" w:eastAsia="宋体"/>
                <w:sz w:val="16"/>
              </w:rPr>
              <w:t>1,687.53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355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4C3FE">
            <w:pPr>
              <w:jc w:val="center"/>
            </w:pPr>
            <w:r>
              <w:rPr>
                <w:rFonts w:ascii="宋体" w:hAnsi="宋体" w:eastAsia="宋体"/>
                <w:sz w:val="16"/>
              </w:rPr>
              <w:t>96.65%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2949D">
            <w:pPr>
              <w:jc w:val="center"/>
            </w:pPr>
            <w:r>
              <w:rPr>
                <w:rFonts w:ascii="宋体" w:hAnsi="宋体" w:eastAsia="宋体"/>
                <w:sz w:val="16"/>
              </w:rPr>
              <w:t>9.67</w:t>
            </w:r>
          </w:p>
        </w:tc>
      </w:tr>
      <w:tr w14:paraId="5CB57E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55D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B9C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E2A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0F9ED">
            <w:pPr>
              <w:jc w:val="center"/>
            </w:pPr>
            <w:r>
              <w:rPr>
                <w:rFonts w:ascii="宋体" w:hAnsi="宋体" w:eastAsia="宋体"/>
                <w:sz w:val="16"/>
              </w:rPr>
              <w:t>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26E1">
            <w:pPr>
              <w:jc w:val="center"/>
            </w:pPr>
            <w:r>
              <w:rPr>
                <w:rFonts w:ascii="宋体" w:hAnsi="宋体" w:eastAsia="宋体"/>
                <w:sz w:val="16"/>
              </w:rPr>
              <w:t>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4A9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376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EBC7">
            <w:pPr>
              <w:jc w:val="center"/>
            </w:pPr>
            <w:r>
              <w:rPr>
                <w:rFonts w:ascii="宋体" w:hAnsi="宋体" w:eastAsia="宋体"/>
                <w:sz w:val="16"/>
              </w:rPr>
              <w:t>—</w:t>
            </w:r>
          </w:p>
        </w:tc>
      </w:tr>
      <w:tr w14:paraId="1AE765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105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C016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00BB3">
            <w:pPr>
              <w:jc w:val="center"/>
            </w:pPr>
            <w:r>
              <w:rPr>
                <w:rFonts w:ascii="宋体" w:hAnsi="宋体" w:eastAsia="宋体"/>
                <w:sz w:val="16"/>
              </w:rPr>
              <w:t>1,106.19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3C229">
            <w:pPr>
              <w:jc w:val="center"/>
            </w:pPr>
            <w:r>
              <w:rPr>
                <w:rFonts w:ascii="宋体" w:hAnsi="宋体" w:eastAsia="宋体"/>
                <w:sz w:val="16"/>
              </w:rPr>
              <w:t>1,741.44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943B">
            <w:pPr>
              <w:jc w:val="center"/>
            </w:pPr>
            <w:r>
              <w:rPr>
                <w:rFonts w:ascii="宋体" w:hAnsi="宋体" w:eastAsia="宋体"/>
                <w:sz w:val="16"/>
              </w:rPr>
              <w:t>1,682.89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F31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C82B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2BC6C">
            <w:pPr>
              <w:jc w:val="center"/>
            </w:pPr>
            <w:r>
              <w:rPr>
                <w:rFonts w:ascii="宋体" w:hAnsi="宋体" w:eastAsia="宋体"/>
                <w:sz w:val="16"/>
              </w:rPr>
              <w:t>—</w:t>
            </w:r>
          </w:p>
        </w:tc>
      </w:tr>
      <w:tr w14:paraId="052C65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0783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FE5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C68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7CB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2EB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FB5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B26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5F358">
            <w:pPr>
              <w:jc w:val="center"/>
            </w:pPr>
            <w:r>
              <w:rPr>
                <w:rFonts w:ascii="宋体" w:hAnsi="宋体" w:eastAsia="宋体"/>
                <w:sz w:val="16"/>
              </w:rPr>
              <w:t>—</w:t>
            </w:r>
          </w:p>
        </w:tc>
      </w:tr>
      <w:tr w14:paraId="53B111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788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15B9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52B9F5">
            <w:pPr>
              <w:jc w:val="center"/>
            </w:pPr>
            <w:r>
              <w:rPr>
                <w:rFonts w:ascii="宋体" w:hAnsi="宋体" w:eastAsia="宋体"/>
                <w:sz w:val="16"/>
              </w:rPr>
              <w:t>实际完成目标</w:t>
            </w:r>
          </w:p>
        </w:tc>
      </w:tr>
      <w:tr w14:paraId="7C4C5C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5F44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41ACAD">
            <w:pPr>
              <w:jc w:val="both"/>
            </w:pPr>
            <w:r>
              <w:rPr>
                <w:rFonts w:ascii="宋体" w:hAnsi="宋体" w:eastAsia="宋体"/>
                <w:sz w:val="16"/>
              </w:rPr>
              <w:t>1、全力保障单位在职及自收自支、差额人员、聘用人员工资及福利保障；保障单位的车辆正常运行</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2、完成集采目录内甲方委托，财政局批复的项目。</w:t>
            </w:r>
            <w:r>
              <w:rPr>
                <w:rFonts w:ascii="宋体" w:hAnsi="宋体" w:eastAsia="宋体"/>
                <w:sz w:val="16"/>
              </w:rPr>
              <w:br w:type="textWrapping"/>
            </w:r>
            <w:r>
              <w:rPr>
                <w:rFonts w:ascii="宋体" w:hAnsi="宋体" w:eastAsia="宋体"/>
                <w:sz w:val="16"/>
              </w:rPr>
              <w:t>3、保障“12345平台”正常运转，两平台融合发展顺利畅通，接通率保持在95%以上。全量收集解决好群众困难诉求，最大程度倾听群众呼声，确保群众来电“打得进、接得通、办得好”。</w:t>
            </w:r>
            <w:r>
              <w:rPr>
                <w:rFonts w:ascii="宋体" w:hAnsi="宋体" w:eastAsia="宋体"/>
                <w:sz w:val="16"/>
              </w:rPr>
              <w:br w:type="textWrapping"/>
            </w:r>
            <w:r>
              <w:rPr>
                <w:rFonts w:ascii="宋体" w:hAnsi="宋体" w:eastAsia="宋体"/>
                <w:sz w:val="16"/>
              </w:rPr>
              <w:t>4、进一步提高为企业、为群众服务的意识，</w:t>
            </w:r>
            <w:r>
              <w:rPr>
                <w:rFonts w:hint="eastAsia" w:ascii="宋体" w:hAnsi="宋体"/>
                <w:sz w:val="16"/>
                <w:lang w:val="en-US" w:eastAsia="zh-CN"/>
              </w:rPr>
              <w:t>让</w:t>
            </w:r>
            <w:r>
              <w:rPr>
                <w:rFonts w:ascii="宋体" w:hAnsi="宋体" w:eastAsia="宋体"/>
                <w:sz w:val="16"/>
              </w:rPr>
              <w:t>群众的获得感，幸福感进一步增强，公共资源交易高质量发展获取更大的突破。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9BD5D">
            <w:pPr>
              <w:jc w:val="both"/>
            </w:pPr>
            <w:r>
              <w:rPr>
                <w:rFonts w:hint="eastAsia" w:ascii="宋体" w:hAnsi="宋体"/>
                <w:sz w:val="16"/>
                <w:lang w:eastAsia="zh-CN"/>
              </w:rPr>
              <w:t>截至2024</w:t>
            </w:r>
            <w:r>
              <w:rPr>
                <w:rFonts w:ascii="宋体" w:hAnsi="宋体" w:eastAsia="宋体"/>
                <w:sz w:val="16"/>
              </w:rPr>
              <w:t>年12月31日，本单位实际完成在职及自收自支、差额人员、聘用人员工资及福利发放，保障</w:t>
            </w:r>
            <w:r>
              <w:rPr>
                <w:rFonts w:hint="eastAsia" w:ascii="宋体" w:hAnsi="宋体"/>
                <w:sz w:val="16"/>
                <w:lang w:val="en-US" w:eastAsia="zh-CN"/>
              </w:rPr>
              <w:t>大厅的正常运转</w:t>
            </w:r>
            <w:r>
              <w:rPr>
                <w:rFonts w:ascii="宋体" w:hAnsi="宋体" w:eastAsia="宋体"/>
                <w:sz w:val="16"/>
              </w:rPr>
              <w:t>，保障“12345平台”正常运</w:t>
            </w:r>
            <w:r>
              <w:rPr>
                <w:rFonts w:hint="eastAsia" w:ascii="宋体" w:hAnsi="宋体"/>
                <w:sz w:val="16"/>
                <w:lang w:val="en-US" w:eastAsia="zh-CN"/>
              </w:rPr>
              <w:t>行</w:t>
            </w:r>
            <w:r>
              <w:rPr>
                <w:rFonts w:hint="eastAsia" w:ascii="宋体" w:hAnsi="宋体"/>
                <w:sz w:val="16"/>
                <w:lang w:eastAsia="zh-CN"/>
              </w:rPr>
              <w:t>，</w:t>
            </w:r>
            <w:r>
              <w:rPr>
                <w:rFonts w:ascii="宋体" w:hAnsi="宋体" w:eastAsia="宋体"/>
                <w:sz w:val="16"/>
              </w:rPr>
              <w:t>实际形成支出1687.53万元，通过完成以上工作，实现了为群众服务的意识进一步提高，</w:t>
            </w:r>
            <w:r>
              <w:rPr>
                <w:rFonts w:hint="eastAsia" w:ascii="宋体" w:hAnsi="宋体"/>
                <w:sz w:val="16"/>
                <w:lang w:val="en-US" w:eastAsia="zh-CN"/>
              </w:rPr>
              <w:t>让</w:t>
            </w:r>
            <w:r>
              <w:rPr>
                <w:rFonts w:ascii="宋体" w:hAnsi="宋体" w:eastAsia="宋体"/>
                <w:sz w:val="16"/>
              </w:rPr>
              <w:t>群众的获得感，幸福感进一步增强，公共资源交易高质量发展获取更大的突破的效益。</w:t>
            </w:r>
          </w:p>
        </w:tc>
      </w:tr>
      <w:tr w14:paraId="273CD3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10CD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17C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497A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F419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24E8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BD5A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497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F0A4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CBF7E">
            <w:pPr>
              <w:jc w:val="center"/>
            </w:pPr>
            <w:r>
              <w:rPr>
                <w:rFonts w:ascii="宋体" w:hAnsi="宋体" w:eastAsia="宋体"/>
                <w:sz w:val="16"/>
              </w:rPr>
              <w:t>得分</w:t>
            </w:r>
          </w:p>
        </w:tc>
      </w:tr>
      <w:tr w14:paraId="03DF6F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C96EA">
            <w:pPr>
              <w:jc w:val="center"/>
            </w:pPr>
            <w:r>
              <w:rPr>
                <w:rFonts w:ascii="宋体" w:hAnsi="宋体" w:eastAsia="宋体"/>
                <w:sz w:val="16"/>
              </w:rPr>
              <w:t>管理效率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21AA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E1A5B">
            <w:pPr>
              <w:jc w:val="center"/>
            </w:pPr>
            <w:r>
              <w:rPr>
                <w:rFonts w:ascii="宋体" w:hAnsi="宋体" w:eastAsia="宋体"/>
                <w:sz w:val="16"/>
              </w:rPr>
              <w:t>预决算信息公开及时性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66B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9FD6D">
            <w:pPr>
              <w:jc w:val="center"/>
            </w:pPr>
            <w:r>
              <w:rPr>
                <w:rFonts w:ascii="宋体" w:hAnsi="宋体" w:eastAsia="宋体"/>
                <w:sz w:val="16"/>
              </w:rPr>
              <w:t>财政部门预决算公开相关文件要求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919A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9A9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442D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0AB5F">
            <w:pPr>
              <w:jc w:val="center"/>
            </w:pPr>
            <w:r>
              <w:rPr>
                <w:rFonts w:ascii="宋体" w:hAnsi="宋体" w:eastAsia="宋体"/>
                <w:sz w:val="16"/>
              </w:rPr>
              <w:t>15</w:t>
            </w:r>
          </w:p>
        </w:tc>
      </w:tr>
      <w:tr w14:paraId="5E8FD2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53818">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860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BE40D">
            <w:pPr>
              <w:jc w:val="center"/>
            </w:pPr>
            <w:r>
              <w:rPr>
                <w:rFonts w:ascii="宋体" w:hAnsi="宋体" w:eastAsia="宋体"/>
                <w:sz w:val="16"/>
              </w:rPr>
              <w:t>正常接听来电话务台席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D81E">
            <w:pPr>
              <w:jc w:val="center"/>
            </w:pPr>
            <w:r>
              <w:rPr>
                <w:rFonts w:ascii="宋体" w:hAnsi="宋体" w:eastAsia="宋体"/>
                <w:sz w:val="16"/>
              </w:rPr>
              <w: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5ADB1">
            <w:pPr>
              <w:jc w:val="center"/>
            </w:pPr>
            <w:r>
              <w:rPr>
                <w:rFonts w:ascii="宋体" w:hAnsi="宋体" w:eastAsia="宋体"/>
                <w:sz w:val="16"/>
              </w:rPr>
              <w:t>政法委批示件第305号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6C53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89E2A">
            <w:pPr>
              <w:jc w:val="center"/>
            </w:pPr>
            <w:r>
              <w:rPr>
                <w:rFonts w:ascii="宋体" w:hAnsi="宋体" w:eastAsia="宋体"/>
                <w:sz w:val="16"/>
              </w:rPr>
              <w: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08BB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FB464">
            <w:pPr>
              <w:jc w:val="center"/>
            </w:pPr>
            <w:r>
              <w:rPr>
                <w:rFonts w:ascii="宋体" w:hAnsi="宋体" w:eastAsia="宋体"/>
                <w:sz w:val="16"/>
              </w:rPr>
              <w:t>15</w:t>
            </w:r>
          </w:p>
        </w:tc>
      </w:tr>
      <w:tr w14:paraId="50E6EC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EF19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A8E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AC4C2">
            <w:pPr>
              <w:jc w:val="center"/>
            </w:pPr>
            <w:r>
              <w:rPr>
                <w:rFonts w:ascii="宋体" w:hAnsi="宋体" w:eastAsia="宋体"/>
                <w:sz w:val="16"/>
              </w:rPr>
              <w:t>保障对外窗口数量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A2C9">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7FC19">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4717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96A0C">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FAF0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9CF6C">
            <w:pPr>
              <w:jc w:val="center"/>
            </w:pPr>
            <w:r>
              <w:rPr>
                <w:rFonts w:ascii="宋体" w:hAnsi="宋体" w:eastAsia="宋体"/>
                <w:sz w:val="16"/>
              </w:rPr>
              <w:t>15</w:t>
            </w:r>
          </w:p>
        </w:tc>
      </w:tr>
      <w:tr w14:paraId="507A12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6BC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325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1356B">
            <w:pPr>
              <w:jc w:val="center"/>
            </w:pPr>
            <w:r>
              <w:rPr>
                <w:rFonts w:ascii="宋体" w:hAnsi="宋体" w:eastAsia="宋体"/>
                <w:sz w:val="16"/>
              </w:rPr>
              <w:t>工单办结率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5FAE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1B14B">
            <w:pPr>
              <w:jc w:val="center"/>
            </w:pPr>
            <w:r>
              <w:rPr>
                <w:rFonts w:ascii="宋体" w:hAnsi="宋体" w:eastAsia="宋体"/>
                <w:sz w:val="16"/>
              </w:rPr>
              <w:t>政法委批示件第305号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A18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2A845">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9B40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AC760">
            <w:pPr>
              <w:jc w:val="center"/>
            </w:pPr>
            <w:r>
              <w:rPr>
                <w:rFonts w:ascii="宋体" w:hAnsi="宋体" w:eastAsia="宋体"/>
                <w:sz w:val="16"/>
              </w:rPr>
              <w:t>10</w:t>
            </w:r>
          </w:p>
        </w:tc>
      </w:tr>
      <w:tr w14:paraId="47CF05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7BFB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C482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C7493">
            <w:pPr>
              <w:jc w:val="center"/>
            </w:pPr>
            <w:r>
              <w:rPr>
                <w:rFonts w:ascii="宋体" w:hAnsi="宋体" w:eastAsia="宋体"/>
                <w:sz w:val="16"/>
              </w:rPr>
              <w:t>完成采购单位项目委托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5A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670A6">
            <w:pPr>
              <w:jc w:val="center"/>
            </w:pPr>
            <w:r>
              <w:rPr>
                <w:rFonts w:ascii="宋体" w:hAnsi="宋体" w:eastAsia="宋体"/>
                <w:sz w:val="16"/>
              </w:rPr>
              <w:t>关于印发《新疆政府采购评审专家管理实施办法》的通知规定，新财购</w:t>
            </w:r>
            <w:r>
              <w:rPr>
                <w:rFonts w:hint="eastAsia" w:ascii="宋体" w:hAnsi="宋体"/>
                <w:sz w:val="16"/>
                <w:lang w:eastAsia="zh-CN"/>
              </w:rPr>
              <w:t>〔2017〕18号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E13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0DE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E935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50890">
            <w:pPr>
              <w:jc w:val="center"/>
            </w:pPr>
            <w:r>
              <w:rPr>
                <w:rFonts w:ascii="宋体" w:hAnsi="宋体" w:eastAsia="宋体"/>
                <w:sz w:val="16"/>
              </w:rPr>
              <w:t>10</w:t>
            </w:r>
          </w:p>
        </w:tc>
      </w:tr>
      <w:tr w14:paraId="7118D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2A8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6BD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7FC6A">
            <w:pPr>
              <w:jc w:val="center"/>
            </w:pPr>
            <w:r>
              <w:rPr>
                <w:rFonts w:ascii="宋体" w:hAnsi="宋体" w:eastAsia="宋体"/>
                <w:sz w:val="16"/>
              </w:rPr>
              <w:t>日常公用经费控制率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191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93759">
            <w:pPr>
              <w:jc w:val="center"/>
            </w:pPr>
            <w:r>
              <w:rPr>
                <w:rFonts w:ascii="宋体" w:hAnsi="宋体" w:eastAsia="宋体"/>
                <w:sz w:val="16"/>
              </w:rPr>
              <w:t>中共中央政治局贯彻落实</w:t>
            </w:r>
            <w:r>
              <w:rPr>
                <w:rFonts w:hint="eastAsia" w:ascii="宋体" w:hAnsi="宋体"/>
                <w:sz w:val="16"/>
                <w:lang w:eastAsia="zh-CN"/>
              </w:rPr>
              <w:t>中央八项规定</w:t>
            </w:r>
            <w:r>
              <w:rPr>
                <w:rFonts w:ascii="宋体" w:hAnsi="宋体" w:eastAsia="宋体"/>
                <w:sz w:val="16"/>
              </w:rPr>
              <w:t>实施细则（中办发</w:t>
            </w:r>
            <w:r>
              <w:rPr>
                <w:rFonts w:hint="eastAsia" w:ascii="宋体" w:hAnsi="宋体"/>
                <w:sz w:val="16"/>
                <w:lang w:eastAsia="zh-CN"/>
              </w:rPr>
              <w:t>〔2017〕63号</w:t>
            </w:r>
            <w:r>
              <w:rPr>
                <w:rFonts w:ascii="宋体" w:hAnsi="宋体" w:eastAsia="宋体"/>
                <w:sz w:val="16"/>
              </w:rPr>
              <w:t>）及党政机关过紧日子相关要求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418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45C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00F5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E1BCF">
            <w:pPr>
              <w:jc w:val="center"/>
            </w:pPr>
            <w:r>
              <w:rPr>
                <w:rFonts w:ascii="宋体" w:hAnsi="宋体" w:eastAsia="宋体"/>
                <w:sz w:val="16"/>
              </w:rPr>
              <w:t>10</w:t>
            </w:r>
          </w:p>
        </w:tc>
      </w:tr>
      <w:tr w14:paraId="20B4A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949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114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34E5B">
            <w:pPr>
              <w:jc w:val="center"/>
            </w:pPr>
            <w:r>
              <w:rPr>
                <w:rFonts w:ascii="宋体" w:hAnsi="宋体" w:eastAsia="宋体"/>
                <w:sz w:val="16"/>
              </w:rPr>
              <w:t>专家评审时间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51D1">
            <w:pPr>
              <w:jc w:val="center"/>
            </w:pPr>
            <w:r>
              <w:rPr>
                <w:rFonts w:ascii="宋体" w:hAnsi="宋体" w:eastAsia="宋体"/>
                <w:sz w:val="16"/>
              </w:rPr>
              <w:t>≥3小时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71F68">
            <w:pPr>
              <w:jc w:val="center"/>
            </w:pPr>
            <w:r>
              <w:rPr>
                <w:rFonts w:ascii="宋体" w:hAnsi="宋体" w:eastAsia="宋体"/>
                <w:sz w:val="16"/>
              </w:rPr>
              <w:t>关于印发《新疆政府采购评审专家管理实施办法》的通知规定，新财购</w:t>
            </w:r>
            <w:r>
              <w:rPr>
                <w:rFonts w:hint="eastAsia" w:ascii="宋体" w:hAnsi="宋体"/>
                <w:sz w:val="16"/>
                <w:lang w:eastAsia="zh-CN"/>
              </w:rPr>
              <w:t>〔2017〕18号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97BD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95F41">
            <w:pPr>
              <w:jc w:val="center"/>
            </w:pPr>
            <w:r>
              <w:rPr>
                <w:rFonts w:ascii="宋体" w:hAnsi="宋体" w:eastAsia="宋体"/>
                <w:sz w:val="16"/>
              </w:rPr>
              <w:t>3小时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D06E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A601B">
            <w:pPr>
              <w:jc w:val="center"/>
            </w:pPr>
            <w:r>
              <w:rPr>
                <w:rFonts w:ascii="宋体" w:hAnsi="宋体" w:eastAsia="宋体"/>
                <w:sz w:val="16"/>
              </w:rPr>
              <w:t>15</w:t>
            </w:r>
          </w:p>
        </w:tc>
      </w:tr>
      <w:tr w14:paraId="247CD3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DB13B">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96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1C728">
            <w:pPr>
              <w:jc w:val="center"/>
            </w:pPr>
            <w:r>
              <w:rPr>
                <w:rFonts w:ascii="宋体" w:hAnsi="宋体" w:eastAsia="宋体"/>
                <w:sz w:val="16"/>
              </w:rPr>
              <w:t>办事群众满意度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11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2E898">
            <w:pPr>
              <w:jc w:val="center"/>
            </w:pPr>
            <w:r>
              <w:rPr>
                <w:rFonts w:ascii="宋体" w:hAnsi="宋体" w:eastAsia="宋体"/>
                <w:sz w:val="16"/>
              </w:rPr>
              <w:t>服务对象满意程度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4C2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97B6D">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3777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8F86A">
            <w:pPr>
              <w:jc w:val="center"/>
            </w:pPr>
            <w:r>
              <w:rPr>
                <w:rFonts w:ascii="宋体" w:hAnsi="宋体" w:eastAsia="宋体"/>
                <w:sz w:val="16"/>
              </w:rPr>
              <w:t>0</w:t>
            </w:r>
          </w:p>
        </w:tc>
      </w:tr>
    </w:tbl>
    <w:p w14:paraId="76DD7AE3">
      <w:bookmarkStart w:id="0" w:name="_GoBack"/>
      <w:bookmarkEnd w:i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737B04">
        <w:tblPrEx>
          <w:tblCellMar>
            <w:top w:w="0" w:type="dxa"/>
            <w:left w:w="108" w:type="dxa"/>
            <w:bottom w:w="0" w:type="dxa"/>
            <w:right w:w="108" w:type="dxa"/>
          </w:tblCellMar>
        </w:tblPrEx>
        <w:tc>
          <w:tcPr>
            <w:tcW w:w="8847" w:type="dxa"/>
            <w:gridSpan w:val="9"/>
            <w:vAlign w:val="center"/>
          </w:tcPr>
          <w:p w14:paraId="48C9D1D7">
            <w:pPr>
              <w:jc w:val="center"/>
            </w:pPr>
            <w:r>
              <w:rPr>
                <w:rFonts w:ascii="宋体" w:hAnsi="宋体" w:eastAsia="宋体"/>
                <w:sz w:val="24"/>
              </w:rPr>
              <w:t>项目支出绩效自评表</w:t>
            </w:r>
          </w:p>
        </w:tc>
      </w:tr>
      <w:tr w14:paraId="0C9A14D9">
        <w:tblPrEx>
          <w:tblCellMar>
            <w:top w:w="0" w:type="dxa"/>
            <w:left w:w="108" w:type="dxa"/>
            <w:bottom w:w="0" w:type="dxa"/>
            <w:right w:w="108" w:type="dxa"/>
          </w:tblCellMar>
        </w:tblPrEx>
        <w:tc>
          <w:tcPr>
            <w:tcW w:w="8847" w:type="dxa"/>
            <w:gridSpan w:val="9"/>
            <w:vAlign w:val="center"/>
          </w:tcPr>
          <w:p w14:paraId="17D2B290">
            <w:pPr>
              <w:jc w:val="center"/>
            </w:pPr>
            <w:r>
              <w:rPr>
                <w:rFonts w:ascii="宋体" w:hAnsi="宋体" w:eastAsia="宋体"/>
                <w:sz w:val="24"/>
              </w:rPr>
              <w:t>(2024年度)</w:t>
            </w:r>
          </w:p>
        </w:tc>
      </w:tr>
      <w:tr w14:paraId="6E27A5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B670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7D021A">
            <w:pPr>
              <w:jc w:val="center"/>
            </w:pPr>
            <w:r>
              <w:rPr>
                <w:rFonts w:ascii="宋体" w:hAnsi="宋体" w:eastAsia="宋体"/>
                <w:sz w:val="16"/>
              </w:rPr>
              <w:t>12345便民服务热线平台</w:t>
            </w:r>
          </w:p>
        </w:tc>
      </w:tr>
      <w:tr w14:paraId="72CE4F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0AD3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A1D136">
            <w:pPr>
              <w:jc w:val="center"/>
            </w:pPr>
            <w:r>
              <w:rPr>
                <w:rFonts w:ascii="宋体" w:hAnsi="宋体" w:eastAsia="宋体"/>
                <w:sz w:val="16"/>
              </w:rPr>
              <w:t>新疆维吾尔自治区和田地区行政服务和公共资源交易中心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2EE5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397D6C">
            <w:pPr>
              <w:jc w:val="center"/>
            </w:pPr>
            <w:r>
              <w:rPr>
                <w:rFonts w:ascii="宋体" w:hAnsi="宋体" w:eastAsia="宋体"/>
                <w:sz w:val="16"/>
              </w:rPr>
              <w:t>新疆维吾尔自治区和田地区行政服务和公共资源交易中心</w:t>
            </w:r>
          </w:p>
        </w:tc>
      </w:tr>
      <w:tr w14:paraId="4C64AB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302B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D8FE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A531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12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653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E4C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823C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41E43">
            <w:pPr>
              <w:jc w:val="center"/>
            </w:pPr>
            <w:r>
              <w:rPr>
                <w:rFonts w:ascii="宋体" w:hAnsi="宋体" w:eastAsia="宋体"/>
                <w:sz w:val="16"/>
              </w:rPr>
              <w:t>得分</w:t>
            </w:r>
          </w:p>
        </w:tc>
      </w:tr>
      <w:tr w14:paraId="784AF5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99B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D47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BED33">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27005">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EEDC9">
            <w:pPr>
              <w:jc w:val="center"/>
            </w:pPr>
            <w:r>
              <w:rPr>
                <w:rFonts w:ascii="宋体" w:hAnsi="宋体" w:eastAsia="宋体"/>
                <w:sz w:val="16"/>
              </w:rPr>
              <w:t>148.32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977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139E3">
            <w:pPr>
              <w:jc w:val="center"/>
            </w:pPr>
            <w:r>
              <w:rPr>
                <w:rFonts w:ascii="宋体" w:hAnsi="宋体" w:eastAsia="宋体"/>
                <w:sz w:val="16"/>
              </w:rPr>
              <w:t xml:space="preserve">98.88%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D45C3">
            <w:pPr>
              <w:jc w:val="center"/>
            </w:pPr>
            <w:r>
              <w:rPr>
                <w:rFonts w:ascii="宋体" w:hAnsi="宋体" w:eastAsia="宋体"/>
                <w:sz w:val="16"/>
              </w:rPr>
              <w:t>9.72分</w:t>
            </w:r>
          </w:p>
        </w:tc>
      </w:tr>
      <w:tr w14:paraId="599DFC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1C5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063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08F4A">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C6EEF">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F5AD6">
            <w:pPr>
              <w:jc w:val="center"/>
            </w:pPr>
            <w:r>
              <w:rPr>
                <w:rFonts w:ascii="宋体" w:hAnsi="宋体" w:eastAsia="宋体"/>
                <w:sz w:val="16"/>
              </w:rPr>
              <w:t>148.32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262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5F5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DF788">
            <w:pPr>
              <w:jc w:val="center"/>
            </w:pPr>
            <w:r>
              <w:rPr>
                <w:rFonts w:ascii="宋体" w:hAnsi="宋体" w:eastAsia="宋体"/>
                <w:sz w:val="16"/>
              </w:rPr>
              <w:t>—</w:t>
            </w:r>
          </w:p>
        </w:tc>
      </w:tr>
      <w:tr w14:paraId="0BF8C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796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AAF5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6D1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4CF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D35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B78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47B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F747">
            <w:pPr>
              <w:jc w:val="center"/>
            </w:pPr>
            <w:r>
              <w:rPr>
                <w:rFonts w:ascii="宋体" w:hAnsi="宋体" w:eastAsia="宋体"/>
                <w:sz w:val="16"/>
              </w:rPr>
              <w:t>—</w:t>
            </w:r>
          </w:p>
        </w:tc>
      </w:tr>
      <w:tr w14:paraId="0F3F5A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0B7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288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EF5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6CE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279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643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DB2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C6A54">
            <w:pPr>
              <w:jc w:val="center"/>
            </w:pPr>
            <w:r>
              <w:rPr>
                <w:rFonts w:ascii="宋体" w:hAnsi="宋体" w:eastAsia="宋体"/>
                <w:sz w:val="16"/>
              </w:rPr>
              <w:t>—</w:t>
            </w:r>
          </w:p>
        </w:tc>
      </w:tr>
      <w:tr w14:paraId="739746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702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625B5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2EDF5">
            <w:pPr>
              <w:jc w:val="center"/>
            </w:pPr>
            <w:r>
              <w:rPr>
                <w:rFonts w:ascii="宋体" w:hAnsi="宋体" w:eastAsia="宋体"/>
                <w:sz w:val="16"/>
              </w:rPr>
              <w:t>实际完成情况</w:t>
            </w:r>
          </w:p>
        </w:tc>
      </w:tr>
      <w:tr w14:paraId="7F768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AAB3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8DE2A8">
            <w:pPr>
              <w:jc w:val="both"/>
            </w:pPr>
            <w:r>
              <w:rPr>
                <w:rFonts w:ascii="宋体" w:hAnsi="宋体" w:eastAsia="宋体"/>
                <w:sz w:val="16"/>
              </w:rPr>
              <w:t>保障“12345平台”正常运转，两平台融合发展顺利畅通，接通率保持在95%以上。全量收集解决好群众困难诉求，最大程度倾听群众呼声，确保群众来电“打得进、接得通、办得好”。保障正常接通群众来电</w:t>
            </w:r>
            <w:r>
              <w:rPr>
                <w:rFonts w:hint="eastAsia" w:ascii="宋体" w:hAnsi="宋体"/>
                <w:sz w:val="16"/>
                <w:lang w:eastAsia="zh-CN"/>
              </w:rPr>
              <w:t>座席</w:t>
            </w:r>
            <w:r>
              <w:rPr>
                <w:rFonts w:ascii="宋体" w:hAnsi="宋体" w:eastAsia="宋体"/>
                <w:sz w:val="16"/>
              </w:rPr>
              <w:t>≥64人，接通率达到95%以上。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39C99C">
            <w:pPr>
              <w:jc w:val="both"/>
            </w:pPr>
            <w:r>
              <w:rPr>
                <w:rFonts w:hint="eastAsia" w:ascii="宋体" w:hAnsi="宋体"/>
                <w:sz w:val="16"/>
                <w:lang w:eastAsia="zh-CN"/>
              </w:rPr>
              <w:t>截至2024</w:t>
            </w:r>
            <w:r>
              <w:rPr>
                <w:rFonts w:ascii="宋体" w:hAnsi="宋体" w:eastAsia="宋体"/>
                <w:sz w:val="16"/>
              </w:rPr>
              <w:t>年12月31日，本项目实际形成支出148.32万元，已完成本项目已完成正常接听来电话务台席64人，保障12345热线接通率99.77%，话务工单及时办结率97.81%,初步达到了最大程度倾听群众呼声，确保群众来电“打得进、接得通、办得好”的工作效益，回访满意率达到97.39%。</w:t>
            </w:r>
          </w:p>
        </w:tc>
      </w:tr>
      <w:tr w14:paraId="14F6BD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F2E59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409A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E222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A9F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D2DA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7BC7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85B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656C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77682">
            <w:pPr>
              <w:jc w:val="center"/>
            </w:pPr>
            <w:r>
              <w:rPr>
                <w:rFonts w:ascii="宋体" w:hAnsi="宋体" w:eastAsia="宋体"/>
                <w:sz w:val="16"/>
              </w:rPr>
              <w:t>偏差原因分析及改进措施</w:t>
            </w:r>
          </w:p>
        </w:tc>
      </w:tr>
      <w:tr w14:paraId="76BBE0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8AA4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E654F">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C5C7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91429">
            <w:pPr>
              <w:jc w:val="center"/>
            </w:pPr>
            <w:r>
              <w:rPr>
                <w:rFonts w:ascii="宋体" w:hAnsi="宋体" w:eastAsia="宋体"/>
                <w:sz w:val="16"/>
              </w:rPr>
              <w:t>正常接听来电话务台席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B5A00">
            <w:pPr>
              <w:jc w:val="center"/>
            </w:pPr>
            <w:r>
              <w:rPr>
                <w:rFonts w:ascii="宋体" w:hAnsi="宋体" w:eastAsia="宋体"/>
                <w:sz w:val="16"/>
              </w:rPr>
              <w: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C32FC">
            <w:pPr>
              <w:jc w:val="center"/>
            </w:pPr>
            <w:r>
              <w:rPr>
                <w:rFonts w:ascii="宋体" w:hAnsi="宋体" w:eastAsia="宋体"/>
                <w:sz w:val="16"/>
              </w:rPr>
              <w:t>=64人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D341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A874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FF9C0">
            <w:pPr>
              <w:jc w:val="center"/>
            </w:pPr>
          </w:p>
        </w:tc>
      </w:tr>
      <w:tr w14:paraId="01AF7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176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7F5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4573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833B">
            <w:pPr>
              <w:jc w:val="center"/>
            </w:pPr>
            <w:r>
              <w:rPr>
                <w:rFonts w:ascii="宋体" w:hAnsi="宋体" w:eastAsia="宋体"/>
                <w:sz w:val="16"/>
              </w:rPr>
              <w:t>工单办结率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AA2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C817">
            <w:pPr>
              <w:jc w:val="center"/>
            </w:pPr>
            <w:r>
              <w:rPr>
                <w:rFonts w:ascii="宋体" w:hAnsi="宋体" w:eastAsia="宋体"/>
                <w:sz w:val="16"/>
              </w:rPr>
              <w:t>=99.53%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A10F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D44E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23189">
            <w:pPr>
              <w:jc w:val="center"/>
            </w:pPr>
          </w:p>
        </w:tc>
      </w:tr>
      <w:tr w14:paraId="66A71F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F2AB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157D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1509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C7A2E">
            <w:pPr>
              <w:jc w:val="center"/>
            </w:pPr>
            <w:r>
              <w:rPr>
                <w:rFonts w:ascii="宋体" w:hAnsi="宋体" w:eastAsia="宋体"/>
                <w:sz w:val="16"/>
              </w:rPr>
              <w:t>工单即时办结率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0019">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642EB">
            <w:pPr>
              <w:jc w:val="center"/>
            </w:pPr>
            <w:r>
              <w:rPr>
                <w:rFonts w:ascii="宋体" w:hAnsi="宋体" w:eastAsia="宋体"/>
                <w:sz w:val="16"/>
              </w:rPr>
              <w:t>=97.81%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E93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38B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46218">
            <w:pPr>
              <w:jc w:val="center"/>
            </w:pPr>
          </w:p>
        </w:tc>
      </w:tr>
      <w:tr w14:paraId="485CB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EDA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8E82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8DF9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EF9E4">
            <w:pPr>
              <w:jc w:val="center"/>
            </w:pPr>
            <w:r>
              <w:rPr>
                <w:rFonts w:ascii="宋体" w:hAnsi="宋体" w:eastAsia="宋体"/>
                <w:sz w:val="16"/>
              </w:rPr>
              <w:t>“12345”链路费成本（万元）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95CA3">
            <w:pPr>
              <w:jc w:val="center"/>
            </w:pPr>
            <w:r>
              <w:rPr>
                <w:rFonts w:ascii="宋体" w:hAnsi="宋体" w:eastAsia="宋体"/>
                <w:sz w:val="16"/>
              </w:rPr>
              <w:t>≤4.40万元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B860C">
            <w:pPr>
              <w:jc w:val="center"/>
            </w:pPr>
            <w:r>
              <w:rPr>
                <w:rFonts w:ascii="宋体" w:hAnsi="宋体" w:eastAsia="宋体"/>
                <w:sz w:val="16"/>
              </w:rPr>
              <w:t>=4.4万元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F7E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DF1C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7DDF5">
            <w:pPr>
              <w:jc w:val="center"/>
            </w:pPr>
          </w:p>
        </w:tc>
      </w:tr>
      <w:tr w14:paraId="288FEF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17B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11E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C32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F0FAC">
            <w:pPr>
              <w:jc w:val="center"/>
            </w:pPr>
            <w:r>
              <w:rPr>
                <w:rFonts w:ascii="宋体" w:hAnsi="宋体" w:eastAsia="宋体"/>
                <w:sz w:val="16"/>
              </w:rPr>
              <w:t>“12345”话务中心房屋租赁成本（万元）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A353D">
            <w:pPr>
              <w:jc w:val="center"/>
            </w:pPr>
            <w:r>
              <w:rPr>
                <w:rFonts w:ascii="宋体" w:hAnsi="宋体" w:eastAsia="宋体"/>
                <w:sz w:val="16"/>
              </w:rPr>
              <w:t>≤25.56万元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7D40C">
            <w:pPr>
              <w:jc w:val="center"/>
            </w:pPr>
            <w:r>
              <w:rPr>
                <w:rFonts w:ascii="宋体" w:hAnsi="宋体" w:eastAsia="宋体"/>
                <w:sz w:val="16"/>
              </w:rPr>
              <w:t>=25.56万元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3C8B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2168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0963">
            <w:pPr>
              <w:jc w:val="center"/>
            </w:pPr>
          </w:p>
        </w:tc>
      </w:tr>
      <w:tr w14:paraId="5CA101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BFB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02A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B73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EF43C">
            <w:pPr>
              <w:jc w:val="center"/>
            </w:pPr>
            <w:r>
              <w:rPr>
                <w:rFonts w:ascii="宋体" w:hAnsi="宋体" w:eastAsia="宋体"/>
                <w:sz w:val="16"/>
              </w:rPr>
              <w:t>“12345”话务中心工资及其他成本（万元）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7F64">
            <w:pPr>
              <w:jc w:val="center"/>
            </w:pPr>
            <w:r>
              <w:rPr>
                <w:rFonts w:ascii="宋体" w:hAnsi="宋体" w:eastAsia="宋体"/>
                <w:sz w:val="16"/>
              </w:rPr>
              <w:t>≤120万元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7621F">
            <w:pPr>
              <w:jc w:val="center"/>
            </w:pPr>
            <w:r>
              <w:rPr>
                <w:rFonts w:ascii="宋体" w:hAnsi="宋体" w:eastAsia="宋体"/>
                <w:sz w:val="16"/>
              </w:rPr>
              <w:t>=118.36万元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C504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CD802">
            <w:pPr>
              <w:jc w:val="center"/>
            </w:pPr>
            <w:r>
              <w:rPr>
                <w:rFonts w:ascii="宋体" w:hAnsi="宋体" w:eastAsia="宋体"/>
                <w:sz w:val="16"/>
              </w:rPr>
              <w:t>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2D4A0">
            <w:pPr>
              <w:jc w:val="center"/>
            </w:pPr>
            <w:r>
              <w:rPr>
                <w:rFonts w:ascii="宋体" w:hAnsi="宋体" w:eastAsia="宋体"/>
                <w:sz w:val="16"/>
              </w:rPr>
              <w:t>偏差原因：为节约成本，水电费支出减少。改进措施：根据计划，合理安排资金支出工作。</w:t>
            </w:r>
          </w:p>
        </w:tc>
      </w:tr>
      <w:tr w14:paraId="6F19CB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A6C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2ADD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55D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1C221">
            <w:pPr>
              <w:jc w:val="center"/>
            </w:pPr>
            <w:r>
              <w:rPr>
                <w:rFonts w:ascii="宋体" w:hAnsi="宋体" w:eastAsia="宋体"/>
                <w:sz w:val="16"/>
              </w:rPr>
              <w:t>热线接通率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EC61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24D3">
            <w:pPr>
              <w:jc w:val="center"/>
            </w:pPr>
            <w:r>
              <w:rPr>
                <w:rFonts w:ascii="宋体" w:hAnsi="宋体" w:eastAsia="宋体"/>
                <w:sz w:val="16"/>
              </w:rPr>
              <w:t>=99.77%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ACD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DEB9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37703">
            <w:pPr>
              <w:jc w:val="center"/>
            </w:pPr>
          </w:p>
        </w:tc>
      </w:tr>
      <w:tr w14:paraId="580F59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6FB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B7F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4171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C31F1">
            <w:pPr>
              <w:jc w:val="center"/>
            </w:pPr>
            <w:r>
              <w:rPr>
                <w:rFonts w:ascii="宋体" w:hAnsi="宋体" w:eastAsia="宋体"/>
                <w:sz w:val="16"/>
              </w:rPr>
              <w:t>回访满意率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D0A4C">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2D6E">
            <w:pPr>
              <w:jc w:val="center"/>
            </w:pPr>
            <w:r>
              <w:rPr>
                <w:rFonts w:ascii="宋体" w:hAnsi="宋体" w:eastAsia="宋体"/>
                <w:sz w:val="16"/>
              </w:rPr>
              <w:t>=97.39%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5EC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F5C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303A5">
            <w:pPr>
              <w:jc w:val="center"/>
            </w:pPr>
          </w:p>
        </w:tc>
      </w:tr>
      <w:tr w14:paraId="49638D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32490">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75D2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BF6DF">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7FD6A0">
            <w:pPr>
              <w:jc w:val="center"/>
            </w:pPr>
            <w:r>
              <w:rPr>
                <w:rFonts w:ascii="宋体" w:hAnsi="宋体" w:eastAsia="宋体"/>
                <w:sz w:val="16"/>
              </w:rPr>
              <w:t>99.27分</w:t>
            </w:r>
          </w:p>
        </w:tc>
      </w:tr>
    </w:tbl>
    <w:p w14:paraId="582F5C3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4D0D8A">
        <w:tblPrEx>
          <w:tblCellMar>
            <w:top w:w="0" w:type="dxa"/>
            <w:left w:w="108" w:type="dxa"/>
            <w:bottom w:w="0" w:type="dxa"/>
            <w:right w:w="108" w:type="dxa"/>
          </w:tblCellMar>
        </w:tblPrEx>
        <w:tc>
          <w:tcPr>
            <w:tcW w:w="8847" w:type="dxa"/>
            <w:gridSpan w:val="9"/>
            <w:vAlign w:val="center"/>
          </w:tcPr>
          <w:p w14:paraId="43F8A699">
            <w:pPr>
              <w:jc w:val="center"/>
            </w:pPr>
            <w:r>
              <w:rPr>
                <w:rFonts w:ascii="宋体" w:hAnsi="宋体" w:eastAsia="宋体"/>
                <w:sz w:val="24"/>
              </w:rPr>
              <w:t>项目支出绩效自评表</w:t>
            </w:r>
          </w:p>
        </w:tc>
      </w:tr>
      <w:tr w14:paraId="7D84B30E">
        <w:tblPrEx>
          <w:tblCellMar>
            <w:top w:w="0" w:type="dxa"/>
            <w:left w:w="108" w:type="dxa"/>
            <w:bottom w:w="0" w:type="dxa"/>
            <w:right w:w="108" w:type="dxa"/>
          </w:tblCellMar>
        </w:tblPrEx>
        <w:tc>
          <w:tcPr>
            <w:tcW w:w="8847" w:type="dxa"/>
            <w:gridSpan w:val="9"/>
            <w:vAlign w:val="center"/>
          </w:tcPr>
          <w:p w14:paraId="6D93D95C">
            <w:pPr>
              <w:jc w:val="center"/>
            </w:pPr>
            <w:r>
              <w:rPr>
                <w:rFonts w:ascii="宋体" w:hAnsi="宋体" w:eastAsia="宋体"/>
                <w:sz w:val="24"/>
              </w:rPr>
              <w:t>(2024年度)</w:t>
            </w:r>
          </w:p>
        </w:tc>
      </w:tr>
      <w:tr w14:paraId="285DB8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4901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2A43CB">
            <w:pPr>
              <w:jc w:val="center"/>
            </w:pPr>
            <w:r>
              <w:rPr>
                <w:rFonts w:ascii="宋体" w:hAnsi="宋体" w:eastAsia="宋体"/>
                <w:sz w:val="16"/>
              </w:rPr>
              <w:t>2024年自治区援疆干部人员南疆工作补贴</w:t>
            </w:r>
          </w:p>
        </w:tc>
      </w:tr>
      <w:tr w14:paraId="126B50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A07F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DBADF5">
            <w:pPr>
              <w:jc w:val="center"/>
            </w:pPr>
            <w:r>
              <w:rPr>
                <w:rFonts w:ascii="宋体" w:hAnsi="宋体" w:eastAsia="宋体"/>
                <w:sz w:val="16"/>
              </w:rPr>
              <w:t>新疆维吾尔自治区和田地区行政服务和公共资源交易中心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E5E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DB5C67">
            <w:pPr>
              <w:jc w:val="center"/>
            </w:pPr>
            <w:r>
              <w:rPr>
                <w:rFonts w:ascii="宋体" w:hAnsi="宋体" w:eastAsia="宋体"/>
                <w:sz w:val="16"/>
              </w:rPr>
              <w:t>新疆维吾尔自治区和田地区行政服务和公共资源交易中心</w:t>
            </w:r>
          </w:p>
        </w:tc>
      </w:tr>
      <w:tr w14:paraId="7B72A1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851F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791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225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9A63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29C4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55B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6A51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86B0E">
            <w:pPr>
              <w:jc w:val="center"/>
            </w:pPr>
            <w:r>
              <w:rPr>
                <w:rFonts w:ascii="宋体" w:hAnsi="宋体" w:eastAsia="宋体"/>
                <w:sz w:val="16"/>
              </w:rPr>
              <w:t>得分</w:t>
            </w:r>
          </w:p>
        </w:tc>
      </w:tr>
      <w:tr w14:paraId="07672F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A9B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25FE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41F72">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86720">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02B88">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073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A330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C4BBE">
            <w:pPr>
              <w:jc w:val="center"/>
            </w:pPr>
            <w:r>
              <w:rPr>
                <w:rFonts w:ascii="宋体" w:hAnsi="宋体" w:eastAsia="宋体"/>
                <w:sz w:val="16"/>
              </w:rPr>
              <w:t>10.00分</w:t>
            </w:r>
          </w:p>
        </w:tc>
      </w:tr>
      <w:tr w14:paraId="487599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089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8CC1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E6E98">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93766">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D2A99">
            <w:pPr>
              <w:jc w:val="center"/>
            </w:pPr>
            <w:r>
              <w:rPr>
                <w:rFonts w:ascii="宋体" w:hAnsi="宋体" w:eastAsia="宋体"/>
                <w:sz w:val="16"/>
              </w:rPr>
              <w:t>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8D1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35D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9BF6B">
            <w:pPr>
              <w:jc w:val="center"/>
            </w:pPr>
            <w:r>
              <w:rPr>
                <w:rFonts w:ascii="宋体" w:hAnsi="宋体" w:eastAsia="宋体"/>
                <w:sz w:val="16"/>
              </w:rPr>
              <w:t>—</w:t>
            </w:r>
          </w:p>
        </w:tc>
      </w:tr>
      <w:tr w14:paraId="74605F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43F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09B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77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28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BC7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A5B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DC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5B9B">
            <w:pPr>
              <w:jc w:val="center"/>
            </w:pPr>
            <w:r>
              <w:rPr>
                <w:rFonts w:ascii="宋体" w:hAnsi="宋体" w:eastAsia="宋体"/>
                <w:sz w:val="16"/>
              </w:rPr>
              <w:t>—</w:t>
            </w:r>
          </w:p>
        </w:tc>
      </w:tr>
      <w:tr w14:paraId="41CF94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F53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1A1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A6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03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DCC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B5B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197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9AA68">
            <w:pPr>
              <w:jc w:val="center"/>
            </w:pPr>
            <w:r>
              <w:rPr>
                <w:rFonts w:ascii="宋体" w:hAnsi="宋体" w:eastAsia="宋体"/>
                <w:sz w:val="16"/>
              </w:rPr>
              <w:t>—</w:t>
            </w:r>
          </w:p>
        </w:tc>
      </w:tr>
      <w:tr w14:paraId="148242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E3A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F983F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6A7207">
            <w:pPr>
              <w:jc w:val="center"/>
            </w:pPr>
            <w:r>
              <w:rPr>
                <w:rFonts w:ascii="宋体" w:hAnsi="宋体" w:eastAsia="宋体"/>
                <w:sz w:val="16"/>
              </w:rPr>
              <w:t>实际完成情况</w:t>
            </w:r>
          </w:p>
        </w:tc>
      </w:tr>
      <w:tr w14:paraId="3B3ADC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20CE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2AB8DB">
            <w:pPr>
              <w:jc w:val="both"/>
            </w:pPr>
            <w:r>
              <w:rPr>
                <w:rFonts w:ascii="宋体" w:hAnsi="宋体" w:eastAsia="宋体"/>
                <w:sz w:val="16"/>
              </w:rPr>
              <w:t>项目总投资4.46万元，保障4名援疆干部在疆工作期间，享受所在地区同类同级人员新疆地区津贴，进一步加强援疆干部人才队伍建设，提高援疆干部人才工作的积极性、主动性，争取使受益人员满意度达到95%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E2E6A0">
            <w:pPr>
              <w:jc w:val="both"/>
            </w:pPr>
            <w:r>
              <w:rPr>
                <w:rFonts w:hint="eastAsia" w:ascii="宋体" w:hAnsi="宋体"/>
                <w:sz w:val="16"/>
                <w:lang w:eastAsia="zh-CN"/>
              </w:rPr>
              <w:t>截至2024</w:t>
            </w:r>
            <w:r>
              <w:rPr>
                <w:rFonts w:ascii="宋体" w:hAnsi="宋体" w:eastAsia="宋体"/>
                <w:sz w:val="16"/>
              </w:rPr>
              <w:t>年12月31日，本项目已完成1-12月4名援疆干部在疆工作期间，享受所在地区同类同级人员新疆地区津贴，项目实际形成支出4.46万元，执行率100%，达到了提升援疆干部人才服务社会的工作积极性的效益，受益人员满意度100%。</w:t>
            </w:r>
          </w:p>
        </w:tc>
      </w:tr>
      <w:tr w14:paraId="759C8D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B973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AE24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C6B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2AE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E0C3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FC4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31F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B243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3BA3A">
            <w:pPr>
              <w:jc w:val="center"/>
            </w:pPr>
            <w:r>
              <w:rPr>
                <w:rFonts w:ascii="宋体" w:hAnsi="宋体" w:eastAsia="宋体"/>
                <w:sz w:val="16"/>
              </w:rPr>
              <w:t>偏差原因分析及改进措施</w:t>
            </w:r>
          </w:p>
        </w:tc>
      </w:tr>
      <w:tr w14:paraId="2381DC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8896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0D65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26DE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278C9">
            <w:pPr>
              <w:jc w:val="center"/>
            </w:pPr>
            <w:r>
              <w:rPr>
                <w:rFonts w:ascii="宋体" w:hAnsi="宋体" w:eastAsia="宋体"/>
                <w:sz w:val="16"/>
              </w:rPr>
              <w:t>援疆干部保障人数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25B4C">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5D847">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2DD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E60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0E3DB">
            <w:pPr>
              <w:jc w:val="center"/>
            </w:pPr>
          </w:p>
        </w:tc>
      </w:tr>
      <w:tr w14:paraId="7C1806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8A7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527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E92A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01DCE">
            <w:pPr>
              <w:jc w:val="center"/>
            </w:pPr>
            <w:r>
              <w:rPr>
                <w:rFonts w:ascii="宋体" w:hAnsi="宋体" w:eastAsia="宋体"/>
                <w:sz w:val="16"/>
              </w:rPr>
              <w:t>发放月数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A81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8F7C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FB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31F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CEE4E">
            <w:pPr>
              <w:jc w:val="center"/>
            </w:pPr>
          </w:p>
        </w:tc>
      </w:tr>
      <w:tr w14:paraId="2558ED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AF5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8EA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8084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35DA2">
            <w:pPr>
              <w:jc w:val="center"/>
            </w:pPr>
            <w:r>
              <w:rPr>
                <w:rFonts w:ascii="宋体" w:hAnsi="宋体" w:eastAsia="宋体"/>
                <w:sz w:val="16"/>
              </w:rPr>
              <w:t>援疆干部南疆津贴发放率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D06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D39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8FE3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FDA3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DF15F">
            <w:pPr>
              <w:jc w:val="center"/>
            </w:pPr>
          </w:p>
        </w:tc>
      </w:tr>
      <w:tr w14:paraId="1AF09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D44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56F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EF57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E26E">
            <w:pPr>
              <w:jc w:val="center"/>
            </w:pPr>
            <w:r>
              <w:rPr>
                <w:rFonts w:ascii="宋体" w:hAnsi="宋体" w:eastAsia="宋体"/>
                <w:sz w:val="16"/>
              </w:rPr>
              <w:t>工作任务完成率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DAF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8BF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F6E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185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4F29">
            <w:pPr>
              <w:jc w:val="center"/>
            </w:pPr>
          </w:p>
        </w:tc>
      </w:tr>
      <w:tr w14:paraId="64EBDC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541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F7F3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2C7D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787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78583">
            <w:pPr>
              <w:jc w:val="center"/>
            </w:pPr>
            <w:r>
              <w:rPr>
                <w:rFonts w:ascii="宋体" w:hAnsi="宋体" w:eastAsia="宋体"/>
                <w:sz w:val="16"/>
              </w:rPr>
              <w:t>2024年12月31日前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D7C07">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9B7B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BF0A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375C3">
            <w:pPr>
              <w:jc w:val="center"/>
            </w:pPr>
          </w:p>
        </w:tc>
      </w:tr>
      <w:tr w14:paraId="1C069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F4F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9BA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578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FF5C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834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E73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F19D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A0C3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3B60">
            <w:pPr>
              <w:jc w:val="center"/>
            </w:pPr>
          </w:p>
        </w:tc>
      </w:tr>
      <w:tr w14:paraId="673995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105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86BC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139C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37F39">
            <w:pPr>
              <w:jc w:val="center"/>
            </w:pPr>
            <w:r>
              <w:rPr>
                <w:rFonts w:ascii="宋体" w:hAnsi="宋体" w:eastAsia="宋体"/>
                <w:sz w:val="16"/>
              </w:rPr>
              <w:t>南疆津贴月均发放金额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DF31C">
            <w:pPr>
              <w:jc w:val="center"/>
            </w:pPr>
            <w:r>
              <w:rPr>
                <w:rFonts w:ascii="宋体" w:hAnsi="宋体" w:eastAsia="宋体"/>
                <w:sz w:val="16"/>
              </w:rPr>
              <w:t>≤3720元/月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A8005">
            <w:pPr>
              <w:jc w:val="center"/>
            </w:pPr>
            <w:r>
              <w:rPr>
                <w:rFonts w:ascii="宋体" w:hAnsi="宋体" w:eastAsia="宋体"/>
                <w:sz w:val="16"/>
              </w:rPr>
              <w:t>=3720元/月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FA62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2B3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CCBF2">
            <w:pPr>
              <w:jc w:val="center"/>
            </w:pPr>
          </w:p>
        </w:tc>
      </w:tr>
      <w:tr w14:paraId="614764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2CD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94F0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3F12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6321B">
            <w:pPr>
              <w:jc w:val="center"/>
            </w:pPr>
            <w:r>
              <w:rPr>
                <w:rFonts w:ascii="宋体" w:hAnsi="宋体" w:eastAsia="宋体"/>
                <w:sz w:val="16"/>
              </w:rPr>
              <w:t>提升援疆干部人才服务社会的工作积极性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ACCB7">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29E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B5C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41EF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ADA29">
            <w:pPr>
              <w:jc w:val="center"/>
            </w:pPr>
          </w:p>
        </w:tc>
      </w:tr>
      <w:tr w14:paraId="27695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09F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3C0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7A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13F0D">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A51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F1A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777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B0B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22984">
            <w:pPr>
              <w:jc w:val="center"/>
            </w:pPr>
          </w:p>
        </w:tc>
      </w:tr>
      <w:tr w14:paraId="1E6012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696A6">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E04C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590B">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8186D5">
            <w:pPr>
              <w:jc w:val="center"/>
            </w:pPr>
            <w:r>
              <w:rPr>
                <w:rFonts w:ascii="宋体" w:hAnsi="宋体" w:eastAsia="宋体"/>
                <w:sz w:val="16"/>
              </w:rPr>
              <w:t>100分</w:t>
            </w:r>
          </w:p>
        </w:tc>
      </w:tr>
    </w:tbl>
    <w:p w14:paraId="7A53990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0E5F5E">
        <w:tblPrEx>
          <w:tblCellMar>
            <w:top w:w="0" w:type="dxa"/>
            <w:left w:w="108" w:type="dxa"/>
            <w:bottom w:w="0" w:type="dxa"/>
            <w:right w:w="108" w:type="dxa"/>
          </w:tblCellMar>
        </w:tblPrEx>
        <w:tc>
          <w:tcPr>
            <w:tcW w:w="8847" w:type="dxa"/>
            <w:gridSpan w:val="9"/>
            <w:vAlign w:val="center"/>
          </w:tcPr>
          <w:p w14:paraId="1B58455C">
            <w:pPr>
              <w:jc w:val="center"/>
            </w:pPr>
            <w:r>
              <w:rPr>
                <w:rFonts w:ascii="宋体" w:hAnsi="宋体" w:eastAsia="宋体"/>
                <w:sz w:val="24"/>
              </w:rPr>
              <w:t>项目支出绩效自评表</w:t>
            </w:r>
          </w:p>
        </w:tc>
      </w:tr>
      <w:tr w14:paraId="00CDC831">
        <w:tblPrEx>
          <w:tblCellMar>
            <w:top w:w="0" w:type="dxa"/>
            <w:left w:w="108" w:type="dxa"/>
            <w:bottom w:w="0" w:type="dxa"/>
            <w:right w:w="108" w:type="dxa"/>
          </w:tblCellMar>
        </w:tblPrEx>
        <w:tc>
          <w:tcPr>
            <w:tcW w:w="8847" w:type="dxa"/>
            <w:gridSpan w:val="9"/>
            <w:vAlign w:val="center"/>
          </w:tcPr>
          <w:p w14:paraId="2FF09F2A">
            <w:pPr>
              <w:jc w:val="center"/>
            </w:pPr>
            <w:r>
              <w:rPr>
                <w:rFonts w:ascii="宋体" w:hAnsi="宋体" w:eastAsia="宋体"/>
                <w:sz w:val="24"/>
              </w:rPr>
              <w:t>(2024年度)</w:t>
            </w:r>
          </w:p>
        </w:tc>
      </w:tr>
      <w:tr w14:paraId="74AB88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254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CE2E43">
            <w:pPr>
              <w:jc w:val="center"/>
            </w:pPr>
            <w:r>
              <w:rPr>
                <w:rFonts w:ascii="宋体" w:hAnsi="宋体" w:eastAsia="宋体"/>
                <w:sz w:val="16"/>
              </w:rPr>
              <w:t>政务大厅保障经费</w:t>
            </w:r>
          </w:p>
        </w:tc>
      </w:tr>
      <w:tr w14:paraId="35973E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5265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2DE303">
            <w:pPr>
              <w:jc w:val="center"/>
            </w:pPr>
            <w:r>
              <w:rPr>
                <w:rFonts w:ascii="宋体" w:hAnsi="宋体" w:eastAsia="宋体"/>
                <w:sz w:val="16"/>
              </w:rPr>
              <w:t>新疆维吾尔自治区和田地区行政服务和公共资源交易中心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4C3A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FCA58F">
            <w:pPr>
              <w:jc w:val="center"/>
            </w:pPr>
            <w:r>
              <w:rPr>
                <w:rFonts w:ascii="宋体" w:hAnsi="宋体" w:eastAsia="宋体"/>
                <w:sz w:val="16"/>
              </w:rPr>
              <w:t>新疆维吾尔自治区和田地区行政服务和公共资源交易中心</w:t>
            </w:r>
          </w:p>
        </w:tc>
      </w:tr>
      <w:tr w14:paraId="7E4000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B270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5DB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C051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CFFA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91F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5F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387C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22BAC">
            <w:pPr>
              <w:jc w:val="center"/>
            </w:pPr>
            <w:r>
              <w:rPr>
                <w:rFonts w:ascii="宋体" w:hAnsi="宋体" w:eastAsia="宋体"/>
                <w:sz w:val="16"/>
              </w:rPr>
              <w:t>得分</w:t>
            </w:r>
          </w:p>
        </w:tc>
      </w:tr>
      <w:tr w14:paraId="0311D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A12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B13F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416F">
            <w:pPr>
              <w:jc w:val="center"/>
            </w:pPr>
            <w:r>
              <w:rPr>
                <w:rFonts w:ascii="宋体" w:hAnsi="宋体" w:eastAsia="宋体"/>
                <w:sz w:val="16"/>
              </w:rPr>
              <w:t>1,032.30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4C21B">
            <w:pPr>
              <w:jc w:val="center"/>
            </w:pPr>
            <w:r>
              <w:rPr>
                <w:rFonts w:ascii="宋体" w:hAnsi="宋体" w:eastAsia="宋体"/>
                <w:sz w:val="16"/>
              </w:rPr>
              <w:t>1,032.30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B4D5A">
            <w:pPr>
              <w:jc w:val="center"/>
            </w:pPr>
            <w:r>
              <w:rPr>
                <w:rFonts w:ascii="宋体" w:hAnsi="宋体" w:eastAsia="宋体"/>
                <w:sz w:val="16"/>
              </w:rPr>
              <w:t>1,028.84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64C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84833">
            <w:pPr>
              <w:jc w:val="center"/>
            </w:pPr>
            <w:r>
              <w:rPr>
                <w:rFonts w:ascii="宋体" w:hAnsi="宋体" w:eastAsia="宋体"/>
                <w:sz w:val="16"/>
              </w:rPr>
              <w:t xml:space="preserve">99.66%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8E434">
            <w:pPr>
              <w:jc w:val="center"/>
            </w:pPr>
            <w:r>
              <w:rPr>
                <w:rFonts w:ascii="宋体" w:hAnsi="宋体" w:eastAsia="宋体"/>
                <w:sz w:val="16"/>
              </w:rPr>
              <w:t>9.91分</w:t>
            </w:r>
          </w:p>
        </w:tc>
      </w:tr>
      <w:tr w14:paraId="741F10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B80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11D9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C1129">
            <w:pPr>
              <w:jc w:val="center"/>
            </w:pPr>
            <w:r>
              <w:rPr>
                <w:rFonts w:ascii="宋体" w:hAnsi="宋体" w:eastAsia="宋体"/>
                <w:sz w:val="16"/>
              </w:rPr>
              <w:t>1,032.30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E87F6">
            <w:pPr>
              <w:jc w:val="center"/>
            </w:pPr>
            <w:r>
              <w:rPr>
                <w:rFonts w:ascii="宋体" w:hAnsi="宋体" w:eastAsia="宋体"/>
                <w:sz w:val="16"/>
              </w:rPr>
              <w:t>1,032.30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EA8AB">
            <w:pPr>
              <w:jc w:val="center"/>
            </w:pPr>
            <w:r>
              <w:rPr>
                <w:rFonts w:ascii="宋体" w:hAnsi="宋体" w:eastAsia="宋体"/>
                <w:sz w:val="16"/>
              </w:rPr>
              <w:t>1,028.84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2DF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B0F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6AA6F">
            <w:pPr>
              <w:jc w:val="center"/>
            </w:pPr>
            <w:r>
              <w:rPr>
                <w:rFonts w:ascii="宋体" w:hAnsi="宋体" w:eastAsia="宋体"/>
                <w:sz w:val="16"/>
              </w:rPr>
              <w:t>—</w:t>
            </w:r>
          </w:p>
        </w:tc>
      </w:tr>
      <w:tr w14:paraId="0ECF43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0CD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CB1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8FC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7C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140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53E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40F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51F3C">
            <w:pPr>
              <w:jc w:val="center"/>
            </w:pPr>
            <w:r>
              <w:rPr>
                <w:rFonts w:ascii="宋体" w:hAnsi="宋体" w:eastAsia="宋体"/>
                <w:sz w:val="16"/>
              </w:rPr>
              <w:t>—</w:t>
            </w:r>
          </w:p>
        </w:tc>
      </w:tr>
      <w:tr w14:paraId="60E3D9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E56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EDFD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CD8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13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66A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256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C7D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87BF8">
            <w:pPr>
              <w:jc w:val="center"/>
            </w:pPr>
            <w:r>
              <w:rPr>
                <w:rFonts w:ascii="宋体" w:hAnsi="宋体" w:eastAsia="宋体"/>
                <w:sz w:val="16"/>
              </w:rPr>
              <w:t>—</w:t>
            </w:r>
          </w:p>
        </w:tc>
      </w:tr>
      <w:tr w14:paraId="268195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3602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6F80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DE434">
            <w:pPr>
              <w:jc w:val="center"/>
            </w:pPr>
            <w:r>
              <w:rPr>
                <w:rFonts w:ascii="宋体" w:hAnsi="宋体" w:eastAsia="宋体"/>
                <w:sz w:val="16"/>
              </w:rPr>
              <w:t>实际完成情况</w:t>
            </w:r>
          </w:p>
        </w:tc>
      </w:tr>
      <w:tr w14:paraId="1700D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8F30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63452D">
            <w:pPr>
              <w:jc w:val="both"/>
            </w:pPr>
            <w:r>
              <w:rPr>
                <w:rFonts w:ascii="宋体" w:hAnsi="宋体" w:eastAsia="宋体"/>
                <w:sz w:val="16"/>
              </w:rPr>
              <w:t>项目总投资1032.3万元，保障自收自支、差额人员、临聘人员工资、社保等；保障对外窗口数量78个， 保障政务大厅网络维修维护、</w:t>
            </w:r>
            <w:r>
              <w:rPr>
                <w:rFonts w:hint="eastAsia" w:ascii="宋体" w:hAnsi="宋体"/>
                <w:sz w:val="16"/>
                <w:lang w:eastAsia="zh-CN"/>
              </w:rPr>
              <w:t>车辆</w:t>
            </w:r>
            <w:r>
              <w:rPr>
                <w:rFonts w:ascii="宋体" w:hAnsi="宋体" w:eastAsia="宋体"/>
                <w:sz w:val="16"/>
              </w:rPr>
              <w:t>正常运转，为企为民服务的意识进一步提高，群众的获得感、幸福感进一步增强，公共资源交易高质量发展取得更大的突破。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FC425A">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共计支出1028.84万元，预算执行率99.66%。完成了1.自收自支、差额人员、临聘人员32人，对外窗口数量78个，办公用房租赁面积27000平方米。2.完成了政务大厅网络维修维护、</w:t>
            </w:r>
            <w:r>
              <w:rPr>
                <w:rFonts w:hint="eastAsia" w:ascii="宋体" w:hAnsi="宋体"/>
                <w:sz w:val="16"/>
                <w:lang w:eastAsia="zh-CN"/>
              </w:rPr>
              <w:t>车辆</w:t>
            </w:r>
            <w:r>
              <w:rPr>
                <w:rFonts w:ascii="宋体" w:hAnsi="宋体" w:eastAsia="宋体"/>
                <w:sz w:val="16"/>
              </w:rPr>
              <w:t>正常运转，为企为民服务的意识进一步提高，群众的获得感、幸福感进一步增强，公共资源交易高质量发展取得更大的突破，办事群众满意度达到98%。</w:t>
            </w:r>
          </w:p>
        </w:tc>
      </w:tr>
      <w:tr w14:paraId="295370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EA6E3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7BC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F51E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E55E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13B4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F87E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CB9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5667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34AD">
            <w:pPr>
              <w:jc w:val="center"/>
            </w:pPr>
            <w:r>
              <w:rPr>
                <w:rFonts w:ascii="宋体" w:hAnsi="宋体" w:eastAsia="宋体"/>
                <w:sz w:val="16"/>
              </w:rPr>
              <w:t>偏差原因分析及改进措施</w:t>
            </w:r>
          </w:p>
        </w:tc>
      </w:tr>
      <w:tr w14:paraId="3462BD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A17D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4D75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BE79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A5A61">
            <w:pPr>
              <w:jc w:val="center"/>
            </w:pPr>
            <w:r>
              <w:rPr>
                <w:rFonts w:ascii="宋体" w:hAnsi="宋体" w:eastAsia="宋体"/>
                <w:sz w:val="16"/>
              </w:rPr>
              <w:t>保障自收自支、差额人员、临聘人员数量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93A75">
            <w:pPr>
              <w:jc w:val="center"/>
            </w:pPr>
            <w:r>
              <w:rPr>
                <w:rFonts w:ascii="宋体" w:hAnsi="宋体" w:eastAsia="宋体"/>
                <w:sz w:val="16"/>
              </w:rPr>
              <w: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0139F">
            <w:pPr>
              <w:jc w:val="center"/>
            </w:pPr>
            <w:r>
              <w:rPr>
                <w:rFonts w:ascii="宋体" w:hAnsi="宋体" w:eastAsia="宋体"/>
                <w:sz w:val="16"/>
              </w:rPr>
              <w: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C95B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8598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0410F">
            <w:pPr>
              <w:jc w:val="center"/>
            </w:pPr>
          </w:p>
        </w:tc>
      </w:tr>
      <w:tr w14:paraId="73115B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231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3B1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E4A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A04A">
            <w:pPr>
              <w:jc w:val="center"/>
            </w:pPr>
            <w:r>
              <w:rPr>
                <w:rFonts w:ascii="宋体" w:hAnsi="宋体" w:eastAsia="宋体"/>
                <w:sz w:val="16"/>
              </w:rPr>
              <w:t>办公用房租赁面积（平方米）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A787E">
            <w:pPr>
              <w:jc w:val="center"/>
            </w:pPr>
            <w:r>
              <w:rPr>
                <w:rFonts w:ascii="宋体" w:hAnsi="宋体" w:eastAsia="宋体"/>
                <w:sz w:val="16"/>
              </w:rPr>
              <w:t>=27000平方米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FD4C0">
            <w:pPr>
              <w:jc w:val="center"/>
            </w:pPr>
            <w:r>
              <w:rPr>
                <w:rFonts w:ascii="宋体" w:hAnsi="宋体" w:eastAsia="宋体"/>
                <w:sz w:val="16"/>
              </w:rPr>
              <w:t>=27000平方米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799E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54E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CAC17">
            <w:pPr>
              <w:jc w:val="center"/>
            </w:pPr>
          </w:p>
        </w:tc>
      </w:tr>
      <w:tr w14:paraId="5BF1B4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7EF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936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8D4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87F43">
            <w:pPr>
              <w:jc w:val="center"/>
            </w:pPr>
            <w:r>
              <w:rPr>
                <w:rFonts w:ascii="宋体" w:hAnsi="宋体" w:eastAsia="宋体"/>
                <w:sz w:val="16"/>
              </w:rPr>
              <w:t>保障对外窗口数量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15006">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25DD2">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7B2C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9D6B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FCECC">
            <w:pPr>
              <w:jc w:val="center"/>
            </w:pPr>
          </w:p>
        </w:tc>
      </w:tr>
      <w:tr w14:paraId="374D03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74B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8B5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8BE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D1552">
            <w:pPr>
              <w:jc w:val="center"/>
            </w:pPr>
            <w:r>
              <w:rPr>
                <w:rFonts w:ascii="宋体" w:hAnsi="宋体" w:eastAsia="宋体"/>
                <w:sz w:val="16"/>
              </w:rPr>
              <w:t>政务大厅维修维护验收合格率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758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8AF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3F7F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AD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8FE32">
            <w:pPr>
              <w:jc w:val="center"/>
            </w:pPr>
          </w:p>
        </w:tc>
      </w:tr>
      <w:tr w14:paraId="74EEDC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5AA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981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F45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0145">
            <w:pPr>
              <w:jc w:val="center"/>
            </w:pPr>
            <w:r>
              <w:rPr>
                <w:rFonts w:ascii="宋体" w:hAnsi="宋体" w:eastAsia="宋体"/>
                <w:sz w:val="16"/>
              </w:rPr>
              <w:t>政务大厅正常运转保障率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E05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F8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239A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CF10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196AF">
            <w:pPr>
              <w:jc w:val="center"/>
            </w:pPr>
          </w:p>
        </w:tc>
      </w:tr>
      <w:tr w14:paraId="7447F5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4547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CEA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29BC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8FBC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668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D79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9813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476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91499">
            <w:pPr>
              <w:jc w:val="center"/>
            </w:pPr>
          </w:p>
        </w:tc>
      </w:tr>
      <w:tr w14:paraId="2A63E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15B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72B2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7A4A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8D03F">
            <w:pPr>
              <w:jc w:val="center"/>
            </w:pPr>
            <w:r>
              <w:rPr>
                <w:rFonts w:ascii="宋体" w:hAnsi="宋体" w:eastAsia="宋体"/>
                <w:sz w:val="16"/>
              </w:rPr>
              <w:t>临聘、自收自支、差额人员工资（万元）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AF185">
            <w:pPr>
              <w:jc w:val="center"/>
            </w:pPr>
            <w:r>
              <w:rPr>
                <w:rFonts w:ascii="宋体" w:hAnsi="宋体" w:eastAsia="宋体"/>
                <w:sz w:val="16"/>
              </w:rPr>
              <w:t>≤54.53万元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61BAB">
            <w:pPr>
              <w:jc w:val="center"/>
            </w:pPr>
            <w:r>
              <w:rPr>
                <w:rFonts w:ascii="宋体" w:hAnsi="宋体" w:eastAsia="宋体"/>
                <w:sz w:val="16"/>
              </w:rPr>
              <w:t>=53.03万元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144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98F06">
            <w:pPr>
              <w:jc w:val="center"/>
            </w:pPr>
            <w:r>
              <w:rPr>
                <w:rFonts w:ascii="宋体" w:hAnsi="宋体" w:eastAsia="宋体"/>
                <w:sz w:val="16"/>
              </w:rPr>
              <w:t>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3BA41">
            <w:pPr>
              <w:jc w:val="center"/>
            </w:pPr>
            <w:r>
              <w:rPr>
                <w:rFonts w:ascii="宋体" w:hAnsi="宋体" w:eastAsia="宋体"/>
                <w:sz w:val="16"/>
              </w:rPr>
              <w:t>偏差原因：因机构改革，2024年6月份2名差额人员划转至和田地区数字化发展局，工资减少，改进措施：合理筹划资金。</w:t>
            </w:r>
          </w:p>
        </w:tc>
      </w:tr>
      <w:tr w14:paraId="16971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832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E10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824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D1DF">
            <w:pPr>
              <w:jc w:val="center"/>
            </w:pPr>
            <w:r>
              <w:rPr>
                <w:rFonts w:ascii="宋体" w:hAnsi="宋体" w:eastAsia="宋体"/>
                <w:sz w:val="16"/>
              </w:rPr>
              <w:t>保障政务大厅运转经费（万元）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FCBD1">
            <w:pPr>
              <w:jc w:val="center"/>
            </w:pPr>
            <w:r>
              <w:rPr>
                <w:rFonts w:ascii="宋体" w:hAnsi="宋体" w:eastAsia="宋体"/>
                <w:sz w:val="16"/>
              </w:rPr>
              <w:t>≤977.77万元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5362E">
            <w:pPr>
              <w:jc w:val="center"/>
            </w:pPr>
            <w:r>
              <w:rPr>
                <w:rFonts w:ascii="宋体" w:hAnsi="宋体" w:eastAsia="宋体"/>
                <w:sz w:val="16"/>
              </w:rPr>
              <w:t>=975.81万元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5F5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E849A">
            <w:pPr>
              <w:jc w:val="center"/>
            </w:pPr>
            <w:r>
              <w:rPr>
                <w:rFonts w:ascii="宋体" w:hAnsi="宋体" w:eastAsia="宋体"/>
                <w:sz w:val="16"/>
              </w:rPr>
              <w:t>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83AE">
            <w:pPr>
              <w:jc w:val="center"/>
            </w:pPr>
            <w:r>
              <w:rPr>
                <w:rFonts w:ascii="宋体" w:hAnsi="宋体" w:eastAsia="宋体"/>
                <w:sz w:val="16"/>
              </w:rPr>
              <w:t>偏差原因：根据中央八项规定，各项开支减少。改进措施：合理筹划资金。</w:t>
            </w:r>
          </w:p>
        </w:tc>
      </w:tr>
      <w:tr w14:paraId="59A58A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F5F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8A4A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9B24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E8BE7">
            <w:pPr>
              <w:jc w:val="center"/>
            </w:pPr>
            <w:r>
              <w:rPr>
                <w:rFonts w:ascii="宋体" w:hAnsi="宋体" w:eastAsia="宋体"/>
                <w:sz w:val="16"/>
              </w:rPr>
              <w:t>提高单位服务能力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196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D82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ED5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028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63803">
            <w:pPr>
              <w:jc w:val="center"/>
            </w:pPr>
          </w:p>
        </w:tc>
      </w:tr>
      <w:tr w14:paraId="4C2CA7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4A7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11B6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1EDB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5078A">
            <w:pPr>
              <w:jc w:val="center"/>
            </w:pPr>
            <w:r>
              <w:rPr>
                <w:rFonts w:ascii="宋体" w:hAnsi="宋体" w:eastAsia="宋体"/>
                <w:sz w:val="16"/>
              </w:rPr>
              <w:t>办事群众满意度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95F9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9399A">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59F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EB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AF313">
            <w:pPr>
              <w:jc w:val="center"/>
            </w:pPr>
          </w:p>
        </w:tc>
      </w:tr>
      <w:tr w14:paraId="558B99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1D93B">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5607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F1357">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E0E7F1">
            <w:pPr>
              <w:jc w:val="center"/>
            </w:pPr>
            <w:r>
              <w:rPr>
                <w:rFonts w:ascii="宋体" w:hAnsi="宋体" w:eastAsia="宋体"/>
                <w:sz w:val="16"/>
              </w:rPr>
              <w:t>99.17分</w:t>
            </w:r>
          </w:p>
        </w:tc>
      </w:tr>
    </w:tbl>
    <w:p w14:paraId="0A4A951A">
      <w:r>
        <w:br w:type="page"/>
      </w:r>
    </w:p>
    <w:p w14:paraId="247CD331">
      <w:pPr>
        <w:spacing w:line="640" w:lineRule="exact"/>
        <w:ind w:firstLine="640"/>
        <w:jc w:val="both"/>
        <w:outlineLvl w:val="2"/>
      </w:pPr>
      <w:r>
        <w:rPr>
          <w:rFonts w:ascii="黑体" w:hAnsi="黑体" w:eastAsia="黑体"/>
          <w:sz w:val="32"/>
        </w:rPr>
        <w:t>十二、其他需说明的事项</w:t>
      </w:r>
    </w:p>
    <w:p w14:paraId="4999FEBE">
      <w:pPr>
        <w:spacing w:line="580" w:lineRule="exact"/>
        <w:ind w:firstLine="640"/>
        <w:jc w:val="both"/>
      </w:pPr>
      <w:r>
        <w:rPr>
          <w:rFonts w:ascii="仿宋_GB2312" w:hAnsi="仿宋_GB2312" w:eastAsia="仿宋_GB2312"/>
          <w:b w:val="0"/>
          <w:sz w:val="32"/>
        </w:rPr>
        <w:t>本单位无其他需说明的事项。</w:t>
      </w:r>
    </w:p>
    <w:p w14:paraId="065EA507">
      <w:r>
        <w:br w:type="page"/>
      </w:r>
    </w:p>
    <w:p w14:paraId="357F8EF1">
      <w:pPr>
        <w:spacing w:line="240" w:lineRule="auto"/>
        <w:jc w:val="center"/>
        <w:outlineLvl w:val="1"/>
      </w:pPr>
      <w:r>
        <w:rPr>
          <w:rFonts w:ascii="黑体" w:hAnsi="黑体" w:eastAsia="黑体"/>
          <w:sz w:val="32"/>
        </w:rPr>
        <w:t>第三部分 专业名词解释</w:t>
      </w:r>
    </w:p>
    <w:p w14:paraId="3494A3E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8224F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B729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F3F25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AE08B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6A35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9300C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16452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37073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5189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9D143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8F137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FC434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B2C53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3C593A">
      <w:r>
        <w:br w:type="page"/>
      </w:r>
    </w:p>
    <w:p w14:paraId="55D9AA43">
      <w:pPr>
        <w:spacing w:line="240" w:lineRule="auto"/>
        <w:jc w:val="center"/>
        <w:outlineLvl w:val="1"/>
      </w:pPr>
      <w:r>
        <w:rPr>
          <w:rFonts w:ascii="黑体" w:hAnsi="黑体" w:eastAsia="黑体"/>
          <w:sz w:val="32"/>
        </w:rPr>
        <w:t>第四部分 部门决算报表（见附表）</w:t>
      </w:r>
    </w:p>
    <w:p w14:paraId="0709A3A8">
      <w:pPr>
        <w:spacing w:line="240" w:lineRule="auto"/>
        <w:ind w:firstLine="640"/>
        <w:jc w:val="both"/>
      </w:pPr>
      <w:r>
        <w:rPr>
          <w:rFonts w:ascii="仿宋_GB2312" w:hAnsi="仿宋_GB2312" w:eastAsia="仿宋_GB2312"/>
          <w:b w:val="0"/>
          <w:sz w:val="32"/>
        </w:rPr>
        <w:t>一、《收入支出决算总表》</w:t>
      </w:r>
    </w:p>
    <w:p w14:paraId="2CCA865A">
      <w:pPr>
        <w:spacing w:line="240" w:lineRule="auto"/>
        <w:ind w:firstLine="640"/>
        <w:jc w:val="both"/>
      </w:pPr>
      <w:r>
        <w:rPr>
          <w:rFonts w:ascii="仿宋_GB2312" w:hAnsi="仿宋_GB2312" w:eastAsia="仿宋_GB2312"/>
          <w:b w:val="0"/>
          <w:sz w:val="32"/>
        </w:rPr>
        <w:t>二、《收入决算表》</w:t>
      </w:r>
    </w:p>
    <w:p w14:paraId="064D3F1F">
      <w:pPr>
        <w:spacing w:line="240" w:lineRule="auto"/>
        <w:ind w:firstLine="640"/>
        <w:jc w:val="both"/>
      </w:pPr>
      <w:r>
        <w:rPr>
          <w:rFonts w:ascii="仿宋_GB2312" w:hAnsi="仿宋_GB2312" w:eastAsia="仿宋_GB2312"/>
          <w:b w:val="0"/>
          <w:sz w:val="32"/>
        </w:rPr>
        <w:t>三、《支出决算表》</w:t>
      </w:r>
    </w:p>
    <w:p w14:paraId="25B3014B">
      <w:pPr>
        <w:spacing w:line="240" w:lineRule="auto"/>
        <w:ind w:firstLine="640"/>
        <w:jc w:val="both"/>
      </w:pPr>
      <w:r>
        <w:rPr>
          <w:rFonts w:ascii="仿宋_GB2312" w:hAnsi="仿宋_GB2312" w:eastAsia="仿宋_GB2312"/>
          <w:b w:val="0"/>
          <w:sz w:val="32"/>
        </w:rPr>
        <w:t>四、《财政拨款收入支出决算总表》</w:t>
      </w:r>
    </w:p>
    <w:p w14:paraId="3CCD4E86">
      <w:pPr>
        <w:spacing w:line="240" w:lineRule="auto"/>
        <w:ind w:firstLine="640"/>
        <w:jc w:val="both"/>
      </w:pPr>
      <w:r>
        <w:rPr>
          <w:rFonts w:ascii="仿宋_GB2312" w:hAnsi="仿宋_GB2312" w:eastAsia="仿宋_GB2312"/>
          <w:b w:val="0"/>
          <w:sz w:val="32"/>
        </w:rPr>
        <w:t>五、《一般公共预算财政拨款支出决算表》</w:t>
      </w:r>
    </w:p>
    <w:p w14:paraId="09E5E0FB">
      <w:pPr>
        <w:spacing w:line="240" w:lineRule="auto"/>
        <w:ind w:firstLine="640"/>
        <w:jc w:val="both"/>
      </w:pPr>
      <w:r>
        <w:rPr>
          <w:rFonts w:ascii="仿宋_GB2312" w:hAnsi="仿宋_GB2312" w:eastAsia="仿宋_GB2312"/>
          <w:b w:val="0"/>
          <w:sz w:val="32"/>
        </w:rPr>
        <w:t>六、《一般公共预算财政拨款基本支出决算表》</w:t>
      </w:r>
    </w:p>
    <w:p w14:paraId="4040E2CF">
      <w:pPr>
        <w:spacing w:line="240" w:lineRule="auto"/>
        <w:ind w:firstLine="640"/>
        <w:jc w:val="both"/>
      </w:pPr>
      <w:r>
        <w:rPr>
          <w:rFonts w:ascii="仿宋_GB2312" w:hAnsi="仿宋_GB2312" w:eastAsia="仿宋_GB2312"/>
          <w:b w:val="0"/>
          <w:sz w:val="32"/>
        </w:rPr>
        <w:t>七、《政府性基金预算财政拨款收入支出决算表》</w:t>
      </w:r>
    </w:p>
    <w:p w14:paraId="2B3EC793">
      <w:pPr>
        <w:spacing w:line="240" w:lineRule="auto"/>
        <w:ind w:firstLine="640"/>
        <w:jc w:val="both"/>
      </w:pPr>
      <w:r>
        <w:rPr>
          <w:rFonts w:ascii="仿宋_GB2312" w:hAnsi="仿宋_GB2312" w:eastAsia="仿宋_GB2312"/>
          <w:b w:val="0"/>
          <w:sz w:val="32"/>
        </w:rPr>
        <w:t>八、《国有资本经营预算财政拨款收入支出决算表》</w:t>
      </w:r>
    </w:p>
    <w:p w14:paraId="7D5FD07C">
      <w:pPr>
        <w:spacing w:line="240" w:lineRule="auto"/>
        <w:ind w:firstLine="640"/>
        <w:jc w:val="both"/>
      </w:pPr>
      <w:r>
        <w:rPr>
          <w:rFonts w:ascii="仿宋_GB2312" w:hAnsi="仿宋_GB2312" w:eastAsia="仿宋_GB2312"/>
          <w:b w:val="0"/>
          <w:sz w:val="32"/>
        </w:rPr>
        <w:t>九、《财政拨款“三公”经费支出决算表》</w:t>
      </w:r>
    </w:p>
    <w:p w14:paraId="0BFB39D8">
      <w:pPr>
        <w:spacing w:line="240" w:lineRule="auto"/>
        <w:ind w:firstLine="640"/>
        <w:jc w:val="both"/>
      </w:pPr>
    </w:p>
    <w:p w14:paraId="501FC96F">
      <w:pPr>
        <w:spacing w:line="240" w:lineRule="auto"/>
        <w:ind w:firstLine="640"/>
        <w:jc w:val="both"/>
      </w:pPr>
    </w:p>
    <w:p w14:paraId="4ADD0C0E">
      <w:pPr>
        <w:spacing w:line="240" w:lineRule="auto"/>
        <w:ind w:firstLine="640"/>
        <w:jc w:val="both"/>
      </w:pPr>
    </w:p>
    <w:p w14:paraId="16CF9824">
      <w:pPr>
        <w:spacing w:line="240" w:lineRule="auto"/>
        <w:ind w:firstLine="640"/>
        <w:jc w:val="both"/>
      </w:pPr>
    </w:p>
    <w:p w14:paraId="5E1CE5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6239E2"/>
    <w:rsid w:val="05983EBC"/>
    <w:rsid w:val="06792773"/>
    <w:rsid w:val="087E4839"/>
    <w:rsid w:val="09A729D8"/>
    <w:rsid w:val="0A3C58E8"/>
    <w:rsid w:val="0A7B4867"/>
    <w:rsid w:val="0B8C3ECC"/>
    <w:rsid w:val="0C1D721E"/>
    <w:rsid w:val="0C3613A3"/>
    <w:rsid w:val="0C7227A7"/>
    <w:rsid w:val="0DCA6EF7"/>
    <w:rsid w:val="0E4B1576"/>
    <w:rsid w:val="0E92431C"/>
    <w:rsid w:val="0EA04331"/>
    <w:rsid w:val="0F9811B3"/>
    <w:rsid w:val="0FB53ED3"/>
    <w:rsid w:val="112428AE"/>
    <w:rsid w:val="11E15093"/>
    <w:rsid w:val="120E0809"/>
    <w:rsid w:val="19071D6C"/>
    <w:rsid w:val="19B5554D"/>
    <w:rsid w:val="1B8F2D19"/>
    <w:rsid w:val="1C317E4F"/>
    <w:rsid w:val="1C472464"/>
    <w:rsid w:val="1DAF458D"/>
    <w:rsid w:val="1DEA1934"/>
    <w:rsid w:val="1E086ACE"/>
    <w:rsid w:val="1E4B5CA5"/>
    <w:rsid w:val="1EAA4A5F"/>
    <w:rsid w:val="1F0926FA"/>
    <w:rsid w:val="1F5627F9"/>
    <w:rsid w:val="1F587A0B"/>
    <w:rsid w:val="1FA94802"/>
    <w:rsid w:val="200A35A2"/>
    <w:rsid w:val="2064678E"/>
    <w:rsid w:val="20BC0B75"/>
    <w:rsid w:val="20DD6197"/>
    <w:rsid w:val="2110504E"/>
    <w:rsid w:val="21F317F2"/>
    <w:rsid w:val="2241392C"/>
    <w:rsid w:val="23BC04D2"/>
    <w:rsid w:val="24305BD3"/>
    <w:rsid w:val="249D3020"/>
    <w:rsid w:val="25275618"/>
    <w:rsid w:val="25A50377"/>
    <w:rsid w:val="27CE017C"/>
    <w:rsid w:val="27CF2642"/>
    <w:rsid w:val="282459E2"/>
    <w:rsid w:val="289E0A26"/>
    <w:rsid w:val="29116777"/>
    <w:rsid w:val="2A053397"/>
    <w:rsid w:val="2A444FB1"/>
    <w:rsid w:val="2A6064E2"/>
    <w:rsid w:val="2C1965E9"/>
    <w:rsid w:val="2D1136DF"/>
    <w:rsid w:val="2D3277B7"/>
    <w:rsid w:val="2DAE0E44"/>
    <w:rsid w:val="2DB00085"/>
    <w:rsid w:val="2E855ADF"/>
    <w:rsid w:val="2FD27414"/>
    <w:rsid w:val="313F1D52"/>
    <w:rsid w:val="318029AB"/>
    <w:rsid w:val="31C63837"/>
    <w:rsid w:val="326F0A17"/>
    <w:rsid w:val="3277581B"/>
    <w:rsid w:val="335A5FF4"/>
    <w:rsid w:val="33C36CFB"/>
    <w:rsid w:val="350519CA"/>
    <w:rsid w:val="38006E2C"/>
    <w:rsid w:val="3914510A"/>
    <w:rsid w:val="3B1220C9"/>
    <w:rsid w:val="3B9B1DDA"/>
    <w:rsid w:val="3C2D1349"/>
    <w:rsid w:val="3D5275AC"/>
    <w:rsid w:val="3EA7725F"/>
    <w:rsid w:val="3EC014A1"/>
    <w:rsid w:val="40834692"/>
    <w:rsid w:val="423A32B2"/>
    <w:rsid w:val="423C0CB4"/>
    <w:rsid w:val="427B5743"/>
    <w:rsid w:val="42E64542"/>
    <w:rsid w:val="44934F90"/>
    <w:rsid w:val="464B7E04"/>
    <w:rsid w:val="464F7E64"/>
    <w:rsid w:val="46901EEE"/>
    <w:rsid w:val="469C74D2"/>
    <w:rsid w:val="46BD331C"/>
    <w:rsid w:val="47445515"/>
    <w:rsid w:val="4B4C0111"/>
    <w:rsid w:val="4BB23021"/>
    <w:rsid w:val="4F03120B"/>
    <w:rsid w:val="4F3F074E"/>
    <w:rsid w:val="4F522031"/>
    <w:rsid w:val="501A61F6"/>
    <w:rsid w:val="50AC3F40"/>
    <w:rsid w:val="50DB5F45"/>
    <w:rsid w:val="52F92565"/>
    <w:rsid w:val="54381BC3"/>
    <w:rsid w:val="543D17CB"/>
    <w:rsid w:val="55DA564E"/>
    <w:rsid w:val="56E07045"/>
    <w:rsid w:val="583059FA"/>
    <w:rsid w:val="587E6212"/>
    <w:rsid w:val="5AFC6609"/>
    <w:rsid w:val="5E4749DA"/>
    <w:rsid w:val="5FA17648"/>
    <w:rsid w:val="5FD320BD"/>
    <w:rsid w:val="60DE4D57"/>
    <w:rsid w:val="613409CB"/>
    <w:rsid w:val="61A46A97"/>
    <w:rsid w:val="62556F61"/>
    <w:rsid w:val="62DD7D21"/>
    <w:rsid w:val="646B1ECF"/>
    <w:rsid w:val="65BF216B"/>
    <w:rsid w:val="65D97752"/>
    <w:rsid w:val="664C500C"/>
    <w:rsid w:val="67D111AB"/>
    <w:rsid w:val="68467C21"/>
    <w:rsid w:val="68DB0208"/>
    <w:rsid w:val="68DF36D5"/>
    <w:rsid w:val="69846A0E"/>
    <w:rsid w:val="69AD798C"/>
    <w:rsid w:val="6B68175F"/>
    <w:rsid w:val="6B8B5C99"/>
    <w:rsid w:val="6BD16CE0"/>
    <w:rsid w:val="6C351D82"/>
    <w:rsid w:val="6CA7198F"/>
    <w:rsid w:val="6CD04811"/>
    <w:rsid w:val="6D8919A8"/>
    <w:rsid w:val="6E0F7A08"/>
    <w:rsid w:val="6E801ABC"/>
    <w:rsid w:val="70C85717"/>
    <w:rsid w:val="71473612"/>
    <w:rsid w:val="718F7F65"/>
    <w:rsid w:val="73423603"/>
    <w:rsid w:val="737A5923"/>
    <w:rsid w:val="73DE4104"/>
    <w:rsid w:val="73FB6630"/>
    <w:rsid w:val="74CE04EC"/>
    <w:rsid w:val="74E76DCD"/>
    <w:rsid w:val="76660D7C"/>
    <w:rsid w:val="77711C8D"/>
    <w:rsid w:val="77ED6F44"/>
    <w:rsid w:val="78A15636"/>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6155</Words>
  <Characters>6891</Characters>
  <Lines>0</Lines>
  <Paragraphs>0</Paragraphs>
  <TotalTime>31</TotalTime>
  <ScaleCrop>false</ScaleCrop>
  <LinksUpToDate>false</LinksUpToDate>
  <CharactersWithSpaces>6899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婷婷</cp:lastModifiedBy>
  <cp:lastPrinted>2025-09-10T09:45:00Z</cp:lastPrinted>
  <dcterms:modified xsi:type="dcterms:W3CDTF">2025-09-15T02:46:24Z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