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新疆维吾尔自治区和田地区供销合作社联合社2024年度部门决算</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（1）宣传贯彻执行国家有关法律、法规和政策，承担政府委托的任务，行使政府授予的职权，执行中华供销全国总社的决议、决定，履行应承担的各项义务。</w:t>
      </w:r>
    </w:p>
    <w:p>
      <w:pPr>
        <w:spacing w:line="580" w:lineRule="exact"/>
        <w:ind w:firstLine="640"/>
        <w:jc w:val="both"/>
      </w:pPr>
      <w:r>
        <w:rPr>
          <w:rFonts w:ascii="仿宋_GB2312" w:hAnsi="仿宋_GB2312" w:eastAsia="仿宋_GB2312"/>
          <w:sz w:val="32"/>
        </w:rPr>
        <w:t>（2）研究制定全地区供销社系统的发展思路和远景规划，指导全地区供销合作社的改革发展，包括强化为“三农”服务功能，完善经营机制，强化监督管理，提高经济效益。</w:t>
      </w:r>
    </w:p>
    <w:p>
      <w:pPr>
        <w:spacing w:line="580" w:lineRule="exact"/>
        <w:ind w:firstLine="640"/>
        <w:jc w:val="both"/>
      </w:pPr>
      <w:r>
        <w:rPr>
          <w:rFonts w:ascii="仿宋_GB2312" w:hAnsi="仿宋_GB2312" w:eastAsia="仿宋_GB2312"/>
          <w:sz w:val="32"/>
        </w:rPr>
        <w:t>（3）向政府和有关部门反映农牧民社员及供销合作社的意见与要求，争取扶持政策，维护各级供销合作社的合法权益。</w:t>
      </w:r>
    </w:p>
    <w:p>
      <w:pPr>
        <w:spacing w:line="580" w:lineRule="exact"/>
        <w:ind w:firstLine="640"/>
        <w:jc w:val="both"/>
      </w:pPr>
      <w:r>
        <w:rPr>
          <w:rFonts w:ascii="仿宋_GB2312" w:hAnsi="仿宋_GB2312" w:eastAsia="仿宋_GB2312"/>
          <w:sz w:val="32"/>
        </w:rPr>
        <w:t>（4）按照政府授权负责对重要农业生产资料、生活资料、棉花及其他农副产品的经营、协调和管理。</w:t>
      </w:r>
    </w:p>
    <w:p>
      <w:pPr>
        <w:spacing w:line="580" w:lineRule="exact"/>
        <w:ind w:firstLine="640"/>
        <w:jc w:val="both"/>
      </w:pPr>
      <w:r>
        <w:rPr>
          <w:rFonts w:ascii="仿宋_GB2312" w:hAnsi="仿宋_GB2312" w:eastAsia="仿宋_GB2312"/>
          <w:sz w:val="32"/>
        </w:rPr>
        <w:t>（5）指导全地区供销合作社经营与发展，加强基层社建设，做好为农业、农村、农民的综合服务，积极参与农业开发工作，引导农民发展商品生产和有组织地进入市场，促进城乡物资交流，为发展城乡经济服务。</w:t>
      </w:r>
    </w:p>
    <w:p>
      <w:pPr>
        <w:spacing w:line="580" w:lineRule="exact"/>
        <w:ind w:firstLine="640"/>
        <w:jc w:val="both"/>
      </w:pPr>
      <w:r>
        <w:rPr>
          <w:rFonts w:ascii="仿宋_GB2312" w:hAnsi="仿宋_GB2312" w:eastAsia="仿宋_GB2312"/>
          <w:sz w:val="32"/>
        </w:rPr>
        <w:t>（6）指导全地区供销合作社发挥人才、信息、科技、经济的优势，组织协调社员之间的关系，发挥群体优势，参与市场竞争，增强经济实力。</w:t>
      </w:r>
    </w:p>
    <w:p>
      <w:pPr>
        <w:spacing w:line="580" w:lineRule="exact"/>
        <w:ind w:firstLine="640"/>
        <w:jc w:val="both"/>
      </w:pPr>
      <w:r>
        <w:rPr>
          <w:rFonts w:ascii="仿宋_GB2312" w:hAnsi="仿宋_GB2312" w:eastAsia="仿宋_GB2312"/>
          <w:sz w:val="32"/>
        </w:rPr>
        <w:t>（7）宣传贯彻党中央、国务院有关农村经济工作和社会发展的方针政策，指导全地区供销合作社加强精神文明建设，加强职工教育和培训。</w:t>
      </w:r>
    </w:p>
    <w:p>
      <w:pPr>
        <w:spacing w:line="580" w:lineRule="exact"/>
        <w:ind w:firstLine="640"/>
        <w:jc w:val="both"/>
      </w:pPr>
      <w:r>
        <w:rPr>
          <w:rFonts w:ascii="仿宋_GB2312" w:hAnsi="仿宋_GB2312" w:eastAsia="仿宋_GB2312"/>
          <w:sz w:val="32"/>
        </w:rPr>
        <w:t>（8）开展对外经济、技术、贸易交流，加强同周边地区的友好往来，发展与全疆其他地、市、县供销合作社的经济、技术、人才、信息合作关系。</w:t>
      </w:r>
    </w:p>
    <w:p>
      <w:pPr>
        <w:spacing w:line="580" w:lineRule="exact"/>
        <w:ind w:firstLine="640"/>
        <w:jc w:val="both"/>
      </w:pPr>
      <w:r>
        <w:rPr>
          <w:rFonts w:ascii="仿宋_GB2312" w:hAnsi="仿宋_GB2312" w:eastAsia="仿宋_GB2312"/>
          <w:sz w:val="32"/>
        </w:rPr>
        <w:t>（9）管理和运营本级社有资产，对直属企业</w:t>
      </w:r>
      <w:r>
        <w:rPr>
          <w:rFonts w:hint="eastAsia" w:ascii="仿宋_GB2312" w:hAnsi="仿宋_GB2312" w:eastAsia="仿宋_GB2312"/>
          <w:sz w:val="32"/>
          <w:lang w:eastAsia="zh-CN"/>
        </w:rPr>
        <w:t>单位</w:t>
      </w:r>
      <w:r>
        <w:rPr>
          <w:rFonts w:ascii="仿宋_GB2312" w:hAnsi="仿宋_GB2312" w:eastAsia="仿宋_GB2312"/>
          <w:sz w:val="32"/>
        </w:rPr>
        <w:t>行使出资人职能。</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新疆维吾尔自治区和田地区供销合作社联合社2024年度，实有人数38人，其中：在职人员15人，增加1人；离休人员1人，增加0人；退休人员22人,减少3人。</w:t>
      </w:r>
    </w:p>
    <w:p>
      <w:pPr>
        <w:spacing w:line="580" w:lineRule="exact"/>
        <w:ind w:firstLine="640"/>
        <w:jc w:val="both"/>
      </w:pPr>
      <w:r>
        <w:rPr>
          <w:rFonts w:ascii="仿宋_GB2312" w:hAnsi="仿宋_GB2312" w:eastAsia="仿宋_GB2312"/>
          <w:sz w:val="32"/>
        </w:rPr>
        <w:t>新疆维吾尔自治区和田地区供销合作社联合社无下属预算单位，下设4个科室，分别是：经济发展科、合作</w:t>
      </w:r>
      <w:r>
        <w:rPr>
          <w:rFonts w:hint="eastAsia" w:ascii="仿宋_GB2312" w:hAnsi="仿宋_GB2312" w:eastAsia="仿宋_GB2312"/>
          <w:sz w:val="32"/>
          <w:lang w:eastAsia="zh-CN"/>
        </w:rPr>
        <w:t>经济</w:t>
      </w:r>
      <w:r>
        <w:rPr>
          <w:rFonts w:ascii="仿宋_GB2312" w:hAnsi="仿宋_GB2312" w:eastAsia="仿宋_GB2312"/>
          <w:sz w:val="32"/>
        </w:rPr>
        <w:t>科、办公室、监事会办公室。</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2024年度收入总计544.14万元，</w:t>
      </w:r>
      <w:r>
        <w:rPr>
          <w:rFonts w:ascii="仿宋_GB2312" w:hAnsi="仿宋_GB2312" w:eastAsia="仿宋_GB2312"/>
          <w:b w:val="0"/>
          <w:sz w:val="32"/>
        </w:rPr>
        <w:t>其中：本年收入合计544.00万元，使用非财政拨款结余（含专用结余）0.00万元，年初结转和结余0.14万元。</w:t>
      </w:r>
    </w:p>
    <w:p>
      <w:pPr>
        <w:spacing w:line="580" w:lineRule="exact"/>
        <w:ind w:firstLine="640"/>
        <w:jc w:val="both"/>
      </w:pPr>
      <w:r>
        <w:rPr>
          <w:rFonts w:ascii="仿宋_GB2312" w:hAnsi="仿宋_GB2312" w:eastAsia="仿宋_GB2312"/>
          <w:b/>
          <w:sz w:val="32"/>
        </w:rPr>
        <w:t>2024年度支出总计544.14万元，</w:t>
      </w:r>
      <w:r>
        <w:rPr>
          <w:rFonts w:ascii="仿宋_GB2312" w:hAnsi="仿宋_GB2312" w:eastAsia="仿宋_GB2312"/>
          <w:b w:val="0"/>
          <w:sz w:val="32"/>
        </w:rPr>
        <w:t>其中：本年支出合计543.98万元，结余分配0.00万元，年末结转和结余0.15万元。</w:t>
      </w:r>
    </w:p>
    <w:p>
      <w:pPr>
        <w:spacing w:line="580" w:lineRule="exact"/>
        <w:ind w:firstLine="640"/>
        <w:jc w:val="both"/>
      </w:pPr>
      <w:r>
        <w:rPr>
          <w:rFonts w:ascii="仿宋_GB2312" w:hAnsi="仿宋_GB2312" w:eastAsia="仿宋_GB2312"/>
          <w:b w:val="0"/>
          <w:sz w:val="32"/>
        </w:rPr>
        <w:t>收入支出总体与上年相比，增加45.45万元，增长9.11%，主要原因是：本年在职人员增加</w:t>
      </w:r>
      <w:r>
        <w:rPr>
          <w:rFonts w:hint="eastAsia" w:ascii="仿宋_GB2312" w:hAnsi="仿宋_GB2312" w:eastAsia="仿宋_GB2312"/>
          <w:b w:val="0"/>
          <w:sz w:val="32"/>
          <w:lang w:eastAsia="zh-CN"/>
        </w:rPr>
        <w:t>，工资调整。在职人员</w:t>
      </w:r>
      <w:r>
        <w:rPr>
          <w:rFonts w:ascii="仿宋_GB2312" w:hAnsi="仿宋_GB2312" w:eastAsia="仿宋_GB2312"/>
          <w:b w:val="0"/>
          <w:sz w:val="32"/>
        </w:rPr>
        <w:t>社保、公积金基数调增，人员经费增加；本年退休人员去世，</w:t>
      </w:r>
      <w:r>
        <w:rPr>
          <w:rFonts w:hint="eastAsia" w:ascii="仿宋_GB2312" w:hAnsi="仿宋_GB2312" w:eastAsia="仿宋_GB2312"/>
          <w:b w:val="0"/>
          <w:sz w:val="32"/>
          <w:lang w:eastAsia="zh-CN"/>
        </w:rPr>
        <w:t>追加</w:t>
      </w:r>
      <w:r>
        <w:rPr>
          <w:rFonts w:ascii="仿宋_GB2312" w:hAnsi="仿宋_GB2312" w:eastAsia="仿宋_GB2312"/>
          <w:b w:val="0"/>
          <w:sz w:val="32"/>
        </w:rPr>
        <w:t>丧葬费及抚恤金。</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本年收入544.00万元，</w:t>
      </w:r>
      <w:r>
        <w:rPr>
          <w:rFonts w:ascii="仿宋_GB2312" w:hAnsi="仿宋_GB2312" w:eastAsia="仿宋_GB2312"/>
          <w:b w:val="0"/>
          <w:sz w:val="32"/>
        </w:rPr>
        <w:t>其中：财政拨款收入543.97万元，占99.99%；上级补助收入0.00万元，占0.00%；事业收入0.00万元，占0.00%；经营收入0.00万元，占0.00%；附属单位上缴收入0.00万元，占0.00%；其他收入0.02万元，占0.004%。</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本年支出543.98万元，</w:t>
      </w:r>
      <w:r>
        <w:rPr>
          <w:rFonts w:ascii="仿宋_GB2312" w:hAnsi="仿宋_GB2312" w:eastAsia="仿宋_GB2312"/>
          <w:b w:val="0"/>
          <w:sz w:val="32"/>
        </w:rPr>
        <w:t>其中：基本支出531.98万元，占97.79%；项目支出12.00万元，占2.21%；上缴上级支出0.00万元，占0.00%；经营支出0.00万元，占0.00%；对附属单位补助支出0.00万元，占0.00%。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2024年度财政拨款收入总计543.97万元，</w:t>
      </w:r>
      <w:r>
        <w:rPr>
          <w:rFonts w:ascii="仿宋_GB2312" w:hAnsi="仿宋_GB2312" w:eastAsia="仿宋_GB2312"/>
          <w:b w:val="0"/>
          <w:sz w:val="32"/>
        </w:rPr>
        <w:t>其中：年初财政拨款结转和结余0.00万元，本年财政拨款收入543.97万元。</w:t>
      </w:r>
      <w:r>
        <w:rPr>
          <w:rFonts w:ascii="仿宋_GB2312" w:hAnsi="仿宋_GB2312" w:eastAsia="仿宋_GB2312"/>
          <w:b/>
          <w:sz w:val="32"/>
        </w:rPr>
        <w:t>财政拨款支出总计543.97万元，</w:t>
      </w:r>
      <w:r>
        <w:rPr>
          <w:rFonts w:ascii="仿宋_GB2312" w:hAnsi="仿宋_GB2312" w:eastAsia="仿宋_GB2312"/>
          <w:b w:val="0"/>
          <w:sz w:val="32"/>
        </w:rPr>
        <w:t>其中：年末财政拨款结转和结余0.00万元，本年财政拨款支出543.97万元。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增加46.40万元，增长9.33%，主要原因是：本年在职人员增加，在职人员工资调增、社保、公积金基数调增，人员经费增加；退休人员去世，本年增加丧葬费及抚恤金。</w:t>
      </w:r>
      <w:r>
        <w:rPr>
          <w:rFonts w:ascii="仿宋_GB2312" w:hAnsi="仿宋_GB2312" w:eastAsia="仿宋_GB2312"/>
          <w:b/>
          <w:sz w:val="32"/>
        </w:rPr>
        <w:t>与年初预算相比，</w:t>
      </w:r>
      <w:r>
        <w:rPr>
          <w:rFonts w:ascii="仿宋_GB2312" w:hAnsi="仿宋_GB2312" w:eastAsia="仿宋_GB2312"/>
          <w:b w:val="0"/>
          <w:sz w:val="32"/>
        </w:rPr>
        <w:t>年初预算数433.82万元，决算数543.97万元，预决算差异率25.39%，主要原因是：年中追加</w:t>
      </w:r>
      <w:r>
        <w:rPr>
          <w:rFonts w:hint="eastAsia" w:ascii="仿宋_GB2312" w:hAnsi="仿宋_GB2312" w:eastAsia="仿宋_GB2312"/>
          <w:b w:val="0"/>
          <w:sz w:val="32"/>
          <w:lang w:eastAsia="zh-CN"/>
        </w:rPr>
        <w:t>去世</w:t>
      </w:r>
      <w:r>
        <w:rPr>
          <w:rFonts w:ascii="仿宋_GB2312" w:hAnsi="仿宋_GB2312" w:eastAsia="仿宋_GB2312"/>
          <w:b w:val="0"/>
          <w:sz w:val="32"/>
        </w:rPr>
        <w:t>人员丧葬费及抚恤金</w:t>
      </w:r>
      <w:r>
        <w:rPr>
          <w:rFonts w:hint="eastAsia" w:ascii="仿宋_GB2312" w:hAnsi="仿宋_GB2312" w:eastAsia="仿宋_GB2312"/>
          <w:b w:val="0"/>
          <w:sz w:val="32"/>
          <w:lang w:eastAsia="zh-CN"/>
        </w:rPr>
        <w:t>、在职人员</w:t>
      </w:r>
      <w:r>
        <w:rPr>
          <w:rFonts w:ascii="仿宋_GB2312" w:hAnsi="仿宋_GB2312" w:eastAsia="仿宋_GB2312"/>
          <w:b w:val="0"/>
          <w:sz w:val="32"/>
        </w:rPr>
        <w:t>工资、社保、公积金基数调增</w:t>
      </w:r>
      <w:r>
        <w:rPr>
          <w:rFonts w:hint="eastAsia" w:ascii="仿宋_GB2312" w:hAnsi="仿宋_GB2312" w:eastAsia="仿宋_GB2312"/>
          <w:b w:val="0"/>
          <w:sz w:val="32"/>
          <w:lang w:eastAsia="zh-CN"/>
        </w:rPr>
        <w:t>部分</w:t>
      </w:r>
      <w:r>
        <w:rPr>
          <w:rFonts w:ascii="仿宋_GB2312" w:hAnsi="仿宋_GB2312" w:eastAsia="仿宋_GB2312"/>
          <w:b w:val="0"/>
          <w:sz w:val="32"/>
        </w:rPr>
        <w:t>，导致预决算存在差异。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2024年度一般公共预算财政拨款支出543.97万元，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增加48.48万元，增长9.78%，主要原因是：本年在职人员增加，在职人员工资调增、社保、公积金基数调增</w:t>
      </w:r>
      <w:r>
        <w:rPr>
          <w:rFonts w:hint="eastAsia" w:ascii="仿宋_GB2312" w:hAnsi="仿宋_GB2312" w:eastAsia="仿宋_GB2312"/>
          <w:b w:val="0"/>
          <w:sz w:val="32"/>
          <w:lang w:eastAsia="zh-CN"/>
        </w:rPr>
        <w:t>及</w:t>
      </w:r>
      <w:r>
        <w:rPr>
          <w:rFonts w:ascii="仿宋_GB2312" w:hAnsi="仿宋_GB2312" w:eastAsia="仿宋_GB2312"/>
          <w:b w:val="0"/>
          <w:sz w:val="32"/>
        </w:rPr>
        <w:t>人员经费增加，</w:t>
      </w:r>
      <w:r>
        <w:rPr>
          <w:rFonts w:hint="eastAsia" w:ascii="仿宋_GB2312" w:hAnsi="仿宋_GB2312" w:eastAsia="仿宋_GB2312"/>
          <w:b w:val="0"/>
          <w:sz w:val="32"/>
          <w:lang w:eastAsia="zh-CN"/>
        </w:rPr>
        <w:t>追加</w:t>
      </w:r>
      <w:r>
        <w:rPr>
          <w:rFonts w:ascii="仿宋_GB2312" w:hAnsi="仿宋_GB2312" w:eastAsia="仿宋_GB2312"/>
          <w:b w:val="0"/>
          <w:sz w:val="32"/>
        </w:rPr>
        <w:t>去世丧</w:t>
      </w:r>
      <w:r>
        <w:rPr>
          <w:rFonts w:hint="eastAsia" w:ascii="仿宋_GB2312" w:hAnsi="仿宋_GB2312" w:eastAsia="仿宋_GB2312"/>
          <w:b w:val="0"/>
          <w:sz w:val="32"/>
          <w:lang w:eastAsia="zh-CN"/>
        </w:rPr>
        <w:t>人员</w:t>
      </w:r>
      <w:r>
        <w:rPr>
          <w:rFonts w:ascii="仿宋_GB2312" w:hAnsi="仿宋_GB2312" w:eastAsia="仿宋_GB2312"/>
          <w:b w:val="0"/>
          <w:sz w:val="32"/>
        </w:rPr>
        <w:t>葬费及抚恤金。</w:t>
      </w:r>
      <w:r>
        <w:rPr>
          <w:rFonts w:ascii="仿宋_GB2312" w:hAnsi="仿宋_GB2312" w:eastAsia="仿宋_GB2312"/>
          <w:b/>
          <w:sz w:val="32"/>
        </w:rPr>
        <w:t>与年初预算相比,</w:t>
      </w:r>
      <w:r>
        <w:rPr>
          <w:rFonts w:ascii="仿宋_GB2312" w:hAnsi="仿宋_GB2312" w:eastAsia="仿宋_GB2312"/>
          <w:b w:val="0"/>
          <w:sz w:val="32"/>
        </w:rPr>
        <w:t>年初预算数433.82万元，决算数543.97万元，预决算差异率25.39%，主要原因是：年中追</w:t>
      </w:r>
      <w:r>
        <w:rPr>
          <w:rFonts w:hint="eastAsia" w:ascii="仿宋_GB2312" w:hAnsi="仿宋_GB2312" w:eastAsia="仿宋_GB2312"/>
          <w:b w:val="0"/>
          <w:sz w:val="32"/>
          <w:lang w:eastAsia="zh-CN"/>
        </w:rPr>
        <w:t>加去世</w:t>
      </w:r>
      <w:r>
        <w:rPr>
          <w:rFonts w:ascii="仿宋_GB2312" w:hAnsi="仿宋_GB2312" w:eastAsia="仿宋_GB2312"/>
          <w:b w:val="0"/>
          <w:sz w:val="32"/>
        </w:rPr>
        <w:t>人员丧葬费及抚恤金</w:t>
      </w:r>
      <w:r>
        <w:rPr>
          <w:rFonts w:hint="eastAsia" w:ascii="仿宋_GB2312" w:hAnsi="仿宋_GB2312" w:eastAsia="仿宋_GB2312"/>
          <w:b w:val="0"/>
          <w:sz w:val="32"/>
          <w:lang w:eastAsia="zh-CN"/>
        </w:rPr>
        <w:t>，在职人员</w:t>
      </w:r>
      <w:r>
        <w:rPr>
          <w:rFonts w:ascii="仿宋_GB2312" w:hAnsi="仿宋_GB2312" w:eastAsia="仿宋_GB2312"/>
          <w:b w:val="0"/>
          <w:sz w:val="32"/>
        </w:rPr>
        <w:t>工资、社保、公积金基数调增部分，导致预决算存在差异。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1.社会保障和就业支出(类)98.26万元,占18.06%。</w:t>
      </w:r>
    </w:p>
    <w:p>
      <w:pPr>
        <w:spacing w:line="580" w:lineRule="exact"/>
        <w:ind w:firstLine="640"/>
        <w:jc w:val="both"/>
      </w:pPr>
      <w:r>
        <w:rPr>
          <w:rFonts w:ascii="仿宋_GB2312" w:hAnsi="仿宋_GB2312" w:eastAsia="仿宋_GB2312"/>
          <w:b w:val="0"/>
          <w:sz w:val="32"/>
        </w:rPr>
        <w:t>2.卫生健康支出(类)23.84万元,占4.38%。</w:t>
      </w:r>
    </w:p>
    <w:p>
      <w:pPr>
        <w:spacing w:line="580" w:lineRule="exact"/>
        <w:ind w:firstLine="640"/>
        <w:jc w:val="both"/>
      </w:pPr>
      <w:r>
        <w:rPr>
          <w:rFonts w:ascii="仿宋_GB2312" w:hAnsi="仿宋_GB2312" w:eastAsia="仿宋_GB2312"/>
          <w:b w:val="0"/>
          <w:sz w:val="32"/>
        </w:rPr>
        <w:t>3.商业服务业等支出(类)383.23万元,占70.45%。</w:t>
      </w:r>
    </w:p>
    <w:p>
      <w:pPr>
        <w:spacing w:line="580" w:lineRule="exact"/>
        <w:ind w:firstLine="640"/>
        <w:jc w:val="both"/>
      </w:pPr>
      <w:r>
        <w:rPr>
          <w:rFonts w:ascii="仿宋_GB2312" w:hAnsi="仿宋_GB2312" w:eastAsia="仿宋_GB2312"/>
          <w:b w:val="0"/>
          <w:sz w:val="32"/>
        </w:rPr>
        <w:t>4.住房保障支出(类)26.64万元,占4.90%。</w:t>
      </w:r>
    </w:p>
    <w:p>
      <w:pPr>
        <w:spacing w:line="580" w:lineRule="exact"/>
        <w:ind w:firstLine="640"/>
        <w:jc w:val="both"/>
      </w:pPr>
      <w:r>
        <w:rPr>
          <w:rFonts w:ascii="仿宋_GB2312" w:hAnsi="仿宋_GB2312" w:eastAsia="仿宋_GB2312"/>
          <w:b w:val="0"/>
          <w:sz w:val="32"/>
        </w:rPr>
        <w:t>5.其他支出(类)12.00万元,占2.21%。</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社会保障和就业支出(类)行政事业单位养老支出(款)行政单位离退休(项):支出决算数为60.53万元，比上年决算增加60.53万元，增长100.00%,主要原因是：本年功能科目调整，退休人员经费上年度在主科目列支，本年单独列支，导致经费较上年增加。</w:t>
      </w:r>
    </w:p>
    <w:p>
      <w:pPr>
        <w:spacing w:line="580" w:lineRule="exact"/>
        <w:ind w:firstLine="640"/>
        <w:jc w:val="both"/>
      </w:pPr>
      <w:r>
        <w:rPr>
          <w:rFonts w:ascii="仿宋_GB2312" w:hAnsi="仿宋_GB2312" w:eastAsia="仿宋_GB2312"/>
          <w:b w:val="0"/>
          <w:sz w:val="32"/>
        </w:rPr>
        <w:t>2.社会保障和就业支出(类)行政事业单位养老支出(款)机关事业单位基本养老保险缴费支出(项):支出决算数为37.73万元，比上年决算增加4.20万元，增长12.53%,主要原因是：本年在职人员工资基数调增，养老缴费基数上涨，相应支出增加。</w:t>
      </w:r>
    </w:p>
    <w:p>
      <w:pPr>
        <w:spacing w:line="580" w:lineRule="exact"/>
        <w:ind w:firstLine="640"/>
        <w:jc w:val="both"/>
      </w:pPr>
      <w:r>
        <w:rPr>
          <w:rFonts w:ascii="仿宋_GB2312" w:hAnsi="仿宋_GB2312" w:eastAsia="仿宋_GB2312"/>
          <w:b w:val="0"/>
          <w:sz w:val="32"/>
        </w:rPr>
        <w:t>3.社会保障和就业支出(类)行政事业单位养老支出(款)机关事业单位职业年金缴费支出(项):支出决算数为0.00万元，比上年决算减少22.71万元，下降100.00%,主要原因是：本年无新增退休人员，职业年金缴费较上年减少。</w:t>
      </w:r>
    </w:p>
    <w:p>
      <w:pPr>
        <w:spacing w:line="580" w:lineRule="exact"/>
        <w:ind w:firstLine="640"/>
        <w:jc w:val="both"/>
      </w:pPr>
      <w:r>
        <w:rPr>
          <w:rFonts w:ascii="仿宋_GB2312" w:hAnsi="仿宋_GB2312" w:eastAsia="仿宋_GB2312"/>
          <w:b w:val="0"/>
          <w:sz w:val="32"/>
        </w:rPr>
        <w:t>4.卫生健康支出(类)行政事业单位医疗(款)行政单位医疗(项):支出决算数为15.33万元，比上年决算增加15.33万元，增长100.00%,主要原因是：本年功能科目调整，行政单位医疗上年度在主科目列支，本年单独列支，导致经费较上年增加。</w:t>
      </w:r>
    </w:p>
    <w:p>
      <w:pPr>
        <w:spacing w:line="580" w:lineRule="exact"/>
        <w:ind w:firstLine="640"/>
        <w:jc w:val="both"/>
      </w:pPr>
      <w:r>
        <w:rPr>
          <w:rFonts w:ascii="仿宋_GB2312" w:hAnsi="仿宋_GB2312" w:eastAsia="仿宋_GB2312"/>
          <w:b w:val="0"/>
          <w:sz w:val="32"/>
        </w:rPr>
        <w:t>5.卫生健康支出(类)行政事业单位医疗(款)公务员医疗补助(项):支出决算数为8.51万元，比上年决算增加8.51万元，增长100.00%,主要原因是：本年功能科目调整，公务员医疗补助上年度在主科目列支，本年单独列支，导致经费较上年增加。</w:t>
      </w:r>
    </w:p>
    <w:p>
      <w:pPr>
        <w:spacing w:line="580" w:lineRule="exact"/>
        <w:ind w:firstLine="640"/>
        <w:jc w:val="both"/>
      </w:pPr>
      <w:r>
        <w:rPr>
          <w:rFonts w:ascii="仿宋_GB2312" w:hAnsi="仿宋_GB2312" w:eastAsia="仿宋_GB2312"/>
          <w:b w:val="0"/>
          <w:sz w:val="32"/>
        </w:rPr>
        <w:t>6.商业服务业等支出(类)商业流通事务(款)行政运行(项):支出决算数为383.23万元，比上年决算减少40.19万元，下降9.49%,主要原因是：本年功能调整，公务员医疗补助、行政单位离退休、住房公积金、行政单位医疗科目上年度在此科目列支，本年单独列支，导致经费较上年较少。</w:t>
      </w:r>
    </w:p>
    <w:p>
      <w:pPr>
        <w:spacing w:line="580" w:lineRule="exact"/>
        <w:ind w:firstLine="640"/>
        <w:jc w:val="both"/>
      </w:pPr>
      <w:r>
        <w:rPr>
          <w:rFonts w:ascii="仿宋_GB2312" w:hAnsi="仿宋_GB2312" w:eastAsia="仿宋_GB2312"/>
          <w:b w:val="0"/>
          <w:sz w:val="32"/>
        </w:rPr>
        <w:t>7.住房保障支出(类)住房改革支出(款)住房公积金(项):支出决算数为26.64万元，比上年决算增加26.64万元，增长100.00%,主要原因是：本年功能科目调整，住房公积金上年度在主科目列支，本年单独列支，导致经费较上年增加。</w:t>
      </w:r>
    </w:p>
    <w:p>
      <w:pPr>
        <w:spacing w:line="580" w:lineRule="exact"/>
        <w:ind w:firstLine="640"/>
        <w:jc w:val="both"/>
      </w:pPr>
      <w:r>
        <w:rPr>
          <w:rFonts w:ascii="仿宋_GB2312" w:hAnsi="仿宋_GB2312" w:eastAsia="仿宋_GB2312"/>
          <w:b w:val="0"/>
          <w:sz w:val="32"/>
        </w:rPr>
        <w:t>8.其他支出(类)其他支出(款)其他支出(项):支出决算数为12.00万元，比上年决算减少3.83万元，下降24.19%,主要原因是：本年</w:t>
      </w:r>
      <w:r>
        <w:rPr>
          <w:rFonts w:hint="eastAsia" w:ascii="仿宋_GB2312" w:hAnsi="仿宋_GB2312" w:eastAsia="仿宋_GB2312"/>
          <w:b w:val="0"/>
          <w:sz w:val="32"/>
          <w:lang w:eastAsia="zh-CN"/>
        </w:rPr>
        <w:t>驻村工作经费</w:t>
      </w:r>
      <w:r>
        <w:rPr>
          <w:rFonts w:ascii="仿宋_GB2312" w:hAnsi="仿宋_GB2312" w:eastAsia="仿宋_GB2312"/>
          <w:b w:val="0"/>
          <w:sz w:val="32"/>
        </w:rPr>
        <w:t>减少。</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2024年度一般公共预算财政拨款基本支出531.97万元，其中：</w:t>
      </w:r>
      <w:r>
        <w:rPr>
          <w:rFonts w:ascii="仿宋_GB2312" w:hAnsi="仿宋_GB2312" w:eastAsia="仿宋_GB2312"/>
          <w:b/>
          <w:sz w:val="32"/>
        </w:rPr>
        <w:t>人员经费508.92万元，</w:t>
      </w:r>
      <w:r>
        <w:rPr>
          <w:rFonts w:ascii="仿宋_GB2312" w:hAnsi="仿宋_GB2312" w:eastAsia="仿宋_GB2312"/>
          <w:b w:val="0"/>
          <w:sz w:val="32"/>
        </w:rPr>
        <w:t>包括：基本工资、津贴补贴、奖金、机关事业单位基本养老保险缴费、职工基本医疗保险缴费、公务员医疗补助缴费、其他社会保障缴费、住房公积金、其他工资福利支出、离休费、退休费、抚恤金、生活补助。</w:t>
      </w:r>
    </w:p>
    <w:p>
      <w:pPr>
        <w:spacing w:line="580" w:lineRule="exact"/>
        <w:ind w:firstLine="640"/>
        <w:jc w:val="both"/>
      </w:pPr>
      <w:r>
        <w:rPr>
          <w:rFonts w:ascii="仿宋_GB2312" w:hAnsi="仿宋_GB2312" w:eastAsia="仿宋_GB2312"/>
          <w:b/>
          <w:sz w:val="32"/>
        </w:rPr>
        <w:t>公用经费23.06万元，</w:t>
      </w:r>
      <w:r>
        <w:rPr>
          <w:rFonts w:ascii="仿宋_GB2312" w:hAnsi="仿宋_GB2312" w:eastAsia="仿宋_GB2312"/>
          <w:b w:val="0"/>
          <w:sz w:val="32"/>
        </w:rPr>
        <w:t>包括：办公费、电费、邮电费、取暖费、差旅费、工会经费、福利费、公务用车运行维护费、其他商品和服务支出。</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2024年度财政拨款“三公”经费支出2.22万元，</w:t>
      </w:r>
      <w:r>
        <w:rPr>
          <w:rFonts w:ascii="仿宋_GB2312" w:hAnsi="仿宋_GB2312" w:eastAsia="仿宋_GB2312"/>
          <w:b w:val="0"/>
          <w:sz w:val="32"/>
        </w:rPr>
        <w:t>比上年减少0.78万元，下降26.00%，主要原因是：严格落实中央八项规定精神，厉行节约，减少公务用车加油费、维修费。其中：因公出国（境）费支出0.00万元，占0.00%，比上年增加0.00万元，增长0.00%，主要原因是：2023年与2024年均未安排因公出国（境）费支出。公务用车购置及运行维护费支出2.22万元，占100.00%，比上年减少0.78万元，下降26.00%，主要原因是：严格落实中央八项规定精神，厉行节约，减少公务用车加油费、维修费。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2.22万元，其中：公务用车购置费0.00万元，公务用车运行维护费2.22万元。公务用车运行维护费开支内容包括车辆加油费、维修费、保险费、审车费、过路费。公务用车购置数0辆，公务用车保有量1辆。国有资产占用情况中固定资产车辆1辆，与公务用车保有量差异原因是：本单位固定资产车辆与公务用车保有量一致无差异。</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2.22万元，决算数2.22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2.22万元，决算数2.22万元，预决算差异率0.00%，主要原因是：严格按照预算执行，预决算无差异。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2024年度新疆维吾尔自治区和田地区供销合作社联合社（行政单位和参照公务员法管理事业单位）机关运行经费支出23.06万元，比上年增加0.58万元，增长2.58%，主要原因是：本年办公</w:t>
      </w:r>
      <w:r>
        <w:rPr>
          <w:rFonts w:hint="eastAsia" w:ascii="仿宋_GB2312" w:hAnsi="仿宋_GB2312" w:eastAsia="仿宋_GB2312"/>
          <w:b w:val="0"/>
          <w:sz w:val="32"/>
          <w:lang w:eastAsia="zh-CN"/>
        </w:rPr>
        <w:t>经费</w:t>
      </w:r>
      <w:r>
        <w:rPr>
          <w:rFonts w:ascii="仿宋_GB2312" w:hAnsi="仿宋_GB2312" w:eastAsia="仿宋_GB2312"/>
          <w:b w:val="0"/>
          <w:sz w:val="32"/>
        </w:rPr>
        <w:t>、工会经费、福利费增加。</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2024年度政府采购支出总额0.88万元，其中：政府采购货物支出0.25万元、政府采购工程支出0.00万元、政府采购服务支出0.63万元。</w:t>
      </w:r>
    </w:p>
    <w:p>
      <w:pPr>
        <w:spacing w:line="580" w:lineRule="exact"/>
        <w:ind w:firstLine="640"/>
        <w:jc w:val="both"/>
      </w:pPr>
      <w:r>
        <w:rPr>
          <w:rFonts w:ascii="仿宋_GB2312" w:hAnsi="仿宋_GB2312" w:eastAsia="仿宋_GB2312"/>
          <w:b w:val="0"/>
          <w:sz w:val="32"/>
        </w:rPr>
        <w:t>授予中小企业合同金额0.26万元，占政府采购支出总额的29.55%，其中：授予小微企业合同金额0.00万元，占政府采购支出总额的0.00%。</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2,807.91平方米，价值1,063.76万元。车辆1辆，价值20.18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544.16万元，实际执行总额543.98万元；预算绩效评价项目1个，全年预算数12.00万元，全年执行数12.00万元。预算绩效管理取得的成效：本单位在项目开工建设前期便组织开始完善项目管理方面的建设管理办法，从制定岗位责任制入手，细化指挥部工作人员的岗位职责，学习其他建设项目好的管理经验，充分结合本项目实际，制定了本项目的建设管理办法，并按照精细化管理、过程控制要求，在施工中不断补充完善。以本次绩效评价为契机，合理设置内部管理机构和岗位，明确职责权限，明确业务</w:t>
      </w:r>
      <w:r>
        <w:rPr>
          <w:rFonts w:hint="eastAsia" w:ascii="仿宋_GB2312" w:hAnsi="仿宋_GB2312" w:eastAsia="仿宋_GB2312"/>
          <w:b w:val="0"/>
          <w:sz w:val="32"/>
          <w:lang w:eastAsia="zh-CN"/>
        </w:rPr>
        <w:t>各</w:t>
      </w:r>
      <w:r>
        <w:rPr>
          <w:rFonts w:ascii="仿宋_GB2312" w:hAnsi="仿宋_GB2312" w:eastAsia="仿宋_GB2312"/>
          <w:b w:val="0"/>
          <w:sz w:val="32"/>
        </w:rPr>
        <w:t>环节流程、时间要求、审批权限等，明确单位内部各个业务归口管理责任，强化预算绩效意识。通过部门绩效评价来总结经验和教训，促进项目成果转化和应用，为今后采购类项目的长效管理，提供可行性参考建议。发现的问题及原因：一是部门沟通协调不足，监督责任不明确。主要原因是单位人力较少，每个部门的本身职责较多，和其他科学的沟通较少，内部监督较少力度，所有的项目流程大多是项目负责人在跟踪，财务人员参与也不够，因为行业特点的原因，项目专业性较强，很多的专业术语很难理解，需要花费很大的精力，造成事后监督，相较监督力度薄弱，不过我们都在加强学习，相互配合，只有这样才能圆满完成目标任务；二是项目资金监督和管理需进一步完善。单位的项目资金大都来源财政资金，都是经过预算，申请、审批、下达、支付等环节完成资金的监督，但财务人员参与度不够，资金管理不到位，合同签订不规范，单位标准缺乏相关行业标准，没有及时提供相关凭据，一人说了算的事较时常发生，在关键环节缺乏控制，主要原因是参与度不够，没有人愿意把事情搞透彻，多方咨询缺乏耐力。下一步改进措施：一是进一步完善强化项目决策制度，严格落实</w:t>
      </w:r>
      <w:r>
        <w:rPr>
          <w:rFonts w:hint="eastAsia" w:ascii="仿宋_GB2312" w:hAnsi="仿宋_GB2312" w:eastAsia="仿宋_GB2312"/>
          <w:b w:val="0"/>
          <w:sz w:val="32"/>
          <w:lang w:eastAsia="zh-CN"/>
        </w:rPr>
        <w:t>“三重一大”</w:t>
      </w:r>
      <w:r>
        <w:rPr>
          <w:rFonts w:ascii="仿宋_GB2312" w:hAnsi="仿宋_GB2312" w:eastAsia="仿宋_GB2312"/>
          <w:b w:val="0"/>
          <w:sz w:val="32"/>
        </w:rPr>
        <w:t>、民主集中制、</w:t>
      </w:r>
      <w:r>
        <w:rPr>
          <w:rFonts w:hint="eastAsia" w:ascii="仿宋_GB2312" w:hAnsi="仿宋_GB2312" w:eastAsia="仿宋_GB2312"/>
          <w:b w:val="0"/>
          <w:sz w:val="32"/>
          <w:lang w:eastAsia="zh-CN"/>
        </w:rPr>
        <w:t>末位</w:t>
      </w:r>
      <w:r>
        <w:rPr>
          <w:rFonts w:ascii="仿宋_GB2312" w:hAnsi="仿宋_GB2312" w:eastAsia="仿宋_GB2312"/>
          <w:b w:val="0"/>
          <w:sz w:val="32"/>
        </w:rPr>
        <w:t>表态制等制度，有效保证项目决策的科学性和可行性。进一步强化预算管理意识，项目决策规划要准备充分，用规范、机制和制度全方位、全过程检查监督项目资金的运行，确保项目资金有效使用，项目得以顺利实施。在项目实施决策中，建立科学的预算绩效评估体系：确保项目决策基于科学的绩效评估，避免浪费资源或无效支出，同时考虑项目规模和范围：避免过度承诺或资源浪费，确保项目规模和范围与预算匹配；二是在决策过程中，要建立风险控制机制，识别潜在风险，并制定相应的风险控制措施，确保项目决策的稳健性。要加强绩效目标及管理理念的科学性，提高管理流程制度性，管理理论上的先进性。要根据项目任务建立制度规范，加强内部控制，建立健全内部控制体系，确保项目决策和执行符合相关法规和政策要求，要制定详细的管理程序，明确各阶段的目标和职责，使得目标控制贯穿于项目建设的全过程，从而落实相关项目决策实施。要加强相关项目人员的培训工作，提高员工对预算绩效的认识和执行力，确保项目决策的有效实施。具体附整体支出绩效自评表，项目支出绩效自评表和评价报告。</w:t>
      </w:r>
    </w:p>
    <w:p>
      <w:r>
        <w:br w:type="page"/>
      </w:r>
    </w:p>
    <w:tbl>
      <w:tblPr>
        <w:tblStyle w:val="9"/>
        <w:tblW w:w="8753" w:type="dxa"/>
        <w:tblInd w:w="0" w:type="dxa"/>
        <w:tblLayout w:type="fixed"/>
        <w:tblCellMar>
          <w:top w:w="0" w:type="dxa"/>
          <w:left w:w="108" w:type="dxa"/>
          <w:bottom w:w="0" w:type="dxa"/>
          <w:right w:w="108" w:type="dxa"/>
        </w:tblCellMar>
      </w:tblPr>
      <w:tblGrid>
        <w:gridCol w:w="983"/>
        <w:gridCol w:w="983"/>
        <w:gridCol w:w="983"/>
        <w:gridCol w:w="1289"/>
        <w:gridCol w:w="1125"/>
        <w:gridCol w:w="600"/>
        <w:gridCol w:w="1080"/>
        <w:gridCol w:w="660"/>
        <w:gridCol w:w="1050"/>
      </w:tblGrid>
      <w:tr>
        <w:tblPrEx>
          <w:tblCellMar>
            <w:top w:w="0" w:type="dxa"/>
            <w:left w:w="108" w:type="dxa"/>
            <w:bottom w:w="0" w:type="dxa"/>
            <w:right w:w="108" w:type="dxa"/>
          </w:tblCellMar>
        </w:tblPrEx>
        <w:tc>
          <w:tcPr>
            <w:tcW w:w="8753" w:type="dxa"/>
            <w:gridSpan w:val="9"/>
            <w:vAlign w:val="center"/>
          </w:tcPr>
          <w:p>
            <w:pPr>
              <w:jc w:val="center"/>
            </w:pPr>
            <w:r>
              <w:rPr>
                <w:rFonts w:ascii="宋体" w:hAnsi="宋体" w:eastAsia="宋体"/>
                <w:sz w:val="24"/>
              </w:rPr>
              <w:t>单位整体支出绩效自评表</w:t>
            </w:r>
          </w:p>
        </w:tc>
      </w:tr>
      <w:tr>
        <w:tblPrEx>
          <w:tblCellMar>
            <w:top w:w="0" w:type="dxa"/>
            <w:left w:w="108" w:type="dxa"/>
            <w:bottom w:w="0" w:type="dxa"/>
            <w:right w:w="108" w:type="dxa"/>
          </w:tblCellMar>
        </w:tblPrEx>
        <w:tc>
          <w:tcPr>
            <w:tcW w:w="8753" w:type="dxa"/>
            <w:gridSpan w:val="9"/>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单位名称</w:t>
            </w:r>
          </w:p>
        </w:tc>
        <w:tc>
          <w:tcPr>
            <w:tcW w:w="7770"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新疆维吾尔自治区和田地区供销合作社联合社</w:t>
            </w:r>
          </w:p>
        </w:tc>
      </w:tr>
      <w:tr>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289"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预算数（调整后）</w:t>
            </w:r>
          </w:p>
        </w:tc>
        <w:tc>
          <w:tcPr>
            <w:tcW w:w="112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执行数</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108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17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433.82</w:t>
            </w:r>
          </w:p>
        </w:tc>
        <w:tc>
          <w:tcPr>
            <w:tcW w:w="1289"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544.16</w:t>
            </w:r>
          </w:p>
        </w:tc>
        <w:tc>
          <w:tcPr>
            <w:tcW w:w="112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543.98</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08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99.97%</w:t>
            </w:r>
          </w:p>
        </w:tc>
        <w:tc>
          <w:tcPr>
            <w:tcW w:w="17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89"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2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08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7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433.82</w:t>
            </w:r>
          </w:p>
        </w:tc>
        <w:tc>
          <w:tcPr>
            <w:tcW w:w="1289"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544.16</w:t>
            </w:r>
          </w:p>
        </w:tc>
        <w:tc>
          <w:tcPr>
            <w:tcW w:w="112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543.98</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08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7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89"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12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08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710"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年度总体目标</w:t>
            </w:r>
          </w:p>
        </w:tc>
        <w:tc>
          <w:tcPr>
            <w:tcW w:w="325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45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实际完成目标</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325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2024年，我社以习近平新时代中国特色社会主义思想为指导，全面贯彻落实党的二十大和</w:t>
            </w:r>
            <w:r>
              <w:rPr>
                <w:rFonts w:hint="eastAsia" w:ascii="宋体" w:hAnsi="宋体"/>
                <w:sz w:val="16"/>
                <w:lang w:eastAsia="zh-CN"/>
              </w:rPr>
              <w:t>党的二十届二中全会精神</w:t>
            </w:r>
            <w:r>
              <w:rPr>
                <w:rFonts w:ascii="宋体" w:hAnsi="宋体" w:eastAsia="宋体"/>
                <w:sz w:val="16"/>
              </w:rPr>
              <w:t>，深入贯彻落实习近平总书记关于新疆重要讲话指示精神和对供销合作社工作重要指示精神，坚持稳中求进工作总基调，完整、准确、全面贯彻新发展理念，加快服务和融入新发展格局，立足“三农”工作大局，坚持深化改革，完善体制机制，拓展服务领域，激活购销市场，按照改革强社、夯基建社、服务立社、融合兴社、安全固社、从严治社的思路，不断拓展服务领域、不断加快改革创新，持续推动供销实现质的有效提升和量的合理增长。恢复基层社3个，改造升级</w:t>
            </w:r>
            <w:r>
              <w:rPr>
                <w:rFonts w:hint="eastAsia" w:ascii="宋体" w:hAnsi="宋体"/>
                <w:sz w:val="16"/>
                <w:lang w:eastAsia="zh-CN"/>
              </w:rPr>
              <w:t>薄弱</w:t>
            </w:r>
            <w:r>
              <w:rPr>
                <w:rFonts w:ascii="宋体" w:hAnsi="宋体" w:eastAsia="宋体"/>
                <w:sz w:val="16"/>
              </w:rPr>
              <w:t>基层社7个，改造升级农村综合服务社7个，建设（加盟）村级供销网点226个，新建改造乡镇综合超市3个，农资供应4万吨，农副产品销售实现2.2亿元。</w:t>
            </w:r>
          </w:p>
        </w:tc>
        <w:tc>
          <w:tcPr>
            <w:tcW w:w="45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hint="eastAsia" w:ascii="宋体" w:hAnsi="宋体"/>
                <w:sz w:val="16"/>
                <w:lang w:eastAsia="zh-CN"/>
              </w:rPr>
              <w:t>截至</w:t>
            </w:r>
            <w:r>
              <w:rPr>
                <w:rFonts w:ascii="宋体" w:hAnsi="宋体" w:eastAsia="宋体"/>
                <w:sz w:val="16"/>
              </w:rPr>
              <w:t>2024年12月31日，本单位实际完成全系统购进商品总额5.27亿元，上年同期4.06亿元，增长29.8%；销售总额5.17亿元，上年同期4.04亿元，增长27.97%；实现企业利润3388.01万元，上年同期2963.29万元，增长14.33%；农资供应58423.59吨，农副产品销售5.17亿元。实际形成支出543.98万元，通过完成以上工作，实现了持续推动供销实现质的有效提升和量的合理增长的效益。</w:t>
            </w:r>
          </w:p>
        </w:tc>
      </w:tr>
      <w:tr>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1289"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w:t>
            </w:r>
          </w:p>
        </w:tc>
        <w:tc>
          <w:tcPr>
            <w:tcW w:w="112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108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66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完成率</w:t>
            </w:r>
          </w:p>
        </w:tc>
        <w:tc>
          <w:tcPr>
            <w:tcW w:w="105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运行成本</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hint="eastAsia" w:ascii="宋体" w:hAnsi="宋体"/>
                <w:sz w:val="16"/>
                <w:lang w:eastAsia="zh-CN"/>
              </w:rPr>
              <w:t>“三公”经费</w:t>
            </w:r>
            <w:r>
              <w:rPr>
                <w:rFonts w:ascii="宋体" w:hAnsi="宋体" w:eastAsia="宋体"/>
                <w:sz w:val="16"/>
              </w:rPr>
              <w:t>控制率</w:t>
            </w:r>
          </w:p>
        </w:tc>
        <w:tc>
          <w:tcPr>
            <w:tcW w:w="1289"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12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《关于加强</w:t>
            </w:r>
            <w:r>
              <w:rPr>
                <w:rFonts w:hint="eastAsia" w:ascii="宋体" w:hAnsi="宋体"/>
                <w:sz w:val="16"/>
                <w:lang w:eastAsia="zh-CN"/>
              </w:rPr>
              <w:t>“三公”经费</w:t>
            </w:r>
            <w:r>
              <w:rPr>
                <w:rFonts w:ascii="宋体" w:hAnsi="宋体" w:eastAsia="宋体"/>
                <w:sz w:val="16"/>
              </w:rPr>
              <w:t>管理严控一般性支出的通知》财预</w:t>
            </w:r>
            <w:r>
              <w:rPr>
                <w:rFonts w:hint="eastAsia" w:ascii="宋体" w:hAnsi="宋体"/>
                <w:sz w:val="16"/>
                <w:lang w:eastAsia="zh-CN"/>
              </w:rPr>
              <w:t>〔2022〕126号</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08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6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105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r>
      <w:tr>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管理效率</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重点工作完成率</w:t>
            </w:r>
          </w:p>
        </w:tc>
        <w:tc>
          <w:tcPr>
            <w:tcW w:w="1289"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highlight w:val="none"/>
              </w:rPr>
              <w:t>≥</w:t>
            </w:r>
            <w:r>
              <w:rPr>
                <w:rFonts w:ascii="宋体" w:hAnsi="宋体" w:eastAsia="宋体"/>
                <w:sz w:val="16"/>
              </w:rPr>
              <w:t>95%</w:t>
            </w:r>
          </w:p>
        </w:tc>
        <w:tc>
          <w:tcPr>
            <w:tcW w:w="112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2024年工作总结及相关材料</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08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6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105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政府采购规范率</w:t>
            </w:r>
          </w:p>
        </w:tc>
        <w:tc>
          <w:tcPr>
            <w:tcW w:w="1289"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highlight w:val="none"/>
              </w:rPr>
              <w:t>≥</w:t>
            </w:r>
            <w:r>
              <w:rPr>
                <w:rFonts w:ascii="宋体" w:hAnsi="宋体" w:eastAsia="宋体"/>
                <w:sz w:val="16"/>
              </w:rPr>
              <w:t>95%</w:t>
            </w:r>
          </w:p>
        </w:tc>
        <w:tc>
          <w:tcPr>
            <w:tcW w:w="112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年初资金预算管理相关文件</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08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6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105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资金使用合规性</w:t>
            </w:r>
          </w:p>
        </w:tc>
        <w:tc>
          <w:tcPr>
            <w:tcW w:w="1289"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highlight w:val="none"/>
              </w:rPr>
              <w:t>≥</w:t>
            </w:r>
            <w:r>
              <w:rPr>
                <w:rFonts w:ascii="宋体" w:hAnsi="宋体" w:eastAsia="宋体"/>
                <w:sz w:val="16"/>
              </w:rPr>
              <w:t>95%</w:t>
            </w:r>
          </w:p>
        </w:tc>
        <w:tc>
          <w:tcPr>
            <w:tcW w:w="112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年初资金预算管理相关文件</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108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66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105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r>
      <w:tr>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农资供应</w:t>
            </w:r>
          </w:p>
        </w:tc>
        <w:tc>
          <w:tcPr>
            <w:tcW w:w="1289"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highlight w:val="none"/>
              </w:rPr>
              <w:t>≥</w:t>
            </w:r>
            <w:r>
              <w:rPr>
                <w:rFonts w:ascii="宋体" w:hAnsi="宋体" w:eastAsia="宋体"/>
                <w:sz w:val="16"/>
              </w:rPr>
              <w:t>40000吨</w:t>
            </w:r>
          </w:p>
        </w:tc>
        <w:tc>
          <w:tcPr>
            <w:tcW w:w="112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2024年工作计划及相关材料</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08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58423.59吨</w:t>
            </w:r>
          </w:p>
        </w:tc>
        <w:tc>
          <w:tcPr>
            <w:tcW w:w="66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105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r>
      <w:tr>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农副产品销售（万元）</w:t>
            </w:r>
          </w:p>
        </w:tc>
        <w:tc>
          <w:tcPr>
            <w:tcW w:w="1289"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highlight w:val="none"/>
              </w:rPr>
              <w:t>≥</w:t>
            </w:r>
            <w:r>
              <w:rPr>
                <w:rFonts w:ascii="宋体" w:hAnsi="宋体" w:eastAsia="宋体"/>
                <w:sz w:val="16"/>
              </w:rPr>
              <w:t>2.20亿元</w:t>
            </w:r>
          </w:p>
        </w:tc>
        <w:tc>
          <w:tcPr>
            <w:tcW w:w="1125"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2024年工作计划及相关材料</w:t>
            </w:r>
          </w:p>
        </w:tc>
        <w:tc>
          <w:tcPr>
            <w:tcW w:w="60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108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5.17亿元</w:t>
            </w:r>
          </w:p>
        </w:tc>
        <w:tc>
          <w:tcPr>
            <w:tcW w:w="66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105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r>
    </w:tbl>
    <w:p>
      <w:r>
        <w:br w:type="page"/>
      </w:r>
    </w:p>
    <w:tbl>
      <w:tblPr>
        <w:tblStyle w:val="9"/>
        <w:tblW w:w="8330" w:type="dxa"/>
        <w:tblInd w:w="0" w:type="dxa"/>
        <w:tblLayout w:type="fixed"/>
        <w:tblCellMar>
          <w:top w:w="0" w:type="dxa"/>
          <w:left w:w="108" w:type="dxa"/>
          <w:bottom w:w="0" w:type="dxa"/>
          <w:right w:w="108" w:type="dxa"/>
        </w:tblCellMar>
      </w:tblPr>
      <w:tblGrid>
        <w:gridCol w:w="983"/>
        <w:gridCol w:w="983"/>
        <w:gridCol w:w="983"/>
        <w:gridCol w:w="1514"/>
        <w:gridCol w:w="1204"/>
        <w:gridCol w:w="708"/>
        <w:gridCol w:w="523"/>
        <w:gridCol w:w="438"/>
        <w:gridCol w:w="994"/>
      </w:tblGrid>
      <w:tr>
        <w:tblPrEx>
          <w:tblCellMar>
            <w:top w:w="0" w:type="dxa"/>
            <w:left w:w="108" w:type="dxa"/>
            <w:bottom w:w="0" w:type="dxa"/>
            <w:right w:w="108" w:type="dxa"/>
          </w:tblCellMar>
        </w:tblPrEx>
        <w:tc>
          <w:tcPr>
            <w:tcW w:w="8330" w:type="dxa"/>
            <w:gridSpan w:val="9"/>
            <w:vAlign w:val="center"/>
          </w:tcPr>
          <w:p>
            <w:pPr>
              <w:jc w:val="center"/>
            </w:pPr>
            <w:r>
              <w:rPr>
                <w:rFonts w:ascii="宋体" w:hAnsi="宋体" w:eastAsia="宋体"/>
                <w:sz w:val="24"/>
              </w:rPr>
              <w:t>项目支出绩效自评表</w:t>
            </w:r>
          </w:p>
        </w:tc>
      </w:tr>
      <w:tr>
        <w:tblPrEx>
          <w:tblCellMar>
            <w:top w:w="0" w:type="dxa"/>
            <w:left w:w="108" w:type="dxa"/>
            <w:bottom w:w="0" w:type="dxa"/>
            <w:right w:w="108" w:type="dxa"/>
          </w:tblCellMar>
        </w:tblPrEx>
        <w:tc>
          <w:tcPr>
            <w:tcW w:w="8330" w:type="dxa"/>
            <w:gridSpan w:val="9"/>
            <w:vAlign w:val="center"/>
          </w:tcPr>
          <w:p>
            <w:pPr>
              <w:jc w:val="center"/>
            </w:pPr>
            <w:r>
              <w:rPr>
                <w:rFonts w:ascii="宋体" w:hAnsi="宋体" w:eastAsia="宋体"/>
                <w:sz w:val="24"/>
              </w:rPr>
              <w:t>(2024年度)</w:t>
            </w:r>
          </w:p>
        </w:tc>
      </w:tr>
      <w:tr>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7347"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2024年驻村工作经费项目</w:t>
            </w:r>
          </w:p>
        </w:tc>
      </w:tr>
      <w:tr>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348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新疆维吾尔自治区和田地区供销合作社联合社</w:t>
            </w:r>
          </w:p>
        </w:tc>
        <w:tc>
          <w:tcPr>
            <w:tcW w:w="1204"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2663"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新疆维吾尔自治区和田地区供销合作社联合社</w:t>
            </w:r>
          </w:p>
        </w:tc>
      </w:tr>
      <w:tr>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1514"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204"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7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52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43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994"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1514"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12.00</w:t>
            </w:r>
          </w:p>
        </w:tc>
        <w:tc>
          <w:tcPr>
            <w:tcW w:w="1204"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12.00</w:t>
            </w:r>
          </w:p>
        </w:tc>
        <w:tc>
          <w:tcPr>
            <w:tcW w:w="7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12.00</w:t>
            </w:r>
          </w:p>
        </w:tc>
        <w:tc>
          <w:tcPr>
            <w:tcW w:w="52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43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100.00% </w:t>
            </w:r>
          </w:p>
        </w:tc>
        <w:tc>
          <w:tcPr>
            <w:tcW w:w="994"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10.00分</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1514"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12.00</w:t>
            </w:r>
          </w:p>
        </w:tc>
        <w:tc>
          <w:tcPr>
            <w:tcW w:w="1204"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12.00</w:t>
            </w:r>
          </w:p>
        </w:tc>
        <w:tc>
          <w:tcPr>
            <w:tcW w:w="7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12.00</w:t>
            </w:r>
          </w:p>
        </w:tc>
        <w:tc>
          <w:tcPr>
            <w:tcW w:w="52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43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94"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上年结转资金</w:t>
            </w:r>
          </w:p>
        </w:tc>
        <w:tc>
          <w:tcPr>
            <w:tcW w:w="1514"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04"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7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52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43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94"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1514"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204"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7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52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43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94"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年度总体目标</w:t>
            </w:r>
          </w:p>
        </w:tc>
        <w:tc>
          <w:tcPr>
            <w:tcW w:w="348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3867"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348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本项目主要实施内容为：工作队派出点1个，工作队派出人数5人，项目总投资为12万元，项目计划于2024年12月完成。通过本项目的实施，可有效提升基层治理能力，待项目实施完成，争取使受益人群满意度不低于95%。</w:t>
            </w:r>
          </w:p>
        </w:tc>
        <w:tc>
          <w:tcPr>
            <w:tcW w:w="3867"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hint="eastAsia" w:ascii="宋体" w:hAnsi="宋体"/>
                <w:sz w:val="16"/>
                <w:lang w:eastAsia="zh-CN"/>
              </w:rPr>
              <w:t>截至</w:t>
            </w:r>
            <w:r>
              <w:rPr>
                <w:rFonts w:ascii="宋体" w:hAnsi="宋体" w:eastAsia="宋体"/>
                <w:sz w:val="16"/>
              </w:rPr>
              <w:t>2024年12月31日，项目实际形成支出12万元，已完成保障工作队派出点1个，工作队派出人数5人的任务，达到了有效提升基层治理能力的效益，受益人群满意度达到100%。</w:t>
            </w:r>
          </w:p>
        </w:tc>
      </w:tr>
      <w:tr>
        <w:tc>
          <w:tcPr>
            <w:tcW w:w="983" w:type="dxa"/>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1514"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1204"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7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52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43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994"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1514"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工作队派出点</w:t>
            </w:r>
          </w:p>
        </w:tc>
        <w:tc>
          <w:tcPr>
            <w:tcW w:w="1204"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highlight w:val="none"/>
              </w:rPr>
              <w:t>≥</w:t>
            </w:r>
            <w:r>
              <w:rPr>
                <w:rFonts w:ascii="宋体" w:hAnsi="宋体" w:eastAsia="宋体"/>
                <w:sz w:val="16"/>
              </w:rPr>
              <w:t>1个</w:t>
            </w:r>
          </w:p>
        </w:tc>
        <w:tc>
          <w:tcPr>
            <w:tcW w:w="7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=1个</w:t>
            </w:r>
          </w:p>
        </w:tc>
        <w:tc>
          <w:tcPr>
            <w:tcW w:w="52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43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94"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514"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工作队派出人数</w:t>
            </w:r>
          </w:p>
        </w:tc>
        <w:tc>
          <w:tcPr>
            <w:tcW w:w="1204"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highlight w:val="none"/>
              </w:rPr>
              <w:t>≥</w:t>
            </w:r>
            <w:r>
              <w:rPr>
                <w:rFonts w:ascii="宋体" w:hAnsi="宋体" w:eastAsia="宋体"/>
                <w:sz w:val="16"/>
              </w:rPr>
              <w:t>5人</w:t>
            </w:r>
          </w:p>
        </w:tc>
        <w:tc>
          <w:tcPr>
            <w:tcW w:w="7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=5人</w:t>
            </w:r>
          </w:p>
        </w:tc>
        <w:tc>
          <w:tcPr>
            <w:tcW w:w="52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43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94"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1514"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工作任务完成率</w:t>
            </w:r>
          </w:p>
        </w:tc>
        <w:tc>
          <w:tcPr>
            <w:tcW w:w="1204"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7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52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43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94"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bookmarkStart w:id="0" w:name="_GoBack"/>
            <w:bookmarkEnd w:id="0"/>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1514"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项目完成时间</w:t>
            </w:r>
          </w:p>
        </w:tc>
        <w:tc>
          <w:tcPr>
            <w:tcW w:w="1204"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2024年12月31日</w:t>
            </w:r>
          </w:p>
        </w:tc>
        <w:tc>
          <w:tcPr>
            <w:tcW w:w="7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=2024年12月31日</w:t>
            </w:r>
          </w:p>
        </w:tc>
        <w:tc>
          <w:tcPr>
            <w:tcW w:w="52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43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94"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514"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资金支付及时率</w:t>
            </w:r>
          </w:p>
        </w:tc>
        <w:tc>
          <w:tcPr>
            <w:tcW w:w="1204"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7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52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43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94"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1514"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第一书记工作经费</w:t>
            </w:r>
          </w:p>
        </w:tc>
        <w:tc>
          <w:tcPr>
            <w:tcW w:w="1204"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highlight w:val="none"/>
              </w:rPr>
              <w:t>≤</w:t>
            </w:r>
            <w:r>
              <w:rPr>
                <w:rFonts w:ascii="宋体" w:hAnsi="宋体" w:eastAsia="宋体"/>
                <w:sz w:val="16"/>
              </w:rPr>
              <w:t>2万元</w:t>
            </w:r>
          </w:p>
        </w:tc>
        <w:tc>
          <w:tcPr>
            <w:tcW w:w="7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=2万元</w:t>
            </w:r>
          </w:p>
        </w:tc>
        <w:tc>
          <w:tcPr>
            <w:tcW w:w="52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w:t>
            </w:r>
          </w:p>
        </w:tc>
        <w:tc>
          <w:tcPr>
            <w:tcW w:w="43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w:t>
            </w:r>
          </w:p>
        </w:tc>
        <w:tc>
          <w:tcPr>
            <w:tcW w:w="994"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514"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为民办实事好事工作经费</w:t>
            </w:r>
          </w:p>
        </w:tc>
        <w:tc>
          <w:tcPr>
            <w:tcW w:w="1204"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highlight w:val="none"/>
              </w:rPr>
              <w:t>≤</w:t>
            </w:r>
            <w:r>
              <w:rPr>
                <w:rFonts w:ascii="宋体" w:hAnsi="宋体" w:eastAsia="宋体"/>
                <w:sz w:val="16"/>
              </w:rPr>
              <w:t>5万元</w:t>
            </w:r>
          </w:p>
        </w:tc>
        <w:tc>
          <w:tcPr>
            <w:tcW w:w="7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=5万元</w:t>
            </w:r>
          </w:p>
        </w:tc>
        <w:tc>
          <w:tcPr>
            <w:tcW w:w="52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43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w:t>
            </w:r>
          </w:p>
        </w:tc>
        <w:tc>
          <w:tcPr>
            <w:tcW w:w="994"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514"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解决群众困难经费</w:t>
            </w:r>
          </w:p>
        </w:tc>
        <w:tc>
          <w:tcPr>
            <w:tcW w:w="1204"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highlight w:val="none"/>
              </w:rPr>
              <w:t>≤</w:t>
            </w:r>
            <w:r>
              <w:rPr>
                <w:rFonts w:ascii="宋体" w:hAnsi="宋体" w:eastAsia="宋体"/>
                <w:sz w:val="16"/>
              </w:rPr>
              <w:t>2.50万元</w:t>
            </w:r>
          </w:p>
        </w:tc>
        <w:tc>
          <w:tcPr>
            <w:tcW w:w="7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=2.5万元</w:t>
            </w:r>
          </w:p>
        </w:tc>
        <w:tc>
          <w:tcPr>
            <w:tcW w:w="52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w:t>
            </w:r>
          </w:p>
        </w:tc>
        <w:tc>
          <w:tcPr>
            <w:tcW w:w="43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w:t>
            </w:r>
          </w:p>
        </w:tc>
        <w:tc>
          <w:tcPr>
            <w:tcW w:w="994"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514"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解决村级组织工作经费</w:t>
            </w:r>
          </w:p>
        </w:tc>
        <w:tc>
          <w:tcPr>
            <w:tcW w:w="1204"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highlight w:val="none"/>
              </w:rPr>
              <w:t>≤</w:t>
            </w:r>
            <w:r>
              <w:rPr>
                <w:rFonts w:ascii="宋体" w:hAnsi="宋体" w:eastAsia="宋体"/>
                <w:sz w:val="16"/>
              </w:rPr>
              <w:t>2.50万元</w:t>
            </w:r>
          </w:p>
        </w:tc>
        <w:tc>
          <w:tcPr>
            <w:tcW w:w="7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=2.5万元</w:t>
            </w:r>
          </w:p>
        </w:tc>
        <w:tc>
          <w:tcPr>
            <w:tcW w:w="52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w:t>
            </w:r>
          </w:p>
        </w:tc>
        <w:tc>
          <w:tcPr>
            <w:tcW w:w="43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w:t>
            </w:r>
          </w:p>
        </w:tc>
        <w:tc>
          <w:tcPr>
            <w:tcW w:w="994"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1514"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提升基层治理能力</w:t>
            </w:r>
          </w:p>
        </w:tc>
        <w:tc>
          <w:tcPr>
            <w:tcW w:w="1204"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有效提升</w:t>
            </w:r>
          </w:p>
        </w:tc>
        <w:tc>
          <w:tcPr>
            <w:tcW w:w="7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基本达成目标</w:t>
            </w:r>
          </w:p>
        </w:tc>
        <w:tc>
          <w:tcPr>
            <w:tcW w:w="52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43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94"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1514"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工作队所在村村民满意度</w:t>
            </w:r>
          </w:p>
        </w:tc>
        <w:tc>
          <w:tcPr>
            <w:tcW w:w="1204"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highlight w:val="none"/>
              </w:rPr>
              <w:t>≥</w:t>
            </w:r>
            <w:r>
              <w:rPr>
                <w:rFonts w:ascii="宋体" w:hAnsi="宋体" w:eastAsia="宋体"/>
                <w:sz w:val="16"/>
              </w:rPr>
              <w:t>95%</w:t>
            </w:r>
          </w:p>
        </w:tc>
        <w:tc>
          <w:tcPr>
            <w:tcW w:w="70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52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438"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94"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3480"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204"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2663"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100分</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本年度本单位政府采购为大中型企业采购，故授予小微企业合同金额为0.00万元。</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0000000000000000000"/>
    <w:charset w:val="00"/>
    <w:family w:val="auto"/>
    <w:pitch w:val="default"/>
    <w:sig w:usb0="00000000" w:usb1="00000000" w:usb2="00000000" w:usb3="00000000" w:csb0="00000000" w:csb1="00000000"/>
  </w:font>
  <w:font w:name="方正书宋_GBK">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true"/>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false" upright="false">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FgAAAGRycy9QSwECFAAUAAAACACHTuJAzql5uc8AAAAFAQAADwAAAAAAAAABACAA&#10;AAA4AAAAZHJzL2Rvd25yZXYueG1sUEsBAhQAFAAAAAgAh07iQBCr8CPHAQAAewMAAA4AAAAAAAAA&#10;AQAgAAAANAEAAGRycy9lMm9Eb2MueG1sUEsFBgAAAAAGAAYAWQEAAG0FA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9"/>
  <w:bordersDoNotSurroundHeader w:val="false"/>
  <w:bordersDoNotSurroundFooter w:val="false"/>
  <w:documentProtection w:enforcement="0"/>
  <w:defaultTabStop w:val="420"/>
  <w:hyphenationZone w:val="36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74828F1"/>
    <w:rsid w:val="09A729D8"/>
    <w:rsid w:val="0A3C58E8"/>
    <w:rsid w:val="0A7B4867"/>
    <w:rsid w:val="0B8C3ECC"/>
    <w:rsid w:val="0BB70DAE"/>
    <w:rsid w:val="0C3613A3"/>
    <w:rsid w:val="0C7227A7"/>
    <w:rsid w:val="0DCA6EF7"/>
    <w:rsid w:val="0E4B1576"/>
    <w:rsid w:val="0EA04331"/>
    <w:rsid w:val="0F9811B3"/>
    <w:rsid w:val="112B208B"/>
    <w:rsid w:val="11E15093"/>
    <w:rsid w:val="120E0809"/>
    <w:rsid w:val="13096DD7"/>
    <w:rsid w:val="19071D6C"/>
    <w:rsid w:val="19B5554D"/>
    <w:rsid w:val="1B8F2D19"/>
    <w:rsid w:val="1C317E4F"/>
    <w:rsid w:val="1C472464"/>
    <w:rsid w:val="1C61781E"/>
    <w:rsid w:val="1DAF458D"/>
    <w:rsid w:val="1E086ACE"/>
    <w:rsid w:val="1E4B5CA5"/>
    <w:rsid w:val="1EAA4A5F"/>
    <w:rsid w:val="1F587A0B"/>
    <w:rsid w:val="2064678E"/>
    <w:rsid w:val="20BC0B75"/>
    <w:rsid w:val="20DD6197"/>
    <w:rsid w:val="21F317F2"/>
    <w:rsid w:val="2241392C"/>
    <w:rsid w:val="23616B3D"/>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1E69FA"/>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DFAAA48"/>
    <w:rsid w:val="5F9C1D9F"/>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23</Pages>
  <Words>5908</Words>
  <Characters>6574</Characters>
  <Lines>0</Lines>
  <Paragraphs>0</Paragraphs>
  <TotalTime>7</TotalTime>
  <ScaleCrop>false</ScaleCrop>
  <LinksUpToDate>false</LinksUpToDate>
  <CharactersWithSpaces>6582</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user</cp:lastModifiedBy>
  <cp:lastPrinted>2025-09-23T16:11:39Z</cp:lastPrinted>
  <dcterms:modified xsi:type="dcterms:W3CDTF">2025-09-23T16:13:19Z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B858A68E913346F885B5BC17D4DBEB06_13</vt:lpwstr>
  </property>
  <property fmtid="{D5CDD505-2E9C-101B-9397-08002B2CF9AE}" pid="4" name="KSOTemplateDocerSaveRecord">
    <vt:lpwstr>eyJoZGlkIjoiZWE5M2E4OTRkNmEwYTUyNjM2Mzg3NThiMTA5NmIzZWUiLCJ1c2VySWQiOiI0OTMxMTE3MjUifQ==</vt:lpwstr>
  </property>
</Properties>
</file>