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40" w:lineRule="exact"/>
        <w:jc w:val="left"/>
        <w:rPr>
          <w:rFonts w:ascii="仿宋" w:hAnsi="仿宋" w:eastAsia="仿宋" w:cs="宋体"/>
          <w:b w:val="0"/>
          <w:bCs w:val="0"/>
          <w:kern w:val="0"/>
          <w:sz w:val="32"/>
          <w:szCs w:val="32"/>
        </w:rPr>
      </w:pPr>
      <w:r>
        <w:rPr>
          <w:rFonts w:hint="eastAsia" w:ascii="仿宋" w:hAnsi="仿宋" w:eastAsia="仿宋" w:cs="宋体"/>
          <w:b w:val="0"/>
          <w:bCs w:val="0"/>
          <w:kern w:val="0"/>
          <w:sz w:val="32"/>
          <w:szCs w:val="32"/>
        </w:rPr>
        <w:t>附件2：</w:t>
      </w:r>
    </w:p>
    <w:p>
      <w:pPr>
        <w:spacing w:line="540" w:lineRule="exact"/>
        <w:jc w:val="center"/>
        <w:rPr>
          <w:rFonts w:ascii="华文中宋" w:hAnsi="华文中宋" w:eastAsia="华文中宋" w:cs="宋体"/>
          <w:b w:val="0"/>
          <w:bCs w:val="0"/>
          <w:kern w:val="0"/>
          <w:sz w:val="52"/>
          <w:szCs w:val="52"/>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rPr>
        <w:t>项目支出绩效自评报告</w:t>
      </w: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w:t>
      </w:r>
      <w:r>
        <w:rPr>
          <w:rStyle w:val="17"/>
          <w:rFonts w:hint="eastAsia" w:ascii="仿宋" w:hAnsi="仿宋" w:eastAsia="仿宋" w:cs="仿宋"/>
          <w:b w:val="0"/>
          <w:bCs w:val="0"/>
          <w:spacing w:val="-4"/>
          <w:sz w:val="32"/>
          <w:szCs w:val="32"/>
        </w:rPr>
        <w:t>2024</w:t>
      </w:r>
      <w:bookmarkStart w:id="0" w:name="_GoBack"/>
      <w:bookmarkEnd w:id="0"/>
      <w:r>
        <w:rPr>
          <w:rFonts w:hint="eastAsia" w:ascii="仿宋" w:hAnsi="仿宋" w:eastAsia="仿宋" w:cs="仿宋"/>
          <w:b w:val="0"/>
          <w:bCs w:val="0"/>
          <w:kern w:val="0"/>
          <w:sz w:val="32"/>
          <w:szCs w:val="32"/>
        </w:rPr>
        <w:t>年度）</w:t>
      </w:r>
    </w:p>
    <w:p>
      <w:pPr>
        <w:spacing w:line="540" w:lineRule="exact"/>
        <w:jc w:val="both"/>
        <w:rPr>
          <w:rFonts w:hint="eastAsia" w:ascii="仿宋" w:hAnsi="仿宋" w:eastAsia="仿宋" w:cs="仿宋"/>
          <w:b w:val="0"/>
          <w:bCs w:val="0"/>
          <w:kern w:val="0"/>
          <w:sz w:val="32"/>
          <w:szCs w:val="32"/>
        </w:rPr>
      </w:pPr>
    </w:p>
    <w:p>
      <w:pPr>
        <w:spacing w:line="540" w:lineRule="exact"/>
        <w:jc w:val="both"/>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jc w:val="center"/>
        <w:rPr>
          <w:rFonts w:hint="eastAsia" w:ascii="仿宋" w:hAnsi="仿宋" w:eastAsia="仿宋" w:cs="仿宋"/>
          <w:b w:val="0"/>
          <w:bCs w:val="0"/>
          <w:kern w:val="0"/>
          <w:sz w:val="32"/>
          <w:szCs w:val="32"/>
        </w:rPr>
      </w:pPr>
    </w:p>
    <w:p>
      <w:pPr>
        <w:spacing w:line="540" w:lineRule="exact"/>
        <w:rPr>
          <w:rFonts w:hint="eastAsia" w:ascii="仿宋" w:hAnsi="仿宋" w:eastAsia="仿宋" w:cs="仿宋"/>
          <w:b w:val="0"/>
          <w:bCs w:val="0"/>
          <w:kern w:val="0"/>
          <w:sz w:val="32"/>
          <w:szCs w:val="32"/>
        </w:rPr>
      </w:pPr>
    </w:p>
    <w:p>
      <w:pPr>
        <w:spacing w:line="700" w:lineRule="exact"/>
        <w:jc w:val="left"/>
        <w:rPr>
          <w:rFonts w:hint="eastAsia" w:ascii="仿宋" w:hAnsi="仿宋" w:eastAsia="仿宋" w:cs="仿宋"/>
          <w:b w:val="0"/>
          <w:bCs w:val="0"/>
          <w:kern w:val="0"/>
          <w:sz w:val="32"/>
          <w:szCs w:val="32"/>
        </w:rPr>
      </w:pPr>
      <w:r>
        <w:rPr>
          <w:rFonts w:hint="eastAsia" w:ascii="仿宋" w:hAnsi="仿宋" w:eastAsia="仿宋" w:cs="仿宋"/>
          <w:b w:val="0"/>
          <w:bCs w:val="0"/>
          <w:kern w:val="0"/>
          <w:sz w:val="32"/>
          <w:szCs w:val="32"/>
        </w:rPr>
        <w:t xml:space="preserve">     </w:t>
      </w:r>
    </w:p>
    <w:p>
      <w:pPr>
        <w:spacing w:line="700" w:lineRule="exact"/>
        <w:ind w:firstLine="803" w:firstLineChars="25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bCs/>
          <w:kern w:val="0"/>
          <w:sz w:val="32"/>
          <w:szCs w:val="32"/>
        </w:rPr>
        <w:t>项目名称：</w:t>
      </w:r>
      <w:r>
        <w:rPr>
          <w:rStyle w:val="17"/>
          <w:rFonts w:hint="eastAsia" w:ascii="仿宋_GB2312" w:hAnsi="仿宋_GB2312" w:eastAsia="仿宋_GB2312" w:cs="仿宋_GB2312"/>
          <w:b w:val="0"/>
          <w:bCs w:val="0"/>
          <w:spacing w:val="-4"/>
          <w:sz w:val="32"/>
          <w:szCs w:val="32"/>
        </w:rPr>
        <w:t>普通高中学生资助补助经费项目</w:t>
      </w:r>
    </w:p>
    <w:p>
      <w:pPr>
        <w:spacing w:line="540" w:lineRule="exact"/>
        <w:ind w:firstLine="567"/>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 xml:space="preserve">  </w:t>
      </w:r>
      <w:r>
        <w:rPr>
          <w:rFonts w:hint="eastAsia" w:ascii="仿宋_GB2312" w:hAnsi="仿宋_GB2312" w:eastAsia="仿宋_GB2312" w:cs="仿宋_GB2312"/>
          <w:b/>
          <w:bCs/>
          <w:kern w:val="0"/>
          <w:sz w:val="32"/>
          <w:szCs w:val="32"/>
        </w:rPr>
        <w:t>实施单位（公章）</w:t>
      </w:r>
      <w:r>
        <w:rPr>
          <w:rFonts w:hint="eastAsia" w:ascii="仿宋_GB2312" w:hAnsi="仿宋_GB2312" w:eastAsia="仿宋_GB2312" w:cs="仿宋_GB2312"/>
          <w:b w:val="0"/>
          <w:bCs w:val="0"/>
          <w:kern w:val="0"/>
          <w:sz w:val="32"/>
          <w:szCs w:val="32"/>
        </w:rPr>
        <w:t>：</w:t>
      </w:r>
      <w:r>
        <w:rPr>
          <w:rStyle w:val="17"/>
          <w:rFonts w:hint="eastAsia" w:ascii="仿宋_GB2312" w:hAnsi="仿宋_GB2312" w:eastAsia="仿宋_GB2312" w:cs="仿宋_GB2312"/>
          <w:b w:val="0"/>
          <w:bCs w:val="0"/>
          <w:spacing w:val="-4"/>
          <w:sz w:val="32"/>
          <w:szCs w:val="32"/>
        </w:rPr>
        <w:t>新疆维吾尔自治区和田地区第一中学</w:t>
      </w:r>
    </w:p>
    <w:p>
      <w:pPr>
        <w:spacing w:line="540" w:lineRule="exact"/>
        <w:ind w:firstLine="803" w:firstLineChars="250"/>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kern w:val="0"/>
          <w:sz w:val="32"/>
          <w:szCs w:val="32"/>
        </w:rPr>
        <w:t>主管部门（公章）：</w:t>
      </w:r>
      <w:r>
        <w:rPr>
          <w:rStyle w:val="17"/>
          <w:rFonts w:hint="eastAsia" w:ascii="仿宋_GB2312" w:hAnsi="仿宋_GB2312" w:eastAsia="仿宋_GB2312" w:cs="仿宋_GB2312"/>
          <w:b w:val="0"/>
          <w:bCs w:val="0"/>
          <w:spacing w:val="-4"/>
          <w:sz w:val="32"/>
          <w:szCs w:val="32"/>
        </w:rPr>
        <w:t>新疆维吾尔自治区和田地区第一中学</w:t>
      </w:r>
    </w:p>
    <w:p>
      <w:pPr>
        <w:spacing w:line="540" w:lineRule="exact"/>
        <w:ind w:firstLine="803" w:firstLineChars="250"/>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kern w:val="0"/>
          <w:sz w:val="32"/>
          <w:szCs w:val="32"/>
        </w:rPr>
        <w:t>项目负责人（签章）：</w:t>
      </w:r>
      <w:r>
        <w:rPr>
          <w:rStyle w:val="17"/>
          <w:rFonts w:hint="eastAsia" w:ascii="仿宋_GB2312" w:hAnsi="仿宋_GB2312" w:eastAsia="仿宋_GB2312" w:cs="仿宋_GB2312"/>
          <w:b w:val="0"/>
          <w:bCs w:val="0"/>
          <w:spacing w:val="-4"/>
          <w:sz w:val="32"/>
          <w:szCs w:val="32"/>
        </w:rPr>
        <w:t>王海明</w:t>
      </w:r>
    </w:p>
    <w:p>
      <w:pPr>
        <w:spacing w:line="540" w:lineRule="exact"/>
        <w:ind w:left="273" w:firstLine="567"/>
        <w:rPr>
          <w:rStyle w:val="17"/>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bCs/>
          <w:kern w:val="0"/>
          <w:sz w:val="32"/>
          <w:szCs w:val="32"/>
        </w:rPr>
        <w:t>填报时间：</w:t>
      </w:r>
      <w:r>
        <w:rPr>
          <w:rStyle w:val="17"/>
          <w:rFonts w:hint="eastAsia" w:ascii="仿宋_GB2312" w:hAnsi="仿宋_GB2312" w:eastAsia="仿宋_GB2312" w:cs="仿宋_GB2312"/>
          <w:b w:val="0"/>
          <w:bCs w:val="0"/>
          <w:spacing w:val="-4"/>
          <w:sz w:val="32"/>
          <w:szCs w:val="32"/>
        </w:rPr>
        <w:t>2025年03月17日</w:t>
      </w:r>
    </w:p>
    <w:p>
      <w:pPr>
        <w:spacing w:line="700" w:lineRule="exact"/>
        <w:ind w:firstLine="755" w:firstLineChars="236"/>
        <w:jc w:val="left"/>
        <w:rPr>
          <w:rFonts w:hint="eastAsia" w:ascii="仿宋_GB2312" w:hAnsi="仿宋_GB2312" w:eastAsia="仿宋_GB2312" w:cs="仿宋_GB2312"/>
          <w:b w:val="0"/>
          <w:bCs w:val="0"/>
          <w:kern w:val="0"/>
          <w:sz w:val="32"/>
          <w:szCs w:val="32"/>
        </w:rPr>
      </w:pPr>
    </w:p>
    <w:p>
      <w:pPr>
        <w:spacing w:line="540" w:lineRule="exact"/>
        <w:rPr>
          <w:rStyle w:val="17"/>
          <w:rFonts w:hint="eastAsia" w:ascii="仿宋_GB2312" w:hAnsi="仿宋_GB2312" w:eastAsia="仿宋_GB2312" w:cs="仿宋_GB2312"/>
          <w:b w:val="0"/>
          <w:bCs w:val="0"/>
          <w:spacing w:val="-4"/>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仿宋_GB2312" w:hAnsi="仿宋_GB2312" w:eastAsia="仿宋_GB2312" w:cs="仿宋_GB2312"/>
          <w:b w:val="0"/>
          <w:bCs w:val="0"/>
          <w:spacing w:val="-4"/>
          <w:sz w:val="32"/>
          <w:szCs w:val="32"/>
        </w:rPr>
      </w:pPr>
      <w:r>
        <w:rPr>
          <w:rStyle w:val="17"/>
          <w:rFonts w:hint="eastAsia" w:ascii="黑体" w:hAnsi="黑体" w:eastAsia="黑体" w:cs="黑体"/>
          <w:b w:val="0"/>
          <w:bCs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新疆维吾尔自治区和田地区第一中学1953年成立。具有60余年历史的以举办高中教育为主的自治区级重点中学（学校坐落于和田市市中心）。学校总面积为5.41229万平方米，建筑面积为4.0858万平方米。该项目是时任中央政治局委员、自治区重点项目，也是和田地委、行署实施教育优先发展战略的重点项目。学校的建成使用对进一步推动和田教育，提高和田人口素质，增强和田自我发展的能力，都起到了很好的推动作用和引领示范作用。</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国家助学金属于国家教育领域的普惠性政策，是国家</w:t>
      </w:r>
      <w:r>
        <w:rPr>
          <w:rStyle w:val="17"/>
          <w:rFonts w:hint="eastAsia" w:ascii="仿宋_GB2312" w:hAnsi="仿宋_GB2312" w:eastAsia="仿宋_GB2312" w:cs="仿宋_GB2312"/>
          <w:b w:val="0"/>
          <w:bCs w:val="0"/>
          <w:spacing w:val="-4"/>
          <w:sz w:val="32"/>
          <w:szCs w:val="32"/>
          <w:lang w:val="en-US" w:eastAsia="zh-CN"/>
        </w:rPr>
        <w:t>针对</w:t>
      </w:r>
      <w:r>
        <w:rPr>
          <w:rStyle w:val="17"/>
          <w:rFonts w:hint="eastAsia" w:ascii="仿宋_GB2312" w:hAnsi="仿宋_GB2312" w:eastAsia="仿宋_GB2312" w:cs="仿宋_GB2312"/>
          <w:b w:val="0"/>
          <w:bCs w:val="0"/>
          <w:spacing w:val="-4"/>
          <w:sz w:val="32"/>
          <w:szCs w:val="32"/>
        </w:rPr>
        <w:t>关于义务教育有保障的具体举措，体现党和国家对普及高中阶段教育的高度重视。因国家助学金按自然年拨发，而且是根据去年学校实有学生人数下拨本年的国家助学金，而我校学生人数不断在发生变化，容易造成国家助学金拨发和分配出现衔接不畅的情况。为贯彻落实教育精准</w:t>
      </w:r>
      <w:r>
        <w:rPr>
          <w:rStyle w:val="17"/>
          <w:rFonts w:hint="eastAsia" w:ascii="仿宋_GB2312" w:hAnsi="仿宋_GB2312" w:eastAsia="仿宋_GB2312" w:cs="仿宋_GB2312"/>
          <w:b w:val="0"/>
          <w:bCs w:val="0"/>
          <w:spacing w:val="-4"/>
          <w:sz w:val="32"/>
          <w:szCs w:val="32"/>
          <w:lang w:val="en-US" w:eastAsia="zh-CN"/>
        </w:rPr>
        <w:t>困难生</w:t>
      </w:r>
      <w:r>
        <w:rPr>
          <w:rStyle w:val="17"/>
          <w:rFonts w:hint="eastAsia" w:ascii="仿宋_GB2312" w:hAnsi="仿宋_GB2312" w:eastAsia="仿宋_GB2312" w:cs="仿宋_GB2312"/>
          <w:b w:val="0"/>
          <w:bCs w:val="0"/>
          <w:spacing w:val="-4"/>
          <w:sz w:val="32"/>
          <w:szCs w:val="32"/>
        </w:rPr>
        <w:t>妥善安排国家助学金资助工作，我校根据国家助学金工作相关规定，结合具体实际制定了国家助学金分配方案。</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免学费补助资金指普通高中学生享受免学费政策后，为弥补学校运转出现的经费缺口，由财政核拨的补助资金。免学费补助资金由中央、自治区本级财政共同承担，此项资金主要用于日常办公、文体活动、教师培训、水电、取暖、交通差旅、邮电、教学设备及图书资料购置、日常的房屋、建筑物及仪器设备的维修保护等方面。</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2.主要内容</w:t>
      </w:r>
      <w:r>
        <w:rPr>
          <w:rFonts w:hint="eastAsia" w:ascii="仿宋_GB2312" w:hAnsi="仿宋_GB2312" w:eastAsia="仿宋_GB2312" w:cs="仿宋_GB2312"/>
          <w:b/>
          <w:bCs/>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发放学生助学金，因国家助学金按自然年拨发，而且是根据去年学校实有学生人数下拨本年的国家助学金，而我校学生人数不断在发生变化，容易造成国家助学金拨发和分配出现衔接不畅的情况。为贯彻落实教育精准妥善安排国家助学金资助工作，我校根据国家助学金工作相关规定，结合具体实际制定了国家助学金分配方案。</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免学费补助资金指普通高中学生享受免学费政策后，为弥补学校运转出现的经费缺口，由财政核拨的补助资金。免学费补助资金由中央、自治区本级财政共同承担，此项资金主要用于日常办公、文体活动、教师培训、水电、取暖、交通差旅、邮电、教学设备及图书资料购置、日常的房屋、建筑物及仪器设备的维修保护等方面。</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3.实施情况</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实施主体：和田地区第一中学。</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实施时间：本项目实施期限为2024年1月—2024年12月。</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实施情况：本项目的实施符合财政部、国家发展和改革委员会、教育部和人力资源和社会保障部联合印发《关于普通高中学校农村家庭经济困难学生免学费工作意见》；《国务院关于大力发展教育的决定》(国发〔2005〕35号)，根据资金管理办法和立项依据，本项目计划用于保障1862名在校高中生助学金发放和免学费日常公用经费，通过项目实施有效提升教育教学质量，满足家庭困难学生基本生活需要，有效减轻学生家庭经济困难，有效提高</w:t>
      </w:r>
      <w:r>
        <w:rPr>
          <w:rStyle w:val="17"/>
          <w:rFonts w:hint="eastAsia" w:ascii="仿宋_GB2312" w:hAnsi="仿宋_GB2312" w:eastAsia="仿宋_GB2312" w:cs="仿宋_GB2312"/>
          <w:b w:val="0"/>
          <w:bCs w:val="0"/>
          <w:spacing w:val="-4"/>
          <w:sz w:val="32"/>
          <w:szCs w:val="32"/>
          <w:lang w:val="en-US" w:eastAsia="zh-CN"/>
        </w:rPr>
        <w:t>困难</w:t>
      </w:r>
      <w:r>
        <w:rPr>
          <w:rStyle w:val="17"/>
          <w:rFonts w:hint="eastAsia" w:ascii="仿宋_GB2312" w:hAnsi="仿宋_GB2312" w:eastAsia="仿宋_GB2312" w:cs="仿宋_GB2312"/>
          <w:b w:val="0"/>
          <w:bCs w:val="0"/>
          <w:spacing w:val="-4"/>
          <w:sz w:val="32"/>
          <w:szCs w:val="32"/>
        </w:rPr>
        <w:t>家庭经济收入，助力家庭</w:t>
      </w:r>
      <w:r>
        <w:rPr>
          <w:rStyle w:val="17"/>
          <w:rFonts w:hint="eastAsia" w:ascii="仿宋_GB2312" w:hAnsi="仿宋_GB2312" w:eastAsia="仿宋_GB2312" w:cs="仿宋_GB2312"/>
          <w:b w:val="0"/>
          <w:bCs w:val="0"/>
          <w:spacing w:val="-4"/>
          <w:sz w:val="32"/>
          <w:szCs w:val="32"/>
          <w:lang w:val="en-US" w:eastAsia="zh-CN"/>
        </w:rPr>
        <w:t>减轻负担</w:t>
      </w:r>
      <w:r>
        <w:rPr>
          <w:rStyle w:val="17"/>
          <w:rFonts w:hint="eastAsia" w:ascii="仿宋_GB2312" w:hAnsi="仿宋_GB2312" w:eastAsia="仿宋_GB2312" w:cs="仿宋_GB2312"/>
          <w:b w:val="0"/>
          <w:bCs w:val="0"/>
          <w:spacing w:val="-4"/>
          <w:sz w:val="32"/>
          <w:szCs w:val="32"/>
        </w:rPr>
        <w:t>，确保每一位学生有学上、上得起学、不辍学。</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4.资金投入和使用情况</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（1）项目资金安排落实、总投入等情况分析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本项目预算安排总额为515.82万元，资金来源为中央专项资金及自治区专项资金，其中：财政资金515.82万元，其他资金0万元，2024年实际收到预算资金515.82万元，预算资金到位率为100%。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（2）项目资金实际使用情况分析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本项目实际支付资金515.33万元，预算执行率99.91%，本项目资金主要用于支付免学费费用212.96万元、学生助学金费用302.37万元。</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（二）项目绩效目标</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313" w:firstLineChars="10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1.总体目标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目标1、本项普通高中免学费补助213.45万元用于办公采购、校园维修、水电费缴纳支出；</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目标2、普通高中助学金302.37万元用于保障1516名在校高中生助学金发放</w:t>
      </w:r>
      <w:r>
        <w:rPr>
          <w:rStyle w:val="17"/>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目标3、该项目的实施有效保障学校正常运转、减轻缓解学生经济困难，提高教育教学质量，确保</w:t>
      </w:r>
      <w:r>
        <w:rPr>
          <w:rStyle w:val="17"/>
          <w:rFonts w:hint="eastAsia" w:ascii="仿宋_GB2312" w:hAnsi="仿宋_GB2312" w:eastAsia="仿宋_GB2312" w:cs="仿宋_GB2312"/>
          <w:b w:val="0"/>
          <w:bCs w:val="0"/>
          <w:spacing w:val="-4"/>
          <w:sz w:val="32"/>
          <w:szCs w:val="32"/>
          <w:lang w:val="en-US" w:eastAsia="zh-CN"/>
        </w:rPr>
        <w:t>困难</w:t>
      </w:r>
      <w:r>
        <w:rPr>
          <w:rStyle w:val="17"/>
          <w:rFonts w:hint="eastAsia" w:ascii="仿宋_GB2312" w:hAnsi="仿宋_GB2312" w:eastAsia="仿宋_GB2312" w:cs="仿宋_GB2312"/>
          <w:b w:val="0"/>
          <w:bCs w:val="0"/>
          <w:spacing w:val="-4"/>
          <w:sz w:val="32"/>
          <w:szCs w:val="32"/>
        </w:rPr>
        <w:t>家庭子女能完成高中学业。</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2.阶段性目标</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前期准备工作：2024年3月10日—3月20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实施：本项目计划用于保障1862名在校高中生助学金发放和免学费日常公用经费，截至2024年12月31日，普通高中免学费补助212.96万元用于办公采购、校园维修、水电费缴纳支出，普通高中助学金302.37万元用于保障1516名在校高中生助学金发放，有效提升教育教学质量，满足家庭困难学生基本生活需要，有效减轻学生家庭经济困难，有效提高贫困家庭经济收入，助力家庭</w:t>
      </w:r>
      <w:r>
        <w:rPr>
          <w:rStyle w:val="17"/>
          <w:rFonts w:hint="eastAsia" w:ascii="仿宋_GB2312" w:hAnsi="仿宋_GB2312" w:eastAsia="仿宋_GB2312" w:cs="仿宋_GB2312"/>
          <w:b w:val="0"/>
          <w:bCs w:val="0"/>
          <w:spacing w:val="-4"/>
          <w:sz w:val="32"/>
          <w:szCs w:val="32"/>
          <w:lang w:val="en-US" w:eastAsia="zh-CN"/>
        </w:rPr>
        <w:t>减轻负担</w:t>
      </w:r>
      <w:r>
        <w:rPr>
          <w:rStyle w:val="17"/>
          <w:rFonts w:hint="eastAsia" w:ascii="仿宋_GB2312" w:hAnsi="仿宋_GB2312" w:eastAsia="仿宋_GB2312" w:cs="仿宋_GB2312"/>
          <w:b w:val="0"/>
          <w:bCs w:val="0"/>
          <w:spacing w:val="-4"/>
          <w:sz w:val="32"/>
          <w:szCs w:val="32"/>
        </w:rPr>
        <w:t>，确保每一位学生有学上、上得起学、不辍学。</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（一）绩效评价目的、对象和范围</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219" w:firstLineChars="7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普通高中学生资助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一是</w:t>
      </w:r>
      <w:r>
        <w:rPr>
          <w:rStyle w:val="17"/>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二是</w:t>
      </w:r>
      <w:r>
        <w:rPr>
          <w:rStyle w:val="17"/>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三是</w:t>
      </w:r>
      <w:r>
        <w:rPr>
          <w:rStyle w:val="17"/>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四是</w:t>
      </w:r>
      <w:r>
        <w:rPr>
          <w:rStyle w:val="17"/>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2.绩效评价对象</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此次我单位根据《财政支出绩效评价管理暂行办法》（财预〔2020〕10号）文件要求实施评价工作，本次评价对象为普通高中学生资助补助项目，评价核心为项目的资金投入、产出及效益。</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3.绩效评价范围</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（二）绩效评价原则、评价指标体系、评价方法、评价标准</w:t>
      </w:r>
    </w:p>
    <w:p>
      <w:pPr>
        <w:keepNext w:val="0"/>
        <w:keepLines w:val="0"/>
        <w:pageBreakBefore w:val="0"/>
        <w:widowControl w:val="0"/>
        <w:kinsoku/>
        <w:wordWrap/>
        <w:overflowPunct/>
        <w:topLinePunct w:val="0"/>
        <w:autoSpaceDE/>
        <w:autoSpaceDN/>
        <w:bidi w:val="0"/>
        <w:adjustRightInd/>
        <w:snapToGrid/>
        <w:spacing w:line="560" w:lineRule="exact"/>
        <w:ind w:left="319" w:leftChars="152" w:firstLine="313" w:firstLineChars="10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（2）统筹兼顾。</w:t>
      </w:r>
      <w:r>
        <w:rPr>
          <w:rStyle w:val="17"/>
          <w:rFonts w:hint="eastAsia" w:ascii="仿宋_GB2312" w:hAnsi="仿宋_GB2312" w:eastAsia="仿宋_GB2312" w:cs="仿宋_GB2312"/>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（3）激励约束。</w:t>
      </w:r>
      <w:r>
        <w:rPr>
          <w:rStyle w:val="17"/>
          <w:rFonts w:hint="eastAsia" w:ascii="仿宋_GB2312" w:hAnsi="仿宋_GB2312" w:eastAsia="仿宋_GB2312" w:cs="仿宋_GB2312"/>
          <w:b w:val="0"/>
          <w:bCs w:val="0"/>
          <w:spacing w:val="-4"/>
          <w:sz w:val="32"/>
          <w:szCs w:val="32"/>
        </w:rPr>
        <w:t>绩效评价结果应与预算安排、政策调整、改进管理实质性挂钩，体现奖优罚劣和激励相容导向，有效要安排、低效要压减、无效要问责。</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（4）公开透明。</w:t>
      </w:r>
      <w:r>
        <w:rPr>
          <w:rStyle w:val="17"/>
          <w:rFonts w:hint="eastAsia" w:ascii="仿宋_GB2312" w:hAnsi="仿宋_GB2312" w:eastAsia="仿宋_GB2312" w:cs="仿宋_GB2312"/>
          <w:b w:val="0"/>
          <w:bCs w:val="0"/>
          <w:spacing w:val="-4"/>
          <w:sz w:val="32"/>
          <w:szCs w:val="32"/>
        </w:rPr>
        <w:t>绩效评价结果应依法依规公开，并自觉接受社会监督。</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（2）保证评价结果的真实性、公正性，提高评价报告的公信力。</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2.绩效评价指标体系</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3.评价方法</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4.评价标准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rPr>
        <w:t>1.前期准备</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王海明（评价小组组长）：主要负责审核并解决项目实施过程所有相关问题，复核绩效评价报告质量;</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刘晓丽（评价小组组员）：主要负责收集项目绩效相关所有资料，负责报告中数据的核实。</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2.组织实施</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2025年3月10日—4月30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3.分析评价</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2025年3月10日—4月30日，评价小组按照绩效评价的原则和规范，对取得的资料进行审查核实，对采集的数据进行分析，按照绩效评价指标评分表逐项进行打分、分析、汇总各方评价结果。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4.撰写与提交评价报告</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2025年3月10日—4月30日评价小组撰写绩效评价报告，按照新疆维吾尔自治区财政绩效管理信息系统绩效评价模块中统一格式和文本框架撰写绩效评价报告并提交审核。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5.问题整改</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6.档案整理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楷体_GB2312" w:hAnsi="楷体_GB2312" w:eastAsia="楷体_GB2312" w:cs="楷体_GB2312"/>
          <w:b w:val="0"/>
          <w:bCs w:val="0"/>
          <w:spacing w:val="-4"/>
          <w:sz w:val="32"/>
          <w:szCs w:val="32"/>
        </w:rPr>
      </w:pPr>
      <w:r>
        <w:rPr>
          <w:rStyle w:val="17"/>
          <w:rFonts w:hint="eastAsia" w:ascii="楷体_GB2312" w:hAnsi="楷体_GB2312" w:eastAsia="楷体_GB2312" w:cs="楷体_GB2312"/>
          <w:b w:val="0"/>
          <w:bCs w:val="0"/>
          <w:spacing w:val="-4"/>
          <w:sz w:val="32"/>
          <w:szCs w:val="32"/>
        </w:rPr>
        <w:t>（一）综合评价情况</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一是</w:t>
      </w:r>
      <w:r>
        <w:rPr>
          <w:rStyle w:val="17"/>
          <w:rFonts w:hint="eastAsia" w:ascii="仿宋_GB2312" w:hAnsi="仿宋_GB2312" w:eastAsia="仿宋_GB2312" w:cs="仿宋_GB2312"/>
          <w:b w:val="0"/>
          <w:bCs w:val="0"/>
          <w:spacing w:val="-4"/>
          <w:sz w:val="32"/>
          <w:szCs w:val="32"/>
        </w:rPr>
        <w:t>落实政策，做好学生资助补助工作，根据财政部、国家发展和改革委员会、教育部和人力资源和社会保障部联合颁发的《关于普通高中学校农村家庭经济困难学生免学费工作的意见》（国发〔2005〕35号），做好国家助学金按自然年拨发，进一步做好学生资助补助发放工作，及时调整了学生资助补助标准，有效减轻了学生家庭经济困难。</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二是</w:t>
      </w:r>
      <w:r>
        <w:rPr>
          <w:rStyle w:val="17"/>
          <w:rFonts w:hint="eastAsia" w:ascii="仿宋_GB2312" w:hAnsi="仿宋_GB2312" w:eastAsia="仿宋_GB2312" w:cs="仿宋_GB2312"/>
          <w:b w:val="0"/>
          <w:bCs w:val="0"/>
          <w:spacing w:val="-4"/>
          <w:sz w:val="32"/>
          <w:szCs w:val="32"/>
        </w:rPr>
        <w:t>精准识别，切实保障学生资助补助发放工作。本项目立项符合和地财教〔2023〕59号《关于提前下达2024年学生资助补助经费预算（中央直达资金）的通知》;和地财教〔2023〕69号文件《关于提前下达2024年自治区教育直达资金预算的通知》；（和地财教〔2024〕11号）中：“2024年学生资助补助经费预算”内容。免学费资金主要用于办公采购、校园维修、水电费缴纳支出，助学金主要用于发放学生助学金，该项目的实施有效保障学校正常运转、减轻缓解学生经济困难，有效提高了教育教学质量，确保</w:t>
      </w:r>
      <w:r>
        <w:rPr>
          <w:rStyle w:val="17"/>
          <w:rFonts w:hint="eastAsia" w:ascii="仿宋_GB2312" w:hAnsi="仿宋_GB2312" w:eastAsia="仿宋_GB2312" w:cs="仿宋_GB2312"/>
          <w:b w:val="0"/>
          <w:bCs w:val="0"/>
          <w:spacing w:val="-4"/>
          <w:sz w:val="32"/>
          <w:szCs w:val="32"/>
          <w:lang w:val="en-US" w:eastAsia="zh-CN"/>
        </w:rPr>
        <w:t>困难</w:t>
      </w:r>
      <w:r>
        <w:rPr>
          <w:rStyle w:val="17"/>
          <w:rFonts w:hint="eastAsia" w:ascii="仿宋_GB2312" w:hAnsi="仿宋_GB2312" w:eastAsia="仿宋_GB2312" w:cs="仿宋_GB2312"/>
          <w:b w:val="0"/>
          <w:bCs w:val="0"/>
          <w:spacing w:val="-4"/>
          <w:sz w:val="32"/>
          <w:szCs w:val="32"/>
        </w:rPr>
        <w:t>家庭子女能完成高中学业。</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三是</w:t>
      </w:r>
      <w:r>
        <w:rPr>
          <w:rStyle w:val="17"/>
          <w:rFonts w:hint="eastAsia" w:ascii="仿宋_GB2312" w:hAnsi="仿宋_GB2312" w:eastAsia="仿宋_GB2312" w:cs="仿宋_GB2312"/>
          <w:b w:val="0"/>
          <w:bCs w:val="0"/>
          <w:spacing w:val="-4"/>
          <w:sz w:val="32"/>
          <w:szCs w:val="32"/>
        </w:rPr>
        <w:t>认真审核，确保资金及时足额发放。对学生资助补贴对象信息进行核准排查，通过系统比对，严格核实受益学生姓名、身份证号、手机号码、家庭住址等基础信息，动态调整实名制管理信息，确保补贴资金及时足额发放至困难学生助学金卡中，有效减轻缓解了学生经济困难。</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楷体_GB2312" w:hAnsi="楷体_GB2312" w:eastAsia="楷体_GB2312" w:cs="楷体_GB2312"/>
          <w:b w:val="0"/>
          <w:bCs w:val="0"/>
          <w:spacing w:val="-4"/>
          <w:sz w:val="32"/>
          <w:szCs w:val="32"/>
        </w:rPr>
        <w:t>（二）评价结论</w:t>
      </w:r>
      <w:r>
        <w:rPr>
          <w:rStyle w:val="17"/>
          <w:rFonts w:hint="eastAsia" w:ascii="楷体_GB2312" w:hAnsi="楷体_GB2312" w:eastAsia="楷体_GB2312" w:cs="楷体_GB2312"/>
          <w:b w:val="0"/>
          <w:bCs w:val="0"/>
          <w:spacing w:val="-4"/>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99.09分，绩效评级为“优”。综合评价结论如下：本项目共设置三级指标数量20个，实现三级指标数量18个，总体完成率为99.09%。</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项目产出类指标共设置6个，满分指标4个，权重分20分，得分19.09分，得分率95.45%；</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项目效益类指标共设置3个，满分指标3个，权重分40分，得分40分，得分率100%。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详细情况见“附件2：项目综合得分表”。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楷体_GB2312" w:hAnsi="楷体_GB2312" w:eastAsia="楷体_GB2312" w:cs="楷体_GB2312"/>
          <w:b w:val="0"/>
          <w:bCs w:val="0"/>
          <w:spacing w:val="-4"/>
          <w:sz w:val="32"/>
          <w:szCs w:val="32"/>
          <w:lang w:val="en-US" w:eastAsia="zh-CN"/>
        </w:rPr>
      </w:pPr>
      <w:r>
        <w:rPr>
          <w:rStyle w:val="17"/>
          <w:rFonts w:hint="eastAsia" w:ascii="楷体_GB2312" w:hAnsi="楷体_GB2312" w:eastAsia="楷体_GB2312" w:cs="楷体_GB2312"/>
          <w:b w:val="0"/>
          <w:bCs w:val="0"/>
          <w:spacing w:val="-4"/>
          <w:sz w:val="32"/>
          <w:szCs w:val="32"/>
          <w:lang w:val="en-US" w:eastAsia="zh-CN"/>
        </w:rPr>
        <w:t>（一）项目决策情况</w:t>
      </w:r>
    </w:p>
    <w:p>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1.项目立项情况分析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（1）立项依据充分性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立项符合《关于普通高中学校农村家庭经济困难学生免学费工作的意见》（国发〔2005〕35号）中：“普通高中学生资助补助项目”，符合行业发展规划和政策要求；本项目立项符合《和田地区第一中学单位配置内设机构和人员编制规定》中职责范围中的“认真贯彻社会主义教育方针，培养德、智、体、美全面发展的建设者和接班人；严格执行国家的规定，建立教育教学标准和评估指标体系，加强课题研究，促进教育进步”，属于我单位履职所需；根据《财政资金直接支付申请书》，本项目资金性质为“公共财政预算”功能分类为“2050204高中教育”经济分类为“30299其他商品和服务支出”属于公共财政支持范围，符合中央、地方事权支出责任划分原则；经检查我单位财政应用平台指标，本项目不存在重复。</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（2）立项程序规范性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大力发展教育的决定》(国发〔2005〕35号)文件要求实施项目。</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2.绩效目标情况分析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（1）绩效目标合理性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本项目已设置年度绩效目标，具体内容为“目标1、本项目用于保障1857人在校高中生助学金春秋季发放302.37万元；目标2、普通高中免学费补助212.96万元</w:t>
      </w:r>
      <w:r>
        <w:rPr>
          <w:rStyle w:val="17"/>
          <w:rFonts w:hint="eastAsia" w:ascii="仿宋_GB2312" w:hAnsi="仿宋_GB2312" w:eastAsia="仿宋_GB2312" w:cs="仿宋_GB2312"/>
          <w:b w:val="0"/>
          <w:bCs w:val="0"/>
          <w:spacing w:val="-4"/>
          <w:sz w:val="32"/>
          <w:szCs w:val="32"/>
          <w:lang w:eastAsia="zh-CN"/>
        </w:rPr>
        <w:t>，</w:t>
      </w:r>
      <w:r>
        <w:rPr>
          <w:rStyle w:val="17"/>
          <w:rFonts w:hint="eastAsia" w:ascii="仿宋_GB2312" w:hAnsi="仿宋_GB2312" w:eastAsia="仿宋_GB2312" w:cs="仿宋_GB2312"/>
          <w:b w:val="0"/>
          <w:bCs w:val="0"/>
          <w:spacing w:val="-4"/>
          <w:sz w:val="32"/>
          <w:szCs w:val="32"/>
        </w:rPr>
        <w:t>用于办公采购、校园维修、水电费缴纳支出；目标3、该项目的实施有效保障学校正常运转、减轻缓解学生经济困难，提高教育教学质量，确保</w:t>
      </w:r>
      <w:r>
        <w:rPr>
          <w:rStyle w:val="17"/>
          <w:rFonts w:hint="eastAsia" w:ascii="仿宋_GB2312" w:hAnsi="仿宋_GB2312" w:eastAsia="仿宋_GB2312" w:cs="仿宋_GB2312"/>
          <w:b w:val="0"/>
          <w:bCs w:val="0"/>
          <w:spacing w:val="-4"/>
          <w:sz w:val="32"/>
          <w:szCs w:val="32"/>
          <w:lang w:val="en-US" w:eastAsia="zh-CN"/>
        </w:rPr>
        <w:t>困难</w:t>
      </w:r>
      <w:r>
        <w:rPr>
          <w:rStyle w:val="17"/>
          <w:rFonts w:hint="eastAsia" w:ascii="仿宋_GB2312" w:hAnsi="仿宋_GB2312" w:eastAsia="仿宋_GB2312" w:cs="仿宋_GB2312"/>
          <w:b w:val="0"/>
          <w:bCs w:val="0"/>
          <w:spacing w:val="-4"/>
          <w:sz w:val="32"/>
          <w:szCs w:val="32"/>
        </w:rPr>
        <w:t>家庭子女能完成高中学业”</w:t>
      </w:r>
      <w:r>
        <w:rPr>
          <w:rStyle w:val="17"/>
          <w:rFonts w:hint="eastAsia" w:ascii="仿宋_GB2312" w:hAnsi="仿宋_GB2312" w:eastAsia="仿宋_GB2312" w:cs="仿宋_GB2312"/>
          <w:b w:val="0"/>
          <w:bCs w:val="0"/>
          <w:spacing w:val="-4"/>
          <w:sz w:val="32"/>
          <w:szCs w:val="32"/>
          <w:lang w:eastAsia="zh-CN"/>
        </w:rPr>
        <w:t>。</w:t>
      </w:r>
      <w:r>
        <w:rPr>
          <w:rStyle w:val="17"/>
          <w:rFonts w:hint="eastAsia" w:ascii="仿宋_GB2312" w:hAnsi="仿宋_GB2312" w:eastAsia="仿宋_GB2312" w:cs="仿宋_GB2312"/>
          <w:b w:val="0"/>
          <w:bCs w:val="0"/>
          <w:spacing w:val="-4"/>
          <w:sz w:val="32"/>
          <w:szCs w:val="32"/>
        </w:rPr>
        <w:t>本项目实际工作内容为：截至2024年12月31日，本项目实际支出资金515.33万元，预算执行率为100.00%。本项目实际形成支出515.33万元，项目已完成1857人在校高中生助学金春秋季发放302.37万元；普通高中免学费补助212.96万元用于办公采购、校园维修、水电费缴纳支出；通过项目实施有效保障了学校正常运转、减轻缓解学生经济困难，提高教育教学质量，确保贫困家庭子女能完成高中学业，学生满意度达到100%。绩效目标与实际工作内容一致，两者具有相关性;本项目按照绩效目标完成了数量指标、质量指标、时效指标、成本指标，有效保障了学校正常运转、减轻缓解学生经济困难，提高教育教学质量，确保贫困家庭子女能完成高中学业，年度绩效目标完成，预期产出效益和效果符合正常的业绩水平。</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综上所述，本指标满分为4分，根据评分标准得4分，本项目绩效目标设置合理。</w:t>
      </w:r>
    </w:p>
    <w:p>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（2）绩效指标明确性</w:t>
      </w:r>
    </w:p>
    <w:p>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7"/>
          <w:rFonts w:hint="eastAsia" w:ascii="仿宋_GB2312" w:hAnsi="仿宋_GB2312" w:eastAsia="仿宋_GB2312" w:cs="仿宋_GB2312"/>
          <w:b w:val="0"/>
          <w:bCs w:val="0"/>
          <w:spacing w:val="-4"/>
          <w:sz w:val="32"/>
          <w:szCs w:val="32"/>
          <w:lang w:eastAsia="zh-CN"/>
        </w:rPr>
      </w:pPr>
      <w:r>
        <w:rPr>
          <w:rStyle w:val="17"/>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3.资金投入情况分析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（1）预算编制科学性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依据《关于普通高中学校农村家庭经济困难学生免学费工作意见》免学费生均标准1200.00元每年，助学金生均标准2000.00元每年，我校根据国家助学金工作相关规定，结合具体实际制定了国家助学金分配方案，具体资助标准为一档3000.00元/人/学年、二档2000.00元/人/学年和三档1000.00元/人/学年，即预算编制较科学且经过论证</w:t>
      </w:r>
      <w:r>
        <w:rPr>
          <w:rStyle w:val="17"/>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预算申请内容为普通高中学生资助补助经费项目，项目实际内容为本项目用于保障我校1857人在校高中生助学金发放302.37万元，普通高中免学费补助212.96万元用于办公采购、校园维修、水电费缴纳支出；该项目的实施有效保障学校正常运转、减轻缓解学生经济困难、提高教育教学质量、确保贫困家庭子女能完成高中学业；预算申请与《和田地区第一中学普通高中学生资助补助经费项目实施方案》中涉及的项目内容匹配</w:t>
      </w:r>
      <w:r>
        <w:rPr>
          <w:rStyle w:val="17"/>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预算申请资金515.82万元，我单位在预算申请中严格按照单位标准和数量进行核算，其中：高中生助学金302.37万元，普通高中免学费补助212.96万元。本项目预算额度测算依据充分，严格按照标准编制，预算确定资金量与实际工作任务相匹配；</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rPr>
        <w:t>综上所述，本指标满分为4分，根据评分标准4分，本项目预算编制科学。</w:t>
      </w:r>
      <w:r>
        <w:rPr>
          <w:rStyle w:val="17"/>
          <w:rFonts w:hint="eastAsia" w:ascii="仿宋_GB2312" w:hAnsi="仿宋_GB2312" w:eastAsia="仿宋_GB2312" w:cs="仿宋_GB2312"/>
          <w:b w:val="0"/>
          <w:bCs w:val="0"/>
          <w:spacing w:val="-4"/>
          <w:sz w:val="32"/>
          <w:szCs w:val="32"/>
          <w:lang w:val="en-US" w:eastAsia="zh-CN"/>
        </w:rPr>
        <w:t xml:space="preserve"> </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（2）资金分配合理性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实际分配资金以《关于申请和田地区第一中学生资助补助项目资金的请示》和《和田地区第一中学生资助补助项目实施方案》为依据进行资金分配，预算资金分配依据充分。根据《关于提前下达2024年学生资助补助经费预算（中央直达资金）的通知》，《关于提前下达2024年学生资助补助经费预算（自治区直达资金）的通知》文件显示，本项目实际到位资金515.82万元，实际分配资金与我单位提交申请的资金额度一致，资金分配额度合理，与我单位实际需求相适应。</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7"/>
          <w:rFonts w:hint="eastAsia" w:ascii="仿宋_GB2312" w:hAnsi="仿宋_GB2312" w:eastAsia="仿宋_GB2312" w:cs="仿宋_GB2312"/>
          <w:b w:val="0"/>
          <w:bCs w:val="0"/>
          <w:spacing w:val="-4"/>
          <w:sz w:val="32"/>
          <w:szCs w:val="32"/>
          <w:lang w:eastAsia="zh-CN"/>
        </w:rPr>
        <w:tab/>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楷体_GB2312" w:hAnsi="楷体_GB2312" w:eastAsia="楷体_GB2312" w:cs="楷体_GB2312"/>
          <w:b w:val="0"/>
          <w:bCs w:val="0"/>
          <w:spacing w:val="-4"/>
          <w:sz w:val="32"/>
          <w:szCs w:val="32"/>
          <w:lang w:val="en-US" w:eastAsia="zh-CN"/>
        </w:rPr>
      </w:pPr>
      <w:r>
        <w:rPr>
          <w:rStyle w:val="17"/>
          <w:rFonts w:hint="eastAsia" w:ascii="楷体_GB2312" w:hAnsi="楷体_GB2312" w:eastAsia="楷体_GB2312" w:cs="楷体_GB2312"/>
          <w:b w:val="0"/>
          <w:bCs w:val="0"/>
          <w:spacing w:val="-4"/>
          <w:sz w:val="32"/>
          <w:szCs w:val="32"/>
          <w:lang w:val="en-US" w:eastAsia="zh-CN"/>
        </w:rPr>
        <w:t>（二）项目过程情况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1.资金管理情况分析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（1）资金到位率</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本项目预算资金为515.82万元，其中：本级财政安排资金515.82万元，其他资金0万元，实际到位资金515.82万元，资金到位率=（实际到位资金/预算资金）×100%=（515.82/515.82）*100%=100%。得分=资金到位率*分值=100%*4=4分。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（2）预算执行率</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本项目实际支出资金515.33万元，预算执行率=（实际支出资金/实际到位资金）×100%=（515.33/515.82）*100%=99.91%。得分=预算执行率*分值=99.91%*5=5分。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（3）资金使用合规性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第一中学资金管理办法》《和田地区第一中学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7" w:firstLineChars="200"/>
        <w:textAlignment w:val="auto"/>
        <w:rPr>
          <w:rStyle w:val="17"/>
          <w:rFonts w:hint="eastAsia" w:ascii="仿宋_GB2312" w:hAnsi="仿宋_GB2312" w:eastAsia="仿宋_GB2312" w:cs="仿宋_GB2312"/>
          <w:b/>
          <w:bCs/>
          <w:spacing w:val="-4"/>
          <w:sz w:val="32"/>
          <w:szCs w:val="32"/>
        </w:rPr>
      </w:pPr>
      <w:r>
        <w:rPr>
          <w:rStyle w:val="17"/>
          <w:rFonts w:hint="eastAsia" w:ascii="仿宋_GB2312" w:hAnsi="仿宋_GB2312" w:eastAsia="仿宋_GB2312" w:cs="仿宋_GB2312"/>
          <w:b/>
          <w:bCs/>
          <w:spacing w:val="-4"/>
          <w:sz w:val="32"/>
          <w:szCs w:val="32"/>
          <w:lang w:val="en-US" w:eastAsia="zh-CN"/>
        </w:rPr>
        <w:t>2.</w:t>
      </w:r>
      <w:r>
        <w:rPr>
          <w:rStyle w:val="17"/>
          <w:rFonts w:hint="eastAsia" w:ascii="仿宋_GB2312" w:hAnsi="仿宋_GB2312" w:eastAsia="仿宋_GB2312" w:cs="仿宋_GB2312"/>
          <w:b/>
          <w:bCs/>
          <w:spacing w:val="-4"/>
          <w:sz w:val="32"/>
          <w:szCs w:val="32"/>
        </w:rPr>
        <w:t>组织实施情况分析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9" w:leftChars="52"/>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lang w:val="en-US" w:eastAsia="zh-CN"/>
        </w:rPr>
        <w:t xml:space="preserve">   (1)</w:t>
      </w:r>
      <w:r>
        <w:rPr>
          <w:rStyle w:val="17"/>
          <w:rFonts w:hint="eastAsia" w:ascii="仿宋_GB2312" w:hAnsi="仿宋_GB2312" w:eastAsia="仿宋_GB2312" w:cs="仿宋_GB2312"/>
          <w:b w:val="0"/>
          <w:bCs w:val="0"/>
          <w:spacing w:val="-4"/>
          <w:sz w:val="32"/>
          <w:szCs w:val="32"/>
        </w:rPr>
        <w:t>管理制度健全性</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9" w:leftChars="52" w:firstLine="624" w:firstLineChars="200"/>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我单位已制定《和田地区第一中学资金管理办法》《和田地区第一中学收支业务管理制度》《和田地区第一中学政府采购业务管理制度》《和田地区第一中学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（2）制度执行有效性</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第一中学项目工作领导小组，由总务科负责人阿卜杜热伊木·阿卜杜力木任组长，负责项目的组织工作；艾比卜拉·阿布都卡迪尔任副组长，负责项目的实施工作；组员包括：吾尔克孜·阿不力孜和麦提图尔荪·奥布力喀斯木，主要负责项目监督管理、验收以及资金核拨等工作。</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综上所述，本指标满分为4分，根据评分标准得4分，本项目所建立制度执行有效。</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楷体_GB2312" w:hAnsi="楷体_GB2312" w:eastAsia="楷体_GB2312" w:cs="楷体_GB2312"/>
          <w:b w:val="0"/>
          <w:bCs w:val="0"/>
          <w:spacing w:val="-4"/>
          <w:sz w:val="32"/>
          <w:szCs w:val="32"/>
          <w:lang w:val="en-US" w:eastAsia="zh-CN"/>
        </w:rPr>
      </w:pPr>
      <w:r>
        <w:rPr>
          <w:rStyle w:val="17"/>
          <w:rFonts w:hint="eastAsia" w:ascii="楷体_GB2312" w:hAnsi="楷体_GB2312" w:eastAsia="楷体_GB2312" w:cs="楷体_GB2312"/>
          <w:b w:val="0"/>
          <w:bCs w:val="0"/>
          <w:spacing w:val="-4"/>
          <w:sz w:val="32"/>
          <w:szCs w:val="32"/>
          <w:lang w:val="en-US" w:eastAsia="zh-CN"/>
        </w:rPr>
        <w:t>（三）项目产出情况</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项目产出类指标由4个二级指标和6个三级指标构成，权重分20分，实际得分19.09分。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1.数量指标完成情况分析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“补助学生人数（人）”指标：预期指标值为≥1516人，实际完成指标值为1857人，指标完成率为122.49%。</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2.质量指标完成情况分析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“补助覆盖率（%）”指标：预期指标值为≥95%，实际完成指标值为=100%，指标完成率为100%。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“维修验收合格率（%）”指标：预期指标值为≥95%，实际完成指标值为=100%，指标完成率为100%。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3.时效指标完成情况分析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“项目完成及时率（%）”指标：预期指标值为≥95%，实际完成指标值为=100%，指标完成率为100%。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4.成本指标完成情况分析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“免学费项目成本（万元）”指标：预期指标值为</w:t>
      </w:r>
      <w:r>
        <w:rPr>
          <w:rStyle w:val="17"/>
          <w:rFonts w:hint="eastAsia" w:ascii="仿宋_GB2312" w:hAnsi="仿宋_GB2312" w:eastAsia="仿宋_GB2312" w:cs="仿宋_GB2312"/>
          <w:b/>
          <w:bCs/>
          <w:spacing w:val="-4"/>
          <w:sz w:val="32"/>
          <w:szCs w:val="32"/>
          <w:lang w:eastAsia="zh-CN"/>
        </w:rPr>
        <w:t>≤</w:t>
      </w:r>
      <w:r>
        <w:rPr>
          <w:rStyle w:val="17"/>
          <w:rFonts w:hint="eastAsia" w:ascii="仿宋_GB2312" w:hAnsi="仿宋_GB2312" w:eastAsia="仿宋_GB2312" w:cs="仿宋_GB2312"/>
          <w:b w:val="0"/>
          <w:bCs w:val="0"/>
          <w:spacing w:val="-4"/>
          <w:sz w:val="32"/>
          <w:szCs w:val="32"/>
        </w:rPr>
        <w:t>213.45万元，实际完成指标值为=212.96万元，指标完成率为99.77%。</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“助学金项目成本（万元）”指标：预期指标值为</w:t>
      </w:r>
      <w:r>
        <w:rPr>
          <w:rStyle w:val="17"/>
          <w:rFonts w:hint="eastAsia" w:ascii="仿宋_GB2312" w:hAnsi="仿宋_GB2312" w:eastAsia="仿宋_GB2312" w:cs="仿宋_GB2312"/>
          <w:b/>
          <w:bCs/>
          <w:spacing w:val="-4"/>
          <w:sz w:val="32"/>
          <w:szCs w:val="32"/>
          <w:lang w:eastAsia="zh-CN"/>
        </w:rPr>
        <w:t>≤</w:t>
      </w:r>
      <w:r>
        <w:rPr>
          <w:rStyle w:val="17"/>
          <w:rFonts w:hint="eastAsia" w:ascii="仿宋_GB2312" w:hAnsi="仿宋_GB2312" w:eastAsia="仿宋_GB2312" w:cs="仿宋_GB2312"/>
          <w:b w:val="0"/>
          <w:bCs w:val="0"/>
          <w:spacing w:val="-4"/>
          <w:sz w:val="32"/>
          <w:szCs w:val="32"/>
        </w:rPr>
        <w:t>302.37万元，实际完成指标值为=302.37万元，指标完成率为100%。</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楷体_GB2312" w:hAnsi="楷体_GB2312" w:eastAsia="楷体_GB2312" w:cs="楷体_GB2312"/>
          <w:b w:val="0"/>
          <w:bCs w:val="0"/>
          <w:spacing w:val="-4"/>
          <w:sz w:val="32"/>
          <w:szCs w:val="32"/>
          <w:lang w:val="en-US" w:eastAsia="zh-CN"/>
        </w:rPr>
      </w:pPr>
      <w:r>
        <w:rPr>
          <w:rStyle w:val="17"/>
          <w:rFonts w:hint="eastAsia" w:ascii="楷体_GB2312" w:hAnsi="楷体_GB2312" w:eastAsia="楷体_GB2312" w:cs="楷体_GB2312"/>
          <w:b w:val="0"/>
          <w:bCs w:val="0"/>
          <w:spacing w:val="-4"/>
          <w:sz w:val="32"/>
          <w:szCs w:val="32"/>
          <w:lang w:val="en-US" w:eastAsia="zh-CN"/>
        </w:rPr>
        <w:t>（四）项目效益情况</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仿宋_GB2312" w:hAnsi="仿宋_GB2312" w:eastAsia="仿宋_GB2312" w:cs="仿宋_GB2312"/>
          <w:b w:val="0"/>
          <w:bCs w:val="0"/>
          <w:spacing w:val="-4"/>
          <w:sz w:val="32"/>
          <w:szCs w:val="32"/>
        </w:rPr>
        <w:t>项目效益类指标由2个二级指标和3个三级指标构成，权重分40分，实际得分40分。</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1.经济效益完成情况分析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2.社会效益完成情况分析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“减轻学生家庭经济困难”指标：预期指标值为有效减轻，实际完成指标值为基本达成目标，指标完成率为100%。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“保障教育教学质量”指标：预期指标值为持续保障，实际完成指标值为基本达成目标，指标完成率为100%。</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lang w:val="en-US" w:eastAsia="zh-CN"/>
        </w:rPr>
        <w:t xml:space="preserve"> </w:t>
      </w:r>
      <w:r>
        <w:rPr>
          <w:rStyle w:val="17"/>
          <w:rFonts w:hint="eastAsia" w:ascii="仿宋_GB2312" w:hAnsi="仿宋_GB2312" w:eastAsia="仿宋_GB2312" w:cs="仿宋_GB2312"/>
          <w:b/>
          <w:bCs/>
          <w:spacing w:val="-4"/>
          <w:sz w:val="32"/>
          <w:szCs w:val="32"/>
        </w:rPr>
        <w:t>3.生态效益完成情况分析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4.可持续影响完成情况分析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bCs/>
          <w:spacing w:val="-4"/>
          <w:sz w:val="32"/>
          <w:szCs w:val="32"/>
        </w:rPr>
        <w:t>5.满意度指标完成情况分析</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“受益对象满意度（%）”指标：预期指标值为≥98%，实际完成指标值为=100%，指标完成率为100%。</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rPr>
        <w:t>五、预算执行进度与绩效指标偏差</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本项目全年预算数为515.82万元，全年执行数为515.33万元，预算执行率为99.91%。</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本项目共设置三级指标数量9个，满分指标数量7个，扣分指标数量2个，经分析计算所有三级指标完成率得出，本项目总体完成率为102.47%。</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综上所述本项目预算执行率与总体完成率之间的偏差为2.56%。</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rPr>
        <w:t>六、主要经验及做法、存在的问题及原因分析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7"/>
          <w:rFonts w:hint="eastAsia" w:ascii="楷体_GB2312" w:hAnsi="楷体_GB2312" w:eastAsia="楷体_GB2312" w:cs="楷体_GB2312"/>
          <w:b w:val="0"/>
          <w:bCs w:val="0"/>
          <w:spacing w:val="-4"/>
          <w:sz w:val="32"/>
          <w:szCs w:val="32"/>
          <w:lang w:val="en-US" w:eastAsia="zh-CN"/>
        </w:rPr>
      </w:pPr>
      <w:r>
        <w:rPr>
          <w:rStyle w:val="17"/>
          <w:rFonts w:hint="eastAsia" w:ascii="楷体_GB2312" w:hAnsi="楷体_GB2312" w:eastAsia="楷体_GB2312" w:cs="楷体_GB2312"/>
          <w:b w:val="0"/>
          <w:bCs w:val="0"/>
          <w:spacing w:val="-4"/>
          <w:sz w:val="32"/>
          <w:szCs w:val="32"/>
          <w:lang w:val="en-US" w:eastAsia="zh-CN"/>
        </w:rPr>
        <w:t>（一）主要经验及做法</w:t>
      </w:r>
    </w:p>
    <w:p>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1.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本年度，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3.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楷体_GB2312" w:hAnsi="楷体_GB2312" w:eastAsia="楷体_GB2312" w:cs="楷体_GB2312"/>
          <w:b w:val="0"/>
          <w:bCs w:val="0"/>
          <w:spacing w:val="-4"/>
          <w:sz w:val="32"/>
          <w:szCs w:val="32"/>
          <w:lang w:val="en-US" w:eastAsia="zh-CN"/>
        </w:rPr>
        <w:t xml:space="preserve"> （二）存在的问题及原因分析</w:t>
      </w:r>
      <w:r>
        <w:rPr>
          <w:rStyle w:val="17"/>
          <w:rFonts w:hint="eastAsia" w:ascii="楷体_GB2312" w:hAnsi="楷体_GB2312" w:eastAsia="楷体_GB2312" w:cs="楷体_GB2312"/>
          <w:b w:val="0"/>
          <w:bCs w:val="0"/>
          <w:spacing w:val="-4"/>
          <w:sz w:val="32"/>
          <w:szCs w:val="32"/>
          <w:lang w:val="en-US" w:eastAsia="zh-CN"/>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1.对各项指标和指标值需进一步优化、完善，主要在细化、量化上改进。</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r>
        <w:rPr>
          <w:rFonts w:hint="eastAsia" w:ascii="仿宋_GB2312" w:hAnsi="仿宋_GB2312" w:eastAsia="仿宋_GB2312" w:cs="仿宋_GB2312"/>
          <w:sz w:val="32"/>
          <w:szCs w:val="32"/>
        </w:rPr>
        <w:cr/>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rPr>
      </w:pPr>
      <w:r>
        <w:rPr>
          <w:rStyle w:val="17"/>
          <w:rFonts w:hint="eastAsia" w:ascii="黑体" w:hAnsi="黑体" w:eastAsia="黑体" w:cs="黑体"/>
          <w:b w:val="0"/>
          <w:bCs w:val="0"/>
          <w:spacing w:val="-4"/>
          <w:sz w:val="32"/>
          <w:szCs w:val="32"/>
          <w:lang w:val="en-US" w:eastAsia="zh-CN"/>
        </w:rPr>
        <w:t>七</w:t>
      </w:r>
      <w:r>
        <w:rPr>
          <w:rStyle w:val="17"/>
          <w:rFonts w:hint="eastAsia" w:ascii="黑体" w:hAnsi="黑体" w:eastAsia="黑体" w:cs="黑体"/>
          <w:b w:val="0"/>
          <w:bCs w:val="0"/>
          <w:spacing w:val="-4"/>
          <w:sz w:val="32"/>
          <w:szCs w:val="32"/>
        </w:rPr>
        <w:t>、有关建议</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17"/>
          <w:rFonts w:hint="eastAsia" w:ascii="黑体" w:hAnsi="黑体" w:eastAsia="黑体" w:cs="黑体"/>
          <w:b w:val="0"/>
          <w:bCs w:val="0"/>
          <w:spacing w:val="-4"/>
          <w:sz w:val="32"/>
          <w:szCs w:val="32"/>
          <w:lang w:val="en-US" w:eastAsia="zh-CN"/>
        </w:rPr>
      </w:pPr>
      <w:r>
        <w:rPr>
          <w:rStyle w:val="17"/>
          <w:rFonts w:hint="eastAsia" w:ascii="黑体" w:hAnsi="黑体" w:eastAsia="黑体" w:cs="黑体"/>
          <w:b w:val="0"/>
          <w:bCs w:val="0"/>
          <w:spacing w:val="-4"/>
          <w:sz w:val="32"/>
          <w:szCs w:val="32"/>
          <w:lang w:val="en-US" w:eastAsia="zh-CN"/>
        </w:rPr>
        <w:t>八、其他需要说明的问题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r>
        <w:rPr>
          <w:rStyle w:val="17"/>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7"/>
          <w:rFonts w:hint="eastAsia" w:ascii="仿宋_GB2312" w:hAnsi="仿宋_GB2312" w:eastAsia="仿宋_GB2312" w:cs="仿宋_GB2312"/>
          <w:b w:val="0"/>
          <w:bCs w:val="0"/>
          <w:spacing w:val="-4"/>
          <w:sz w:val="32"/>
          <w:szCs w:val="32"/>
          <w:lang w:val="en-US" w:eastAsia="zh-CN"/>
        </w:rPr>
        <w:t xml:space="preserve">   </w:t>
      </w:r>
      <w:r>
        <w:rPr>
          <w:rStyle w:val="17"/>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keepNext w:val="0"/>
        <w:keepLines w:val="0"/>
        <w:pageBreakBefore w:val="0"/>
        <w:widowControl w:val="0"/>
        <w:kinsoku/>
        <w:wordWrap/>
        <w:overflowPunct/>
        <w:topLinePunct w:val="0"/>
        <w:autoSpaceDE/>
        <w:autoSpaceDN/>
        <w:bidi w:val="0"/>
        <w:adjustRightInd/>
        <w:snapToGrid/>
        <w:spacing w:line="560" w:lineRule="exact"/>
        <w:ind w:firstLine="567"/>
        <w:textAlignment w:val="auto"/>
        <w:rPr>
          <w:rStyle w:val="17"/>
          <w:rFonts w:hint="eastAsia" w:ascii="仿宋_GB2312" w:hAnsi="仿宋_GB2312" w:eastAsia="仿宋_GB2312" w:cs="仿宋_GB2312"/>
          <w:b w:val="0"/>
          <w:bCs w:val="0"/>
          <w:spacing w:val="-4"/>
          <w:sz w:val="32"/>
          <w:szCs w:val="32"/>
        </w:rPr>
      </w:pPr>
    </w:p>
    <w:sectPr>
      <w:footerReference r:id="rId3" w:type="default"/>
      <w:pgSz w:w="11906" w:h="16838"/>
      <w:pgMar w:top="2098"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altName w:val="微软雅黑"/>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3050EE"/>
    <w:rsid w:val="0F2331DD"/>
    <w:rsid w:val="265C3ED1"/>
    <w:rsid w:val="286A42B7"/>
    <w:rsid w:val="29980F90"/>
    <w:rsid w:val="30686F54"/>
    <w:rsid w:val="359A61DB"/>
    <w:rsid w:val="363A58B2"/>
    <w:rsid w:val="38841473"/>
    <w:rsid w:val="399D22AB"/>
    <w:rsid w:val="47222EA0"/>
    <w:rsid w:val="6BCB5768"/>
    <w:rsid w:val="76785684"/>
    <w:rsid w:val="797A1141"/>
  </w:rsids>
  <m:mathPr>
    <m:mathFont m:val="Cambria Math"/>
    <m:brkBin m:val="before"/>
    <m:brkBinSub m:val="--"/>
    <m:smallFrac m:val="0"/>
    <m:dispDef/>
    <m:lMargin m:val="0"/>
    <m:rMargin m:val="0"/>
    <m:defJc m:val="centerGroup"/>
    <m:wrapIndent m:val="1440"/>
    <m:intLim m:val="subSup"/>
    <m:naryLim m:val="undOvr"/>
    <m:interSp m:val="0"/>
    <m:intraSp m:val="0"/>
    <m:postSp m:val="0"/>
    <m:preSp m:val="0"/>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table" w:styleId="20">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21">
    <w:name w:val="标题 1 字符"/>
    <w:basedOn w:val="16"/>
    <w:link w:val="2"/>
    <w:qFormat/>
    <w:uiPriority w:val="9"/>
    <w:rPr>
      <w:rFonts w:asciiTheme="majorHAnsi" w:hAnsiTheme="majorHAnsi" w:eastAsiaTheme="majorEastAsia"/>
      <w:b/>
      <w:bCs/>
      <w:kern w:val="32"/>
      <w:sz w:val="32"/>
      <w:szCs w:val="32"/>
    </w:rPr>
  </w:style>
  <w:style w:type="character" w:customStyle="1" w:styleId="22">
    <w:name w:val="标题 2 字符"/>
    <w:basedOn w:val="16"/>
    <w:link w:val="3"/>
    <w:semiHidden/>
    <w:qFormat/>
    <w:uiPriority w:val="9"/>
    <w:rPr>
      <w:rFonts w:asciiTheme="majorHAnsi" w:hAnsiTheme="majorHAnsi" w:eastAsiaTheme="majorEastAsia"/>
      <w:b/>
      <w:bCs/>
      <w:i/>
      <w:iCs/>
      <w:sz w:val="28"/>
      <w:szCs w:val="28"/>
    </w:rPr>
  </w:style>
  <w:style w:type="character" w:customStyle="1" w:styleId="23">
    <w:name w:val="标题 3 字符"/>
    <w:basedOn w:val="16"/>
    <w:link w:val="4"/>
    <w:semiHidden/>
    <w:qFormat/>
    <w:uiPriority w:val="9"/>
    <w:rPr>
      <w:rFonts w:asciiTheme="majorHAnsi" w:hAnsiTheme="majorHAnsi" w:eastAsiaTheme="majorEastAsia"/>
      <w:b/>
      <w:bCs/>
      <w:sz w:val="26"/>
      <w:szCs w:val="26"/>
    </w:rPr>
  </w:style>
  <w:style w:type="character" w:customStyle="1" w:styleId="24">
    <w:name w:val="标题 4 字符"/>
    <w:basedOn w:val="16"/>
    <w:link w:val="5"/>
    <w:semiHidden/>
    <w:qFormat/>
    <w:uiPriority w:val="9"/>
    <w:rPr>
      <w:b/>
      <w:bCs/>
      <w:sz w:val="28"/>
      <w:szCs w:val="28"/>
    </w:rPr>
  </w:style>
  <w:style w:type="character" w:customStyle="1" w:styleId="25">
    <w:name w:val="标题 5 字符"/>
    <w:basedOn w:val="16"/>
    <w:link w:val="6"/>
    <w:semiHidden/>
    <w:qFormat/>
    <w:uiPriority w:val="9"/>
    <w:rPr>
      <w:b/>
      <w:bCs/>
      <w:i/>
      <w:iCs/>
      <w:sz w:val="26"/>
      <w:szCs w:val="26"/>
    </w:rPr>
  </w:style>
  <w:style w:type="character" w:customStyle="1" w:styleId="26">
    <w:name w:val="标题 6 字符"/>
    <w:basedOn w:val="16"/>
    <w:link w:val="7"/>
    <w:semiHidden/>
    <w:qFormat/>
    <w:uiPriority w:val="9"/>
    <w:rPr>
      <w:b/>
      <w:bCs/>
    </w:rPr>
  </w:style>
  <w:style w:type="character" w:customStyle="1" w:styleId="27">
    <w:name w:val="标题 7 字符"/>
    <w:basedOn w:val="16"/>
    <w:link w:val="8"/>
    <w:semiHidden/>
    <w:qFormat/>
    <w:uiPriority w:val="9"/>
    <w:rPr>
      <w:sz w:val="24"/>
      <w:szCs w:val="24"/>
    </w:rPr>
  </w:style>
  <w:style w:type="character" w:customStyle="1" w:styleId="28">
    <w:name w:val="标题 8 字符"/>
    <w:basedOn w:val="16"/>
    <w:link w:val="9"/>
    <w:semiHidden/>
    <w:qFormat/>
    <w:uiPriority w:val="9"/>
    <w:rPr>
      <w:i/>
      <w:iCs/>
      <w:sz w:val="24"/>
      <w:szCs w:val="24"/>
    </w:rPr>
  </w:style>
  <w:style w:type="character" w:customStyle="1" w:styleId="29">
    <w:name w:val="标题 9 字符"/>
    <w:basedOn w:val="16"/>
    <w:link w:val="10"/>
    <w:semiHidden/>
    <w:qFormat/>
    <w:uiPriority w:val="9"/>
    <w:rPr>
      <w:rFonts w:asciiTheme="majorHAnsi" w:hAnsiTheme="majorHAnsi" w:eastAsiaTheme="majorEastAsia"/>
    </w:rPr>
  </w:style>
  <w:style w:type="character" w:customStyle="1" w:styleId="30">
    <w:name w:val="标题 字符"/>
    <w:basedOn w:val="16"/>
    <w:link w:val="15"/>
    <w:qFormat/>
    <w:uiPriority w:val="10"/>
    <w:rPr>
      <w:rFonts w:asciiTheme="majorHAnsi" w:hAnsiTheme="majorHAnsi" w:eastAsiaTheme="majorEastAsia"/>
      <w:b/>
      <w:bCs/>
      <w:kern w:val="28"/>
      <w:sz w:val="32"/>
      <w:szCs w:val="32"/>
    </w:rPr>
  </w:style>
  <w:style w:type="character" w:customStyle="1" w:styleId="31">
    <w:name w:val="副标题 字符"/>
    <w:basedOn w:val="16"/>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6"/>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6"/>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6"/>
    <w:qFormat/>
    <w:uiPriority w:val="21"/>
    <w:rPr>
      <w:b/>
      <w:i/>
      <w:sz w:val="24"/>
      <w:szCs w:val="24"/>
      <w:u w:val="single"/>
    </w:rPr>
  </w:style>
  <w:style w:type="character" w:customStyle="1" w:styleId="40">
    <w:name w:val="不明显参考1"/>
    <w:basedOn w:val="16"/>
    <w:qFormat/>
    <w:uiPriority w:val="31"/>
    <w:rPr>
      <w:sz w:val="24"/>
      <w:szCs w:val="24"/>
      <w:u w:val="single"/>
    </w:rPr>
  </w:style>
  <w:style w:type="character" w:customStyle="1" w:styleId="41">
    <w:name w:val="明显参考1"/>
    <w:basedOn w:val="16"/>
    <w:qFormat/>
    <w:uiPriority w:val="32"/>
    <w:rPr>
      <w:b/>
      <w:sz w:val="24"/>
      <w:u w:val="single"/>
    </w:rPr>
  </w:style>
  <w:style w:type="character" w:customStyle="1" w:styleId="42">
    <w:name w:val="书籍标题1"/>
    <w:basedOn w:val="16"/>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6"/>
    <w:link w:val="13"/>
    <w:uiPriority w:val="99"/>
    <w:rPr>
      <w:rFonts w:ascii="Calibri" w:hAnsi="Calibri" w:eastAsia="宋体"/>
      <w:kern w:val="2"/>
      <w:sz w:val="18"/>
      <w:szCs w:val="18"/>
    </w:rPr>
  </w:style>
  <w:style w:type="character" w:customStyle="1" w:styleId="45">
    <w:name w:val="页脚 字符"/>
    <w:basedOn w:val="16"/>
    <w:link w:val="12"/>
    <w:uiPriority w:val="99"/>
    <w:rPr>
      <w:rFonts w:ascii="Calibri" w:hAnsi="Calibri" w:eastAsia="宋体"/>
      <w:kern w:val="2"/>
      <w:sz w:val="18"/>
      <w:szCs w:val="18"/>
    </w:rPr>
  </w:style>
  <w:style w:type="character" w:customStyle="1" w:styleId="46">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C734C92AAAF24344A0E4232D8EB3359B</vt:lpwstr>
  </property>
  <property fmtid="{D5CDD505-2E9C-101B-9397-08002B2CF9AE}" pid="4" name="KSOTemplateDocerSaveRecord">
    <vt:lpwstr>eyJoZGlkIjoiNDk3M2IxOWIzNjU5OTgwNzRmOWI3YjM2MmQyMjQ0MDcifQ==</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54019f-ddd9-4bcb-a68b-475079cae80b}">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12533</Words>
  <Characters>13207</Characters>
  <Lines>5</Lines>
  <Paragraphs>1</Paragraphs>
  <TotalTime>16</TotalTime>
  <ScaleCrop>false</ScaleCrop>
  <LinksUpToDate>false</LinksUpToDate>
  <CharactersWithSpaces>13221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2025-09-11T05:11:00Z</cp:lastPrinted>
  <dcterms:modified xsi:type="dcterms:W3CDTF">2025-09-11T10:46:47Z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C734C92AAAF24344A0E4232D8EB3359B</vt:lpwstr>
  </property>
  <property fmtid="{D5CDD505-2E9C-101B-9397-08002B2CF9AE}" pid="4" name="KSOTemplateDocerSaveRecord">
    <vt:lpwstr>eyJoZGlkIjoiNDk3M2IxOWIzNjU5OTgwNzRmOWI3YjM2MmQyMjQ0MDcifQ_x003D__x003D_</vt:lpwstr>
  </property>
</Properties>
</file>