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新疆维吾尔自治区和田地区档案馆2024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FC5069">
      <w:r>
        <w:br w:type="page"/>
      </w:r>
    </w:p>
    <w:p w14:paraId="5BC4E2CB">
      <w:pPr>
        <w:spacing w:line="640" w:lineRule="exact"/>
        <w:jc w:val="center"/>
        <w:outlineLvl w:val="1"/>
      </w:pPr>
      <w:r>
        <w:rPr>
          <w:rFonts w:ascii="黑体" w:hAnsi="黑体" w:eastAsia="黑体"/>
          <w:sz w:val="32"/>
        </w:rPr>
        <w:t>第一部分 单位概况</w:t>
      </w:r>
    </w:p>
    <w:p w14:paraId="6E778863">
      <w:pPr>
        <w:spacing w:line="640" w:lineRule="exact"/>
        <w:ind w:firstLine="640"/>
        <w:jc w:val="both"/>
        <w:outlineLvl w:val="2"/>
      </w:pPr>
      <w:r>
        <w:rPr>
          <w:rFonts w:ascii="黑体" w:hAnsi="黑体" w:eastAsia="黑体"/>
          <w:sz w:val="32"/>
        </w:rPr>
        <w:t>一、主要职能</w:t>
      </w:r>
    </w:p>
    <w:p w14:paraId="0E78F6EF">
      <w:pPr>
        <w:spacing w:line="580" w:lineRule="exact"/>
        <w:ind w:firstLine="640"/>
        <w:jc w:val="both"/>
      </w:pPr>
      <w:r>
        <w:rPr>
          <w:rFonts w:ascii="仿宋_GB2312" w:hAnsi="仿宋_GB2312" w:eastAsia="仿宋_GB2312"/>
          <w:sz w:val="32"/>
        </w:rPr>
        <w:t>贯彻执行国家、自治区关于档案工作的方针、政策和法律、法规；集中统一管理地区党政机关的重要档案资料，维护档案的完整，确保档案资料的安全；负责接收、征集、整理、保管地区党政机关的重要档案资料，推进档案工作的科学化管理和现代化建设；做好档案的编研出版工作，为社会提供利用；负责地区的档案宣传工作，开展学术交流活动，组织并指导地区档案学会工作。对馆藏档案进行科学系统的管理、编目、著录、标引、统计、鉴定、保管、解密、开放、利用等工作；完成地委和上级业务部门交办的其他工作。</w:t>
      </w:r>
    </w:p>
    <w:p w14:paraId="53BBBCEA">
      <w:pPr>
        <w:spacing w:line="640" w:lineRule="exact"/>
        <w:ind w:firstLine="640"/>
        <w:jc w:val="both"/>
        <w:outlineLvl w:val="2"/>
      </w:pPr>
      <w:r>
        <w:rPr>
          <w:rFonts w:ascii="黑体" w:hAnsi="黑体" w:eastAsia="黑体"/>
          <w:sz w:val="32"/>
        </w:rPr>
        <w:t>二、机构设置及人员情况</w:t>
      </w:r>
    </w:p>
    <w:p w14:paraId="7E92BF53">
      <w:pPr>
        <w:spacing w:line="580" w:lineRule="exact"/>
        <w:ind w:firstLine="640"/>
        <w:jc w:val="both"/>
      </w:pPr>
      <w:r>
        <w:rPr>
          <w:rFonts w:ascii="仿宋_GB2312" w:hAnsi="仿宋_GB2312" w:eastAsia="仿宋_GB2312"/>
          <w:sz w:val="32"/>
        </w:rPr>
        <w:t>新疆维吾尔自治区和田地区档案馆2024年度，实有人数26人，其中：在职人员10人，减少2人；离休人员0人，增加0人；退休人员16人,增加2人。</w:t>
      </w:r>
    </w:p>
    <w:p w14:paraId="00881BC6">
      <w:pPr>
        <w:spacing w:line="580" w:lineRule="exact"/>
        <w:ind w:firstLine="640"/>
        <w:jc w:val="both"/>
      </w:pPr>
      <w:r>
        <w:rPr>
          <w:rFonts w:ascii="仿宋_GB2312" w:hAnsi="仿宋_GB2312" w:eastAsia="仿宋_GB2312"/>
          <w:sz w:val="32"/>
        </w:rPr>
        <w:t>新疆维吾尔自治区和田地区档案馆无下属预算单位，下设3个科室，分别是：地区档案馆办公室、档案保管利用科、档案征集信息化科。</w:t>
      </w:r>
    </w:p>
    <w:p w14:paraId="73C190E9">
      <w:r>
        <w:br w:type="page"/>
      </w:r>
    </w:p>
    <w:p w14:paraId="43212190">
      <w:pPr>
        <w:spacing w:line="240" w:lineRule="auto"/>
        <w:jc w:val="center"/>
        <w:outlineLvl w:val="1"/>
      </w:pPr>
      <w:r>
        <w:rPr>
          <w:rFonts w:ascii="黑体" w:hAnsi="黑体" w:eastAsia="黑体"/>
          <w:sz w:val="32"/>
        </w:rPr>
        <w:t>第二部分 部门决算情况说明</w:t>
      </w:r>
    </w:p>
    <w:p w14:paraId="0D301469">
      <w:pPr>
        <w:spacing w:line="640" w:lineRule="exact"/>
        <w:ind w:firstLine="640"/>
        <w:jc w:val="both"/>
        <w:outlineLvl w:val="2"/>
      </w:pPr>
      <w:r>
        <w:rPr>
          <w:rFonts w:ascii="黑体" w:hAnsi="黑体" w:eastAsia="黑体"/>
          <w:sz w:val="32"/>
        </w:rPr>
        <w:t>一、收入支出决算总体情况说明</w:t>
      </w:r>
    </w:p>
    <w:p w14:paraId="3FB9D420">
      <w:pPr>
        <w:spacing w:line="580" w:lineRule="exact"/>
        <w:ind w:firstLine="640"/>
        <w:jc w:val="both"/>
      </w:pPr>
      <w:r>
        <w:rPr>
          <w:rFonts w:ascii="仿宋_GB2312" w:hAnsi="仿宋_GB2312" w:eastAsia="仿宋_GB2312"/>
          <w:b/>
          <w:sz w:val="32"/>
        </w:rPr>
        <w:t>2024年度收入总计992.52万元，</w:t>
      </w:r>
      <w:r>
        <w:rPr>
          <w:rFonts w:ascii="仿宋_GB2312" w:hAnsi="仿宋_GB2312" w:eastAsia="仿宋_GB2312"/>
          <w:b w:val="0"/>
          <w:sz w:val="32"/>
        </w:rPr>
        <w:t>其中：本年收入合计992.52万元，使用非财政拨款结余（含专用结余）0.00万元，年初结转和结余0.00万元。</w:t>
      </w:r>
    </w:p>
    <w:p w14:paraId="3FC704C2">
      <w:pPr>
        <w:spacing w:line="580" w:lineRule="exact"/>
        <w:ind w:firstLine="640"/>
        <w:jc w:val="both"/>
      </w:pPr>
      <w:r>
        <w:rPr>
          <w:rFonts w:ascii="仿宋_GB2312" w:hAnsi="仿宋_GB2312" w:eastAsia="仿宋_GB2312"/>
          <w:b/>
          <w:sz w:val="32"/>
        </w:rPr>
        <w:t>2024年度支出总计992.52万元，</w:t>
      </w:r>
      <w:r>
        <w:rPr>
          <w:rFonts w:ascii="仿宋_GB2312" w:hAnsi="仿宋_GB2312" w:eastAsia="仿宋_GB2312"/>
          <w:b w:val="0"/>
          <w:sz w:val="32"/>
        </w:rPr>
        <w:t>其中：本年支出合计992.52万元，结余分配0.00万元，年末结转和结余0.00万元。</w:t>
      </w:r>
    </w:p>
    <w:p w14:paraId="38AAD1C7">
      <w:pPr>
        <w:spacing w:line="580" w:lineRule="exact"/>
        <w:ind w:firstLine="640"/>
        <w:jc w:val="both"/>
      </w:pPr>
      <w:r>
        <w:rPr>
          <w:rFonts w:ascii="仿宋_GB2312" w:hAnsi="仿宋_GB2312" w:eastAsia="仿宋_GB2312"/>
          <w:b w:val="0"/>
          <w:sz w:val="32"/>
        </w:rPr>
        <w:t>收入支出总体与上年相比，增加662.19万元，增长200.46%，主要原因是：本年增加新馆搬迁费、新馆档案库房智能密集架款、新馆建设拖欠项目资金；本年在职人员工资调增，社保、公积金基数调增，人员经费增加，导致收入支出较上年增加。</w:t>
      </w:r>
    </w:p>
    <w:p w14:paraId="6CA0E4F0">
      <w:pPr>
        <w:spacing w:line="640" w:lineRule="exact"/>
        <w:ind w:firstLine="640"/>
        <w:jc w:val="both"/>
        <w:outlineLvl w:val="2"/>
      </w:pPr>
      <w:r>
        <w:rPr>
          <w:rFonts w:ascii="黑体" w:hAnsi="黑体" w:eastAsia="黑体"/>
          <w:sz w:val="32"/>
        </w:rPr>
        <w:t>二、收入决算情况说明</w:t>
      </w:r>
    </w:p>
    <w:p w14:paraId="2722D095">
      <w:pPr>
        <w:spacing w:line="580" w:lineRule="exact"/>
        <w:ind w:firstLine="640"/>
        <w:jc w:val="both"/>
      </w:pPr>
      <w:r>
        <w:rPr>
          <w:rFonts w:ascii="仿宋_GB2312" w:hAnsi="仿宋_GB2312" w:eastAsia="仿宋_GB2312"/>
          <w:b/>
          <w:sz w:val="32"/>
        </w:rPr>
        <w:t>本年收入992.52万元，</w:t>
      </w:r>
      <w:r>
        <w:rPr>
          <w:rFonts w:ascii="仿宋_GB2312" w:hAnsi="仿宋_GB2312" w:eastAsia="仿宋_GB2312"/>
          <w:b w:val="0"/>
          <w:sz w:val="32"/>
        </w:rPr>
        <w:t>其中：财政拨款收入992.52万元，占100.00%；上级补助收入0.00万元，占0.00%；事业收入0.00万元，占0.00%；经营收入0.00万元，占0.00%；附属单位上缴收入0.00万元，占0.00%；其他收入0.00万元，占0.00%。</w:t>
      </w:r>
    </w:p>
    <w:p w14:paraId="18CC933C">
      <w:pPr>
        <w:spacing w:line="640" w:lineRule="exact"/>
        <w:ind w:firstLine="640"/>
        <w:jc w:val="both"/>
        <w:outlineLvl w:val="2"/>
      </w:pPr>
      <w:r>
        <w:rPr>
          <w:rFonts w:ascii="黑体" w:hAnsi="黑体" w:eastAsia="黑体"/>
          <w:sz w:val="32"/>
        </w:rPr>
        <w:t>三、支出决算情况说明</w:t>
      </w:r>
    </w:p>
    <w:p w14:paraId="6BFFE640">
      <w:pPr>
        <w:spacing w:line="580" w:lineRule="exact"/>
        <w:ind w:firstLine="640"/>
        <w:jc w:val="both"/>
      </w:pPr>
      <w:r>
        <w:rPr>
          <w:rFonts w:ascii="仿宋_GB2312" w:hAnsi="仿宋_GB2312" w:eastAsia="仿宋_GB2312"/>
          <w:b/>
          <w:sz w:val="32"/>
        </w:rPr>
        <w:t>本年支出992.52万元，</w:t>
      </w:r>
      <w:r>
        <w:rPr>
          <w:rFonts w:ascii="仿宋_GB2312" w:hAnsi="仿宋_GB2312" w:eastAsia="仿宋_GB2312"/>
          <w:b w:val="0"/>
          <w:sz w:val="32"/>
        </w:rPr>
        <w:t>其中：基本支出347.01万元，占34.96%；项目支出645.51万元，占65.04%；上缴上级支出0.00万元，占0.00%；经营支出0.00万元，占0.00%；对附属单位补助支出0.00万元，占0.00%。</w:t>
      </w:r>
    </w:p>
    <w:p w14:paraId="74CCB6E7">
      <w:pPr>
        <w:spacing w:line="640" w:lineRule="exact"/>
        <w:ind w:firstLine="640"/>
        <w:jc w:val="both"/>
        <w:outlineLvl w:val="2"/>
      </w:pPr>
      <w:r>
        <w:rPr>
          <w:rFonts w:ascii="黑体" w:hAnsi="黑体" w:eastAsia="黑体"/>
          <w:sz w:val="32"/>
        </w:rPr>
        <w:t>四、财政拨款收入支出决算总体情况说明</w:t>
      </w:r>
    </w:p>
    <w:p w14:paraId="6115C2C0">
      <w:pPr>
        <w:spacing w:line="580" w:lineRule="exact"/>
        <w:ind w:firstLine="640"/>
        <w:jc w:val="both"/>
      </w:pPr>
      <w:r>
        <w:rPr>
          <w:rFonts w:ascii="仿宋_GB2312" w:hAnsi="仿宋_GB2312" w:eastAsia="仿宋_GB2312"/>
          <w:b/>
          <w:sz w:val="32"/>
        </w:rPr>
        <w:t>2024年度财政拨款收入总计992.52万元，</w:t>
      </w:r>
      <w:r>
        <w:rPr>
          <w:rFonts w:ascii="仿宋_GB2312" w:hAnsi="仿宋_GB2312" w:eastAsia="仿宋_GB2312"/>
          <w:b w:val="0"/>
          <w:sz w:val="32"/>
        </w:rPr>
        <w:t>其中：年初财政拨款结转和结余0.00万元，本年财政拨款收入992.52万元。</w:t>
      </w:r>
      <w:r>
        <w:rPr>
          <w:rFonts w:ascii="仿宋_GB2312" w:hAnsi="仿宋_GB2312" w:eastAsia="仿宋_GB2312"/>
          <w:b/>
          <w:sz w:val="32"/>
        </w:rPr>
        <w:t>财政拨款支出总计992.52万元，</w:t>
      </w:r>
      <w:r>
        <w:rPr>
          <w:rFonts w:ascii="仿宋_GB2312" w:hAnsi="仿宋_GB2312" w:eastAsia="仿宋_GB2312"/>
          <w:b w:val="0"/>
          <w:sz w:val="32"/>
        </w:rPr>
        <w:t>其中：年末财政拨款结转和结余0.00万元，本年财政拨款支出992.52万元。</w:t>
      </w:r>
    </w:p>
    <w:p w14:paraId="5903D2F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662.19万元，增长200.46%，主要原因是：本年增加新馆搬迁费、新馆档案库房智能密集架款、新馆建设拖欠项目资金；本年在职人员工资调增，社保、公积金基数调增，人员经费增加，导致收入支出较上年增加。</w:t>
      </w:r>
      <w:r>
        <w:rPr>
          <w:rFonts w:ascii="仿宋_GB2312" w:hAnsi="仿宋_GB2312" w:eastAsia="仿宋_GB2312"/>
          <w:b/>
          <w:sz w:val="32"/>
        </w:rPr>
        <w:t>与年初预算相比，</w:t>
      </w:r>
      <w:r>
        <w:rPr>
          <w:rFonts w:ascii="仿宋_GB2312" w:hAnsi="仿宋_GB2312" w:eastAsia="仿宋_GB2312"/>
          <w:b w:val="0"/>
          <w:sz w:val="32"/>
        </w:rPr>
        <w:t>年初预算数494.96万元，决算数992.52万元，预决算差异率100.53%，主要原因是：年中追加新馆建设拖欠项目资金，年中追加人员工资、社保、公积金基数调整部分资金，导致预决算存在差异。</w:t>
      </w:r>
    </w:p>
    <w:p w14:paraId="29516033">
      <w:pPr>
        <w:spacing w:line="640" w:lineRule="exact"/>
        <w:ind w:firstLine="640"/>
        <w:jc w:val="both"/>
        <w:outlineLvl w:val="2"/>
      </w:pPr>
      <w:r>
        <w:rPr>
          <w:rFonts w:ascii="黑体" w:hAnsi="黑体" w:eastAsia="黑体"/>
          <w:sz w:val="32"/>
        </w:rPr>
        <w:t>五、一般公共预算财政拨款支出决算情况说明</w:t>
      </w:r>
    </w:p>
    <w:p w14:paraId="5572718E">
      <w:pPr>
        <w:spacing w:line="640" w:lineRule="exact"/>
        <w:ind w:firstLine="640"/>
        <w:jc w:val="both"/>
        <w:outlineLvl w:val="3"/>
      </w:pPr>
      <w:r>
        <w:rPr>
          <w:rFonts w:ascii="楷体_GB2312" w:hAnsi="楷体_GB2312" w:eastAsia="楷体_GB2312"/>
          <w:b/>
          <w:sz w:val="32"/>
        </w:rPr>
        <w:t>（一）一般公共预算财政拨款支出决算总体情况</w:t>
      </w:r>
    </w:p>
    <w:p w14:paraId="48B50F8D">
      <w:pPr>
        <w:spacing w:line="580" w:lineRule="exact"/>
        <w:ind w:firstLine="640"/>
        <w:jc w:val="both"/>
      </w:pPr>
      <w:r>
        <w:rPr>
          <w:rFonts w:ascii="仿宋_GB2312" w:hAnsi="仿宋_GB2312" w:eastAsia="仿宋_GB2312"/>
          <w:b/>
          <w:sz w:val="32"/>
        </w:rPr>
        <w:t>2024年度一般公共预算财政拨款支出992.52万元，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增加662.19万元，增长200.46%，主要原因是：本年增加新馆搬迁费、新馆档案库房智能密集架款、新馆建设拖欠项目资金；本年在职人员工资调增，社保、公积金基数调增，人员经费增加，导致支出较上年增加。</w:t>
      </w:r>
      <w:r>
        <w:rPr>
          <w:rFonts w:ascii="仿宋_GB2312" w:hAnsi="仿宋_GB2312" w:eastAsia="仿宋_GB2312"/>
          <w:b/>
          <w:sz w:val="32"/>
        </w:rPr>
        <w:t>与年初预算相比,</w:t>
      </w:r>
      <w:r>
        <w:rPr>
          <w:rFonts w:ascii="仿宋_GB2312" w:hAnsi="仿宋_GB2312" w:eastAsia="仿宋_GB2312"/>
          <w:b w:val="0"/>
          <w:sz w:val="32"/>
        </w:rPr>
        <w:t>年初预算数494.96万元，决算数992.52万元，预决算差异率100.53%，主要原因是：年中追加新馆建设拖欠项目资金，年中追加人员工资、社保、公积金基数调整部分资金，导致预决算存在差异。</w:t>
      </w:r>
    </w:p>
    <w:p w14:paraId="696B620F">
      <w:pPr>
        <w:spacing w:line="640" w:lineRule="exact"/>
        <w:ind w:firstLine="640"/>
        <w:jc w:val="both"/>
        <w:outlineLvl w:val="3"/>
      </w:pPr>
      <w:r>
        <w:rPr>
          <w:rFonts w:ascii="楷体_GB2312" w:hAnsi="楷体_GB2312" w:eastAsia="楷体_GB2312"/>
          <w:b/>
          <w:sz w:val="32"/>
        </w:rPr>
        <w:t>（二）一般公共预算财政拨款支出决算结构情况</w:t>
      </w:r>
    </w:p>
    <w:p w14:paraId="6B309AC2">
      <w:pPr>
        <w:spacing w:line="580" w:lineRule="exact"/>
        <w:ind w:firstLine="640"/>
        <w:jc w:val="both"/>
      </w:pPr>
      <w:r>
        <w:rPr>
          <w:rFonts w:ascii="仿宋_GB2312" w:hAnsi="仿宋_GB2312" w:eastAsia="仿宋_GB2312"/>
          <w:b w:val="0"/>
          <w:sz w:val="32"/>
        </w:rPr>
        <w:t>1.一般公共服务支出(类)867.13万元,占87.37%。</w:t>
      </w:r>
    </w:p>
    <w:p w14:paraId="46791361">
      <w:pPr>
        <w:spacing w:line="580" w:lineRule="exact"/>
        <w:ind w:firstLine="640"/>
        <w:jc w:val="both"/>
      </w:pPr>
      <w:r>
        <w:rPr>
          <w:rFonts w:ascii="仿宋_GB2312" w:hAnsi="仿宋_GB2312" w:eastAsia="仿宋_GB2312"/>
          <w:b w:val="0"/>
          <w:sz w:val="32"/>
        </w:rPr>
        <w:t>2.社会保障和就业支出(类)69.64万元,占7.02%。</w:t>
      </w:r>
    </w:p>
    <w:p w14:paraId="0B035AAF">
      <w:pPr>
        <w:spacing w:line="580" w:lineRule="exact"/>
        <w:ind w:firstLine="640"/>
        <w:jc w:val="both"/>
      </w:pPr>
      <w:r>
        <w:rPr>
          <w:rFonts w:ascii="仿宋_GB2312" w:hAnsi="仿宋_GB2312" w:eastAsia="仿宋_GB2312"/>
          <w:b w:val="0"/>
          <w:sz w:val="32"/>
        </w:rPr>
        <w:t>3.卫生健康支出(类)17.85万元,占1.80%。</w:t>
      </w:r>
    </w:p>
    <w:p w14:paraId="59732269">
      <w:pPr>
        <w:spacing w:line="580" w:lineRule="exact"/>
        <w:ind w:firstLine="640"/>
        <w:jc w:val="both"/>
      </w:pPr>
      <w:r>
        <w:rPr>
          <w:rFonts w:ascii="仿宋_GB2312" w:hAnsi="仿宋_GB2312" w:eastAsia="仿宋_GB2312"/>
          <w:b w:val="0"/>
          <w:sz w:val="32"/>
        </w:rPr>
        <w:t>4.住房保障支出(类)21.24万元,占2.14%。</w:t>
      </w:r>
    </w:p>
    <w:p w14:paraId="1C9895E8">
      <w:pPr>
        <w:spacing w:line="580" w:lineRule="exact"/>
        <w:ind w:firstLine="640"/>
        <w:jc w:val="both"/>
      </w:pPr>
      <w:r>
        <w:rPr>
          <w:rFonts w:ascii="仿宋_GB2312" w:hAnsi="仿宋_GB2312" w:eastAsia="仿宋_GB2312"/>
          <w:b w:val="0"/>
          <w:sz w:val="32"/>
        </w:rPr>
        <w:t>5.其他支出(类)16.66万元,占1.68%。</w:t>
      </w:r>
    </w:p>
    <w:p w14:paraId="241130C8">
      <w:pPr>
        <w:spacing w:line="640" w:lineRule="exact"/>
        <w:ind w:firstLine="640"/>
        <w:jc w:val="both"/>
        <w:outlineLvl w:val="3"/>
      </w:pPr>
      <w:r>
        <w:rPr>
          <w:rFonts w:ascii="楷体_GB2312" w:hAnsi="楷体_GB2312" w:eastAsia="楷体_GB2312"/>
          <w:b/>
          <w:sz w:val="32"/>
        </w:rPr>
        <w:t>（三）一般公共预算财政拨款支出决算具体情况</w:t>
      </w:r>
    </w:p>
    <w:p w14:paraId="0078DECD">
      <w:pPr>
        <w:spacing w:line="580" w:lineRule="exact"/>
        <w:ind w:firstLine="640"/>
        <w:jc w:val="both"/>
      </w:pPr>
      <w:r>
        <w:rPr>
          <w:rFonts w:ascii="仿宋_GB2312" w:hAnsi="仿宋_GB2312" w:eastAsia="仿宋_GB2312"/>
          <w:b w:val="0"/>
          <w:sz w:val="32"/>
        </w:rPr>
        <w:t>1.一般公共服务支出(类)档案事务(款)行政运行(项):支出决算数为238.28万元，比上年决算减少42.81万元，下降15.23%,主要原因是：本年功能科目调整，公务员医疗补助、住房公积金、事业单位医疗、事业单位离退休科目上年度在此科目列支，本年单独列支，导致经费较上年减少。</w:t>
      </w:r>
    </w:p>
    <w:p w14:paraId="7370F090">
      <w:pPr>
        <w:spacing w:line="580" w:lineRule="exact"/>
        <w:ind w:firstLine="640"/>
        <w:jc w:val="both"/>
      </w:pPr>
      <w:r>
        <w:rPr>
          <w:rFonts w:ascii="仿宋_GB2312" w:hAnsi="仿宋_GB2312" w:eastAsia="仿宋_GB2312"/>
          <w:b w:val="0"/>
          <w:sz w:val="32"/>
        </w:rPr>
        <w:t>2.一般公共服务支出(类)档案事务(款)一般行政管理事务(项):支出决算数为1.04万元，比上年决算增加1.04万元，增长100.00%,主要原因是：本年因业务需求，用车次数增加，燃油导致公务用车运行维护费较上年增加。</w:t>
      </w:r>
    </w:p>
    <w:p w14:paraId="024906F6">
      <w:pPr>
        <w:spacing w:line="580" w:lineRule="exact"/>
        <w:ind w:firstLine="640"/>
        <w:jc w:val="both"/>
      </w:pPr>
      <w:r>
        <w:rPr>
          <w:rFonts w:ascii="仿宋_GB2312" w:hAnsi="仿宋_GB2312" w:eastAsia="仿宋_GB2312"/>
          <w:b w:val="0"/>
          <w:sz w:val="32"/>
        </w:rPr>
        <w:t>3.一般公共服务支出(类)档案事务(款)其他档案事务支出(项):支出决算数为627.81万元，比上年决算增加619.44万元，增长7,400.72%,主要原因是：本年增加新馆建设拖欠项目资金。</w:t>
      </w:r>
    </w:p>
    <w:p w14:paraId="44662347">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22.85万元，比上年决算增加22.85万元，增长100.00%,主要原因是：本年功能科目调整，事业单位离退休上年度在主科目列支，本年单独列支，导致经费较上年增加。</w:t>
      </w:r>
    </w:p>
    <w:p w14:paraId="22B2058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27.19万元，比上年决算增加3.27万元，增长13.67%,主要原因是：本年在职人员工资基数调增，养老缴费基数上涨，相应支出增加。</w:t>
      </w:r>
    </w:p>
    <w:p w14:paraId="64EE224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6.社会保障和就业支出(类)行政事业单位养老支出(款)机关事业单位职业年金缴费支出(项):支出决算数为19.61万元，比上年决算增加19.61万元，增长100.00%,主要原因是：本年新增退休人员，职业年金缴费支出增加。</w:t>
      </w:r>
    </w:p>
    <w:p w14:paraId="22B6AB64">
      <w:pPr>
        <w:spacing w:line="580" w:lineRule="exact"/>
        <w:ind w:firstLine="640"/>
        <w:jc w:val="both"/>
      </w:pPr>
      <w:r>
        <w:rPr>
          <w:rFonts w:ascii="仿宋_GB2312" w:hAnsi="仿宋_GB2312" w:eastAsia="仿宋_GB2312"/>
          <w:b w:val="0"/>
          <w:sz w:val="32"/>
        </w:rPr>
        <w:t>7.卫生健康支出(类)行政事业单位医疗(款)事业单位医疗(项):支出决算数为11.04万元，比上年决算增加11.04万元，增长100.00%,主要原因是：本年功能科目调整，事业单位医疗支出上年度在主科目列支，本年单独列支，导致经费较上年增加。</w:t>
      </w:r>
    </w:p>
    <w:p w14:paraId="4E325D7C">
      <w:pPr>
        <w:spacing w:line="580" w:lineRule="exact"/>
        <w:ind w:firstLine="640"/>
        <w:jc w:val="both"/>
      </w:pPr>
      <w:r>
        <w:rPr>
          <w:rFonts w:ascii="仿宋_GB2312" w:hAnsi="仿宋_GB2312" w:eastAsia="仿宋_GB2312"/>
          <w:b w:val="0"/>
          <w:sz w:val="32"/>
        </w:rPr>
        <w:t>8.卫生健康支出(类)行政事业单位医疗(款)公务员医疗补助(项):支出决算数为6.80万元，比上年决算增加6.80万元，增长100.00%,主要原因是：本年功能科目调整，公务员医疗补助上年度在主科目列支，本年单独列支，导致经费较上年增加。</w:t>
      </w:r>
    </w:p>
    <w:p w14:paraId="1E17FFF2">
      <w:pPr>
        <w:spacing w:line="580" w:lineRule="exact"/>
        <w:ind w:firstLine="640"/>
        <w:jc w:val="both"/>
      </w:pPr>
      <w:r>
        <w:rPr>
          <w:rFonts w:ascii="仿宋_GB2312" w:hAnsi="仿宋_GB2312" w:eastAsia="仿宋_GB2312"/>
          <w:b w:val="0"/>
          <w:sz w:val="32"/>
        </w:rPr>
        <w:t>9.住房保障支出(类)住房改革支出(款)住房公积金(项):支出决算数为21.24万元，比上年决算增加21.24万元，增长100.00%,主要原因是：本年功能科目调整，住房公积金上年度在主科目列支，本年单独列支，导致经费较上年增加。</w:t>
      </w:r>
    </w:p>
    <w:p w14:paraId="7FE8321D">
      <w:pPr>
        <w:spacing w:line="580" w:lineRule="exact"/>
        <w:ind w:firstLine="640"/>
        <w:jc w:val="both"/>
      </w:pPr>
      <w:r>
        <w:rPr>
          <w:rFonts w:ascii="仿宋_GB2312" w:hAnsi="仿宋_GB2312" w:eastAsia="仿宋_GB2312"/>
          <w:b w:val="0"/>
          <w:sz w:val="32"/>
        </w:rPr>
        <w:t>10.其他支出(类)其他支出(款)其他支出(项):支出决算数为16.66万元，比上年决算减少0.29万元，下降1.71%,主要原因是：本年减少民办实事工作经费，导致经费较上年减少。</w:t>
      </w:r>
    </w:p>
    <w:p w14:paraId="52D69487">
      <w:pPr>
        <w:spacing w:line="640" w:lineRule="exact"/>
        <w:ind w:firstLine="640"/>
        <w:jc w:val="both"/>
        <w:outlineLvl w:val="2"/>
      </w:pPr>
      <w:r>
        <w:rPr>
          <w:rFonts w:ascii="黑体" w:hAnsi="黑体" w:eastAsia="黑体"/>
          <w:sz w:val="32"/>
        </w:rPr>
        <w:t>六、一般公共预算财政拨款基本支出决算情况说明</w:t>
      </w:r>
    </w:p>
    <w:p w14:paraId="0B8B5DAA">
      <w:pPr>
        <w:spacing w:line="580" w:lineRule="exact"/>
        <w:ind w:firstLine="640"/>
        <w:jc w:val="both"/>
      </w:pPr>
      <w:r>
        <w:rPr>
          <w:rFonts w:ascii="仿宋_GB2312" w:hAnsi="仿宋_GB2312" w:eastAsia="仿宋_GB2312"/>
          <w:b w:val="0"/>
          <w:sz w:val="32"/>
        </w:rPr>
        <w:t>2024年度一般公共预算财政拨款基本支出347.01万元，其中：</w:t>
      </w:r>
      <w:r>
        <w:rPr>
          <w:rFonts w:ascii="仿宋_GB2312" w:hAnsi="仿宋_GB2312" w:eastAsia="仿宋_GB2312"/>
          <w:b/>
          <w:sz w:val="32"/>
        </w:rPr>
        <w:t>人员经费323.57万元，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包括：基本工资、津贴补贴、奖金、机关事业单位基本养老保险缴费、职业年金缴费、职工基本医疗保险缴费、公务员医疗补助缴费、其他社会保障缴费、住房公积金、其他工资福利支出、退休费、奖励金。</w:t>
      </w:r>
    </w:p>
    <w:p w14:paraId="367C17F0">
      <w:pPr>
        <w:spacing w:line="580" w:lineRule="exact"/>
        <w:ind w:firstLine="640"/>
        <w:jc w:val="both"/>
      </w:pPr>
      <w:r>
        <w:rPr>
          <w:rFonts w:ascii="仿宋_GB2312" w:hAnsi="仿宋_GB2312" w:eastAsia="仿宋_GB2312"/>
          <w:b/>
          <w:sz w:val="32"/>
        </w:rPr>
        <w:t>公用经费23.44万元，</w:t>
      </w:r>
      <w:r>
        <w:rPr>
          <w:rFonts w:ascii="仿宋_GB2312" w:hAnsi="仿宋_GB2312" w:eastAsia="仿宋_GB2312"/>
          <w:b w:val="0"/>
          <w:sz w:val="32"/>
        </w:rPr>
        <w:t>包括：办公费、水费、电费、取暖费、差旅费、工会经费、福利费、公务用车运行维护费。</w:t>
      </w:r>
    </w:p>
    <w:p w14:paraId="1342D764">
      <w:pPr>
        <w:spacing w:line="640" w:lineRule="exact"/>
        <w:ind w:firstLine="640"/>
        <w:jc w:val="both"/>
        <w:outlineLvl w:val="2"/>
      </w:pPr>
      <w:r>
        <w:rPr>
          <w:rFonts w:ascii="黑体" w:hAnsi="黑体" w:eastAsia="黑体"/>
          <w:sz w:val="32"/>
        </w:rPr>
        <w:t>七、政府性基金预算财政拨款收入支出决算情况说明</w:t>
      </w:r>
    </w:p>
    <w:p w14:paraId="26E92B3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66F1F3">
      <w:pPr>
        <w:spacing w:line="640" w:lineRule="exact"/>
        <w:ind w:firstLine="640"/>
        <w:jc w:val="both"/>
        <w:outlineLvl w:val="2"/>
      </w:pPr>
      <w:r>
        <w:rPr>
          <w:rFonts w:ascii="黑体" w:hAnsi="黑体" w:eastAsia="黑体"/>
          <w:sz w:val="32"/>
        </w:rPr>
        <w:t>八、国有资本经营预算财政拨款收入支出决算情况说明</w:t>
      </w:r>
    </w:p>
    <w:p w14:paraId="2CE753F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A95B67">
      <w:pPr>
        <w:spacing w:line="640" w:lineRule="exact"/>
        <w:ind w:firstLine="640"/>
        <w:jc w:val="both"/>
        <w:outlineLvl w:val="2"/>
      </w:pPr>
      <w:r>
        <w:rPr>
          <w:rFonts w:ascii="黑体" w:hAnsi="黑体" w:eastAsia="黑体"/>
          <w:sz w:val="32"/>
        </w:rPr>
        <w:t>九、财政拨款“三公”经费支出决算情况说明</w:t>
      </w:r>
    </w:p>
    <w:p w14:paraId="7A33F444">
      <w:pPr>
        <w:spacing w:line="580" w:lineRule="exact"/>
        <w:ind w:firstLine="640"/>
        <w:jc w:val="both"/>
      </w:pPr>
      <w:r>
        <w:rPr>
          <w:rFonts w:ascii="仿宋_GB2312" w:hAnsi="仿宋_GB2312" w:eastAsia="仿宋_GB2312"/>
          <w:b/>
          <w:sz w:val="32"/>
        </w:rPr>
        <w:t>2024年度财政拨款“三公”经费支出1.84万元，</w:t>
      </w:r>
      <w:r>
        <w:rPr>
          <w:rFonts w:ascii="仿宋_GB2312" w:hAnsi="仿宋_GB2312" w:eastAsia="仿宋_GB2312"/>
          <w:b w:val="0"/>
          <w:sz w:val="32"/>
        </w:rPr>
        <w:t>比上年增加1.48万元，增长411.11%，主要原因是：本年旧公务用车报废，向机关服务中心新置换一辆旧公务用车，导致车辆运行维护费增加。其中：因公出国（境）费支出0.00万元，占0.00%，比上年增加0.00万元，增长0.00%，主要原因是：2023年与2024年均未安排因公出国（境）费支出。公务用车购置及运行维护费支出1.84万元，占100.00%，比上年增加1.48万元，增长411.11%，主要原因是：本年旧公务用车报废，向机关服务中心新置换一辆旧公务用车，导致车辆运行维护费增加。公务接待费支出0.00万元，占0.00%，比上年增加0.00万元，增长0.00%，主要原因是：2023年与2024年均未安排公务接待费支出。</w:t>
      </w:r>
    </w:p>
    <w:p w14:paraId="102014F0">
      <w:pPr>
        <w:spacing w:line="580" w:lineRule="exact"/>
        <w:ind w:firstLine="640"/>
        <w:jc w:val="both"/>
      </w:pPr>
      <w:r>
        <w:rPr>
          <w:rFonts w:ascii="仿宋_GB2312" w:hAnsi="仿宋_GB2312" w:eastAsia="仿宋_GB2312"/>
          <w:b/>
          <w:sz w:val="32"/>
        </w:rPr>
        <w:t>具体情况如下：</w:t>
      </w:r>
    </w:p>
    <w:p w14:paraId="35CADAD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2B3145">
      <w:pPr>
        <w:spacing w:line="580" w:lineRule="exact"/>
        <w:ind w:firstLine="640"/>
        <w:jc w:val="both"/>
      </w:pPr>
      <w:r>
        <w:rPr>
          <w:rFonts w:ascii="仿宋_GB2312" w:hAnsi="仿宋_GB2312" w:eastAsia="仿宋_GB2312"/>
          <w:b w:val="0"/>
          <w:sz w:val="32"/>
        </w:rPr>
        <w:t>公务用车购置及运行维护费1.84万元，其中：公务用车购置费0.00万元，公务用车运行维护费1.84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1827B1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57E2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1.84万元，决算数1.84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1.84万元，决算数1.84万元，预决算差异率0.00%，主要原因是：严格按照预算执行，预决算无差异。公务接待费全年预算数0.00万元，决算数0.00万元，预决算差异率0.00%，主要原因是：本单位无公务接待费。</w:t>
      </w:r>
    </w:p>
    <w:p w14:paraId="49D60165">
      <w:pPr>
        <w:spacing w:line="640" w:lineRule="exact"/>
        <w:ind w:firstLine="640"/>
        <w:jc w:val="both"/>
        <w:outlineLvl w:val="2"/>
      </w:pPr>
      <w:r>
        <w:rPr>
          <w:rFonts w:ascii="黑体" w:hAnsi="黑体" w:eastAsia="黑体"/>
          <w:sz w:val="32"/>
        </w:rPr>
        <w:t>十、其他重要事项的情况说明</w:t>
      </w:r>
    </w:p>
    <w:p w14:paraId="4C2FF99E">
      <w:pPr>
        <w:spacing w:line="640" w:lineRule="exact"/>
        <w:ind w:firstLine="640"/>
        <w:jc w:val="both"/>
        <w:outlineLvl w:val="3"/>
      </w:pPr>
      <w:r>
        <w:rPr>
          <w:rFonts w:ascii="楷体_GB2312" w:hAnsi="楷体_GB2312" w:eastAsia="楷体_GB2312"/>
          <w:b/>
          <w:sz w:val="32"/>
        </w:rPr>
        <w:t>（一）机关运行经费及公用经费支出情况</w:t>
      </w:r>
    </w:p>
    <w:p w14:paraId="331D0D25">
      <w:pPr>
        <w:spacing w:line="580" w:lineRule="exact"/>
        <w:ind w:firstLine="640"/>
        <w:jc w:val="both"/>
      </w:pPr>
      <w:r>
        <w:rPr>
          <w:rFonts w:ascii="仿宋_GB2312" w:hAnsi="仿宋_GB2312" w:eastAsia="仿宋_GB2312"/>
          <w:b w:val="0"/>
          <w:sz w:val="32"/>
        </w:rPr>
        <w:t>2024年度新疆维吾尔自治区和田地区档案馆（行政单位和参照公务员法管理事业单位）机关运行经费支出23.44万元，比上年增加9.68万元，增长70.35%，主要原因是：本年增加新馆搬迁经费，导致机关运行经费增加。</w:t>
      </w:r>
    </w:p>
    <w:p w14:paraId="41C1FEE7">
      <w:pPr>
        <w:spacing w:line="640" w:lineRule="exact"/>
        <w:ind w:firstLine="640"/>
        <w:jc w:val="both"/>
        <w:outlineLvl w:val="3"/>
      </w:pPr>
      <w:r>
        <w:rPr>
          <w:rFonts w:ascii="楷体_GB2312" w:hAnsi="楷体_GB2312" w:eastAsia="楷体_GB2312"/>
          <w:b/>
          <w:sz w:val="32"/>
        </w:rPr>
        <w:t>（二）政府采购情况</w:t>
      </w:r>
    </w:p>
    <w:p w14:paraId="11944870">
      <w:pPr>
        <w:spacing w:line="580" w:lineRule="exact"/>
        <w:ind w:firstLine="640"/>
        <w:jc w:val="both"/>
      </w:pPr>
      <w:r>
        <w:rPr>
          <w:rFonts w:ascii="仿宋_GB2312" w:hAnsi="仿宋_GB2312" w:eastAsia="仿宋_GB2312"/>
          <w:b w:val="0"/>
          <w:sz w:val="32"/>
        </w:rPr>
        <w:t>2024年度政府采购支出总额126.00万元，其中：政府采购货物支出126.00万元、政府采购工程支出0.00万元、政府采购服务支出0.00万元。</w:t>
      </w:r>
    </w:p>
    <w:p w14:paraId="38E5556F">
      <w:pPr>
        <w:spacing w:line="580" w:lineRule="exact"/>
        <w:ind w:firstLine="640"/>
        <w:jc w:val="both"/>
      </w:pPr>
      <w:r>
        <w:rPr>
          <w:rFonts w:ascii="仿宋_GB2312" w:hAnsi="仿宋_GB2312" w:eastAsia="仿宋_GB2312"/>
          <w:b w:val="0"/>
          <w:sz w:val="32"/>
        </w:rPr>
        <w:t>授予中小企业合同金额126.00万元，占政府采购支出总额的100.00%，其中：授予小微企业合同金额126.00万元，占政府采购支出总额的100.00%。</w:t>
      </w:r>
    </w:p>
    <w:p w14:paraId="77209598">
      <w:pPr>
        <w:spacing w:line="640" w:lineRule="exact"/>
        <w:ind w:firstLine="640"/>
        <w:jc w:val="both"/>
        <w:outlineLvl w:val="3"/>
      </w:pPr>
      <w:r>
        <w:rPr>
          <w:rFonts w:ascii="楷体_GB2312" w:hAnsi="楷体_GB2312" w:eastAsia="楷体_GB2312"/>
          <w:b/>
          <w:sz w:val="32"/>
        </w:rPr>
        <w:t>（三）国有资产占用情况说明</w:t>
      </w:r>
    </w:p>
    <w:p w14:paraId="2C71FBDB">
      <w:pPr>
        <w:spacing w:line="580" w:lineRule="exact"/>
        <w:ind w:firstLine="640"/>
        <w:jc w:val="both"/>
      </w:pPr>
      <w:r>
        <w:rPr>
          <w:rFonts w:ascii="仿宋_GB2312" w:hAnsi="仿宋_GB2312" w:eastAsia="仿宋_GB2312"/>
          <w:b w:val="0"/>
          <w:sz w:val="32"/>
        </w:rPr>
        <w:t>截至2024年12月31日，房屋6,671.00平方米，价值1,795.66万元。车辆1辆，价值9.04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DA7773C">
      <w:pPr>
        <w:spacing w:line="640" w:lineRule="exact"/>
        <w:ind w:firstLine="640"/>
        <w:jc w:val="both"/>
        <w:outlineLvl w:val="2"/>
      </w:pPr>
      <w:r>
        <w:rPr>
          <w:rFonts w:ascii="黑体" w:hAnsi="黑体" w:eastAsia="黑体"/>
          <w:sz w:val="32"/>
        </w:rPr>
        <w:t>十一、预算绩效的情况说明</w:t>
      </w:r>
    </w:p>
    <w:p w14:paraId="3E7E668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992.52万元，实际执行总额992.52万元；预算绩效评价项目5个，全年预算数644.81万元，全年执行数644.81万元。预算绩效管理取得的成效：一是和田地区档案馆业务工作以习近平新时代中国特色社会主义思想为指导，认真学习贯彻党的二十大精神、二十届中央纪委二次全会精神，十届自治区党委三次、五次、六次、七次全会精神及地委扩大会议精神，进一步深入贯彻落实习近平总书记对档案工作的重要指示批示精神，紧紧围绕习近平总书记对档案工作提出的“四个好”“两个服务”的目标要求，全面落实自治区档案工作会议精神，认真履行“为党管档、为国守史、为民服务”的神圣职责，贯彻实施好新修订的档案法，推动档案事业新发展，保管好、利用好红色档案，把新时代党领导人民推进实现中华民族伟大复兴的奋斗历史记录好、留存好，更好地服务党和国家工作大局、服务人民群众。1.加大依法治档力度，不断推进档案管理法制化水平。积极配合地区档案局，充分利用重大纪念活动、重要时间节点，扎实开展《</w:t>
      </w:r>
      <w:r>
        <w:rPr>
          <w:rFonts w:hint="eastAsia" w:ascii="仿宋_GB2312" w:hAnsi="仿宋_GB2312" w:eastAsia="仿宋_GB2312"/>
          <w:b w:val="0"/>
          <w:sz w:val="32"/>
          <w:lang w:eastAsia="zh-CN"/>
        </w:rPr>
        <w:t>中华人民共和国档案法</w:t>
      </w:r>
      <w:r>
        <w:rPr>
          <w:rFonts w:ascii="仿宋_GB2312" w:hAnsi="仿宋_GB2312" w:eastAsia="仿宋_GB2312"/>
          <w:b w:val="0"/>
          <w:sz w:val="32"/>
        </w:rPr>
        <w:t>》及相关法律法</w:t>
      </w:r>
      <w:r>
        <w:rPr>
          <w:rFonts w:hint="eastAsia" w:ascii="仿宋_GB2312" w:hAnsi="仿宋_GB2312" w:eastAsia="仿宋_GB2312"/>
          <w:b w:val="0"/>
          <w:sz w:val="32"/>
          <w:lang w:eastAsia="zh-CN"/>
        </w:rPr>
        <w:t>规的</w:t>
      </w:r>
      <w:r>
        <w:rPr>
          <w:rFonts w:ascii="仿宋_GB2312" w:hAnsi="仿宋_GB2312" w:eastAsia="仿宋_GB2312"/>
          <w:b w:val="0"/>
          <w:sz w:val="32"/>
        </w:rPr>
        <w:t>普法宣传，深入学习贯彻落实国家、自治区档案部门新出台的档案业务标准规范，依法依规开展档案开放鉴定工作，做到应开放的全部开放，应控制的严格控制，依法做好档案统计工作，确保档案统计数据真实准确有效。二是加大档案服务中心工作力度，不断提升档案管理水平。以系统、行业为抓手，进一步加强档案目标管理，夯实全地区机关和企事业单位档案工作基础业务，主动服务地委中心工作，配合地区档案局加强对两会、各类节日特色活动、重点项目建设档案等业务指导服务；深挖档案文化价值，扎实做好各门类载体档案的征集、收集、保管利用。发现的问题及原因：部门管理水平有待进一步提高，还需进一步加强相关领域知识。评价工作的审核监督不足有待加强，主明确体责任划分需进一步明确。原因：缺乏预算绩效管理基础数据库建设，相关原始资料整理、信息汇总及研究利用效率不高。指标体系设计的质量和层次尚需提高。部门职责划分存在重合，项目实施效率不高。下一步改进措施：一是加强领导，落实责任。对财务工作高度重视，对资金的流动及收支有专门人员进行核实，明确各部门对资金运作的工作职责；二是强化监管，确保质量。为保证项目顺利运行，在分管领导的时刻监管下，建立全过程、经常化的监管机制，明确责任，确保项目的高质量完成；三是严格程序，确保资金效益。项目开展坚持做到层层审批的原则，做到操作程序规范。具体附整体支出绩效自评表，项目支出绩效自评表和评价报告。</w:t>
      </w:r>
    </w:p>
    <w:p w14:paraId="087C690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5F8330">
        <w:tblPrEx>
          <w:tblCellMar>
            <w:top w:w="0" w:type="dxa"/>
            <w:left w:w="108" w:type="dxa"/>
            <w:bottom w:w="0" w:type="dxa"/>
            <w:right w:w="108" w:type="dxa"/>
          </w:tblCellMar>
        </w:tblPrEx>
        <w:tc>
          <w:tcPr>
            <w:tcW w:w="8847" w:type="dxa"/>
            <w:gridSpan w:val="9"/>
            <w:vAlign w:val="center"/>
          </w:tcPr>
          <w:p w14:paraId="03A0F0C4">
            <w:pPr>
              <w:jc w:val="center"/>
            </w:pPr>
            <w:r>
              <w:rPr>
                <w:rFonts w:ascii="宋体" w:hAnsi="宋体" w:eastAsia="宋体"/>
                <w:sz w:val="24"/>
              </w:rPr>
              <w:t>单位整体支出绩效自评表</w:t>
            </w:r>
          </w:p>
        </w:tc>
      </w:tr>
      <w:tr w14:paraId="66DB588F">
        <w:tblPrEx>
          <w:tblCellMar>
            <w:top w:w="0" w:type="dxa"/>
            <w:left w:w="108" w:type="dxa"/>
            <w:bottom w:w="0" w:type="dxa"/>
            <w:right w:w="108" w:type="dxa"/>
          </w:tblCellMar>
        </w:tblPrEx>
        <w:tc>
          <w:tcPr>
            <w:tcW w:w="8847" w:type="dxa"/>
            <w:gridSpan w:val="9"/>
            <w:vAlign w:val="center"/>
          </w:tcPr>
          <w:p w14:paraId="421D0475">
            <w:pPr>
              <w:jc w:val="center"/>
            </w:pPr>
            <w:r>
              <w:rPr>
                <w:rFonts w:ascii="宋体" w:hAnsi="宋体" w:eastAsia="宋体"/>
                <w:sz w:val="24"/>
              </w:rPr>
              <w:t>（2024年度）</w:t>
            </w:r>
          </w:p>
        </w:tc>
      </w:tr>
      <w:tr w14:paraId="23D42C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125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BECABC">
            <w:pPr>
              <w:jc w:val="center"/>
            </w:pPr>
            <w:r>
              <w:rPr>
                <w:rFonts w:ascii="宋体" w:hAnsi="宋体" w:eastAsia="宋体"/>
                <w:sz w:val="16"/>
              </w:rPr>
              <w:t>新疆维吾尔自治区和田地区档案馆</w:t>
            </w:r>
          </w:p>
        </w:tc>
      </w:tr>
      <w:tr w14:paraId="3FDAAC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FBD5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200F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42C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7C2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DFB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C5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49D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4FC2">
            <w:pPr>
              <w:jc w:val="center"/>
            </w:pPr>
            <w:r>
              <w:rPr>
                <w:rFonts w:ascii="宋体" w:hAnsi="宋体" w:eastAsia="宋体"/>
                <w:sz w:val="16"/>
              </w:rPr>
              <w:t>得分</w:t>
            </w:r>
          </w:p>
        </w:tc>
      </w:tr>
      <w:tr w14:paraId="15A6C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32C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BDF6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E1BE">
            <w:pPr>
              <w:jc w:val="center"/>
            </w:pPr>
            <w:r>
              <w:rPr>
                <w:rFonts w:ascii="宋体" w:hAnsi="宋体" w:eastAsia="宋体"/>
                <w:sz w:val="16"/>
              </w:rPr>
              <w:t>494.96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0668">
            <w:pPr>
              <w:jc w:val="center"/>
            </w:pPr>
            <w:r>
              <w:rPr>
                <w:rFonts w:ascii="宋体" w:hAnsi="宋体" w:eastAsia="宋体"/>
                <w:sz w:val="16"/>
              </w:rPr>
              <w:t>992.52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18859">
            <w:pPr>
              <w:jc w:val="center"/>
            </w:pPr>
            <w:r>
              <w:rPr>
                <w:rFonts w:ascii="宋体" w:hAnsi="宋体" w:eastAsia="宋体"/>
                <w:sz w:val="16"/>
              </w:rPr>
              <w:t>992.52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C1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3AC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66CF">
            <w:pPr>
              <w:jc w:val="center"/>
            </w:pPr>
            <w:r>
              <w:rPr>
                <w:rFonts w:ascii="宋体" w:hAnsi="宋体" w:eastAsia="宋体"/>
                <w:sz w:val="16"/>
              </w:rPr>
              <w:t>10</w:t>
            </w:r>
          </w:p>
        </w:tc>
      </w:tr>
      <w:tr w14:paraId="6726C1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81E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889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7E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6221">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6B56">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820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4841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15EB">
            <w:pPr>
              <w:jc w:val="center"/>
            </w:pPr>
            <w:r>
              <w:rPr>
                <w:rFonts w:ascii="宋体" w:hAnsi="宋体" w:eastAsia="宋体"/>
                <w:sz w:val="16"/>
              </w:rPr>
              <w:t>—</w:t>
            </w:r>
          </w:p>
        </w:tc>
      </w:tr>
      <w:tr w14:paraId="7D09C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29A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089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9F2AE">
            <w:pPr>
              <w:jc w:val="center"/>
            </w:pPr>
            <w:r>
              <w:rPr>
                <w:rFonts w:ascii="宋体" w:hAnsi="宋体" w:eastAsia="宋体"/>
                <w:sz w:val="16"/>
              </w:rPr>
              <w:t>494.96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66C5B">
            <w:pPr>
              <w:jc w:val="center"/>
            </w:pPr>
            <w:r>
              <w:rPr>
                <w:rFonts w:ascii="宋体" w:hAnsi="宋体" w:eastAsia="宋体"/>
                <w:sz w:val="16"/>
              </w:rPr>
              <w:t>975.52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86A9A">
            <w:pPr>
              <w:jc w:val="center"/>
            </w:pPr>
            <w:r>
              <w:rPr>
                <w:rFonts w:ascii="宋体" w:hAnsi="宋体" w:eastAsia="宋体"/>
                <w:sz w:val="16"/>
              </w:rPr>
              <w:t>975.52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DD6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A7D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92B9">
            <w:pPr>
              <w:jc w:val="center"/>
            </w:pPr>
            <w:r>
              <w:rPr>
                <w:rFonts w:ascii="宋体" w:hAnsi="宋体" w:eastAsia="宋体"/>
                <w:sz w:val="16"/>
              </w:rPr>
              <w:t>—</w:t>
            </w:r>
          </w:p>
        </w:tc>
      </w:tr>
      <w:tr w14:paraId="40D614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BD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5D2A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243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1D4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DE6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6A7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0CB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0E473">
            <w:pPr>
              <w:jc w:val="center"/>
            </w:pPr>
            <w:r>
              <w:rPr>
                <w:rFonts w:ascii="宋体" w:hAnsi="宋体" w:eastAsia="宋体"/>
                <w:sz w:val="16"/>
              </w:rPr>
              <w:t>—</w:t>
            </w:r>
          </w:p>
        </w:tc>
      </w:tr>
      <w:tr w14:paraId="1BEC23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B54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FBCF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78CE1">
            <w:pPr>
              <w:jc w:val="center"/>
            </w:pPr>
            <w:r>
              <w:rPr>
                <w:rFonts w:ascii="宋体" w:hAnsi="宋体" w:eastAsia="宋体"/>
                <w:sz w:val="16"/>
              </w:rPr>
              <w:t>实际完成目标</w:t>
            </w:r>
          </w:p>
        </w:tc>
      </w:tr>
      <w:tr w14:paraId="6385AC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C4AA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BD39D8">
            <w:pPr>
              <w:jc w:val="both"/>
            </w:pPr>
            <w:r>
              <w:rPr>
                <w:rFonts w:ascii="宋体" w:hAnsi="宋体" w:eastAsia="宋体"/>
                <w:sz w:val="16"/>
              </w:rPr>
              <w:t xml:space="preserve">1.确保人员经费。保障全年12名编制人员及14名退休职工工资福利、养老保险金、医疗保险金、住房公积金等人员经费按时足额缴纳。 2.确保公用经费。保障档案馆馆库正常运行；保障综合办公楼水电暖费按时缴纳，正常使用；保障档案馆各类办公设备及硬件设备的维护维修，确保日常工作正常运转。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3.加大档案、资料征集接收工作。全年完成档案接收量500卷10000件，资料接收不少于100册。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4.全年为社会各界人士提高档案资料查阅利用不少于100人次。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5.提高档案管理科学化、精细化、常态化水平，提升档案业务工作能力，提高档案工作质量。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73798">
            <w:pPr>
              <w:jc w:val="both"/>
            </w:pPr>
            <w:r>
              <w:rPr>
                <w:rFonts w:hint="eastAsia" w:ascii="宋体" w:hAnsi="宋体"/>
                <w:sz w:val="16"/>
                <w:lang w:eastAsia="zh-CN"/>
              </w:rPr>
              <w:t>截至2024</w:t>
            </w:r>
            <w:r>
              <w:rPr>
                <w:rFonts w:ascii="宋体" w:hAnsi="宋体" w:eastAsia="宋体"/>
                <w:sz w:val="16"/>
              </w:rPr>
              <w:t>年12月31日，我单位实际形成支出992.52万元,根据地区档案局关于印发《和田地区档案馆收集档案范围实施细则》和《和田地区2024年收集档案工作方案》的通知要求，积极拓展档案收集渠道，加强与满10年档案移交进馆的21家单位沟通联系，建立常态化档案移交机制。今年，对行署、地区审计局、地区质量技术监督局、地区公路管理局等11个全宗单位文书、业务、财务、实物等门类接收进馆档案及时进行审核验收、清理、登记，共接收1295卷30712件；资料41册；印章2枚。在接收纸质版实体档案时，同步对档案的数字化扫描件pdf,jpg格式进行审核接收，规范电子目录，为数字化档案挂接奠定坚实基础。</w:t>
            </w:r>
          </w:p>
        </w:tc>
      </w:tr>
      <w:tr w14:paraId="079DA3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5D3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DF3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4A0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405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6A2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C499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1CD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C44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B995">
            <w:pPr>
              <w:jc w:val="center"/>
            </w:pPr>
            <w:r>
              <w:rPr>
                <w:rFonts w:ascii="宋体" w:hAnsi="宋体" w:eastAsia="宋体"/>
                <w:sz w:val="16"/>
              </w:rPr>
              <w:t>得分</w:t>
            </w:r>
          </w:p>
        </w:tc>
      </w:tr>
      <w:tr w14:paraId="664489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FAEA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73C0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D25E">
            <w:pPr>
              <w:jc w:val="center"/>
            </w:pPr>
            <w:r>
              <w:rPr>
                <w:rFonts w:ascii="宋体" w:hAnsi="宋体" w:eastAsia="宋体"/>
                <w:sz w:val="16"/>
              </w:rPr>
              <w:t>征集档案资料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1215C">
            <w:pPr>
              <w:jc w:val="center"/>
            </w:pPr>
            <w:r>
              <w:rPr>
                <w:rFonts w:hint="default" w:ascii="Arial" w:hAnsi="Arial" w:eastAsia="宋体" w:cs="Arial"/>
                <w:sz w:val="16"/>
              </w:rPr>
              <w:t>≥</w:t>
            </w:r>
            <w:r>
              <w:rPr>
                <w:rFonts w:ascii="宋体" w:hAnsi="宋体" w:eastAsia="宋体"/>
                <w:sz w:val="16"/>
              </w:rPr>
              <w:t>50册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DAFE">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2E3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992E3">
            <w:pPr>
              <w:jc w:val="center"/>
            </w:pPr>
            <w:r>
              <w:rPr>
                <w:rFonts w:ascii="宋体" w:hAnsi="宋体" w:eastAsia="宋体"/>
                <w:sz w:val="16"/>
              </w:rPr>
              <w:t>51册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F86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0AA97">
            <w:pPr>
              <w:jc w:val="center"/>
            </w:pPr>
            <w:r>
              <w:rPr>
                <w:rFonts w:ascii="宋体" w:hAnsi="宋体" w:eastAsia="宋体"/>
                <w:sz w:val="16"/>
              </w:rPr>
              <w:t>20</w:t>
            </w:r>
          </w:p>
        </w:tc>
      </w:tr>
      <w:tr w14:paraId="180BD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31E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047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3647D">
            <w:pPr>
              <w:jc w:val="center"/>
            </w:pPr>
            <w:r>
              <w:rPr>
                <w:rFonts w:ascii="宋体" w:hAnsi="宋体" w:eastAsia="宋体"/>
                <w:sz w:val="16"/>
              </w:rPr>
              <w:t>档案查阅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0409B">
            <w:pPr>
              <w:jc w:val="center"/>
            </w:pPr>
            <w:r>
              <w:rPr>
                <w:rFonts w:hint="default" w:ascii="Arial" w:hAnsi="Arial" w:eastAsia="宋体" w:cs="Arial"/>
                <w:sz w:val="16"/>
              </w:rPr>
              <w:t>≥</w:t>
            </w: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E6AF">
            <w:pPr>
              <w:jc w:val="center"/>
            </w:pPr>
            <w:r>
              <w:rPr>
                <w:rFonts w:ascii="宋体" w:hAnsi="宋体" w:eastAsia="宋体"/>
                <w:sz w:val="16"/>
              </w:rPr>
              <w:t>2014年度工作要点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965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61CCE">
            <w:pPr>
              <w:jc w:val="center"/>
            </w:pPr>
            <w:r>
              <w:rPr>
                <w:rFonts w:ascii="宋体" w:hAnsi="宋体" w:eastAsia="宋体"/>
                <w:sz w:val="16"/>
              </w:rPr>
              <w:t>547人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816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ACBD">
            <w:pPr>
              <w:jc w:val="center"/>
            </w:pPr>
            <w:r>
              <w:rPr>
                <w:rFonts w:ascii="宋体" w:hAnsi="宋体" w:eastAsia="宋体"/>
                <w:sz w:val="16"/>
              </w:rPr>
              <w:t>10</w:t>
            </w:r>
          </w:p>
        </w:tc>
      </w:tr>
      <w:tr w14:paraId="525BB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FF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F47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B003">
            <w:pPr>
              <w:jc w:val="center"/>
            </w:pPr>
            <w:r>
              <w:rPr>
                <w:rFonts w:ascii="宋体" w:hAnsi="宋体" w:eastAsia="宋体"/>
                <w:sz w:val="16"/>
              </w:rPr>
              <w:t>档案接收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A1118">
            <w:pPr>
              <w:jc w:val="center"/>
            </w:pPr>
            <w:r>
              <w:rPr>
                <w:rFonts w:hint="default" w:ascii="Arial" w:hAnsi="Arial" w:eastAsia="宋体" w:cs="Arial"/>
                <w:sz w:val="16"/>
              </w:rPr>
              <w:t>≥</w:t>
            </w: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00D3">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87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0E7A">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ED1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CA2E">
            <w:pPr>
              <w:jc w:val="center"/>
            </w:pPr>
            <w:r>
              <w:rPr>
                <w:rFonts w:ascii="宋体" w:hAnsi="宋体" w:eastAsia="宋体"/>
                <w:sz w:val="16"/>
              </w:rPr>
              <w:t>20</w:t>
            </w:r>
          </w:p>
        </w:tc>
      </w:tr>
      <w:tr w14:paraId="2428A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FD94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F7E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DAD0">
            <w:pPr>
              <w:jc w:val="center"/>
            </w:pPr>
            <w:r>
              <w:rPr>
                <w:rFonts w:ascii="宋体" w:hAnsi="宋体" w:eastAsia="宋体"/>
                <w:sz w:val="16"/>
              </w:rPr>
              <w:t>档案接收率、档案资料征集率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DC1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4A48">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F5A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0C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F77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A53D">
            <w:pPr>
              <w:jc w:val="center"/>
            </w:pPr>
            <w:r>
              <w:rPr>
                <w:rFonts w:ascii="宋体" w:hAnsi="宋体" w:eastAsia="宋体"/>
                <w:sz w:val="16"/>
              </w:rPr>
              <w:t>10</w:t>
            </w:r>
          </w:p>
        </w:tc>
      </w:tr>
      <w:tr w14:paraId="3DA86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CB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451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B505">
            <w:pPr>
              <w:jc w:val="center"/>
            </w:pPr>
            <w:r>
              <w:rPr>
                <w:rFonts w:ascii="宋体" w:hAnsi="宋体" w:eastAsia="宋体"/>
                <w:sz w:val="16"/>
              </w:rPr>
              <w:t>档案利用率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AC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B927">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D2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979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AE66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36201">
            <w:pPr>
              <w:jc w:val="center"/>
            </w:pPr>
            <w:r>
              <w:rPr>
                <w:rFonts w:ascii="宋体" w:hAnsi="宋体" w:eastAsia="宋体"/>
                <w:sz w:val="16"/>
              </w:rPr>
              <w:t>10</w:t>
            </w:r>
          </w:p>
        </w:tc>
      </w:tr>
      <w:tr w14:paraId="71FE3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083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8D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4EC2">
            <w:pPr>
              <w:jc w:val="center"/>
            </w:pPr>
            <w:r>
              <w:rPr>
                <w:rFonts w:ascii="宋体" w:hAnsi="宋体" w:eastAsia="宋体"/>
                <w:sz w:val="16"/>
              </w:rPr>
              <w:t>档案保存完好率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1FB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0057">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6C3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E3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4F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ACC9E">
            <w:pPr>
              <w:jc w:val="center"/>
            </w:pPr>
            <w:r>
              <w:rPr>
                <w:rFonts w:ascii="宋体" w:hAnsi="宋体" w:eastAsia="宋体"/>
                <w:sz w:val="16"/>
              </w:rPr>
              <w:t>20</w:t>
            </w:r>
          </w:p>
        </w:tc>
      </w:tr>
      <w:tr w14:paraId="767697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7013">
            <w:pPr>
              <w:jc w:val="center"/>
            </w:pPr>
            <w:r>
              <w:rPr>
                <w:rFonts w:ascii="宋体" w:hAnsi="宋体" w:eastAsia="宋体"/>
                <w:sz w:val="16"/>
              </w:rPr>
              <w:t>服务对象满意度</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A21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2A77A">
            <w:pPr>
              <w:jc w:val="center"/>
            </w:pPr>
            <w:r>
              <w:rPr>
                <w:rFonts w:ascii="宋体" w:hAnsi="宋体" w:eastAsia="宋体"/>
                <w:sz w:val="16"/>
              </w:rPr>
              <w:t>查阅档案满意率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80535">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C46B">
            <w:pPr>
              <w:jc w:val="center"/>
            </w:pPr>
            <w:r>
              <w:rPr>
                <w:rFonts w:ascii="宋体" w:hAnsi="宋体" w:eastAsia="宋体"/>
                <w:sz w:val="16"/>
              </w:rPr>
              <w:t>2024年度工作要点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4B94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5FF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B73D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5A147">
            <w:pPr>
              <w:jc w:val="center"/>
            </w:pPr>
            <w:r>
              <w:rPr>
                <w:rFonts w:ascii="宋体" w:hAnsi="宋体" w:eastAsia="宋体"/>
                <w:sz w:val="16"/>
              </w:rPr>
              <w:t>0</w:t>
            </w:r>
          </w:p>
        </w:tc>
      </w:tr>
    </w:tbl>
    <w:p w14:paraId="22A89E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CB5A6C">
        <w:tblPrEx>
          <w:tblCellMar>
            <w:top w:w="0" w:type="dxa"/>
            <w:left w:w="108" w:type="dxa"/>
            <w:bottom w:w="0" w:type="dxa"/>
            <w:right w:w="108" w:type="dxa"/>
          </w:tblCellMar>
        </w:tblPrEx>
        <w:tc>
          <w:tcPr>
            <w:tcW w:w="8847" w:type="dxa"/>
            <w:gridSpan w:val="9"/>
            <w:vAlign w:val="center"/>
          </w:tcPr>
          <w:p w14:paraId="18C01808">
            <w:pPr>
              <w:jc w:val="center"/>
            </w:pPr>
            <w:r>
              <w:rPr>
                <w:rFonts w:ascii="宋体" w:hAnsi="宋体" w:eastAsia="宋体"/>
                <w:sz w:val="24"/>
              </w:rPr>
              <w:t>项目支出绩效自评表</w:t>
            </w:r>
          </w:p>
        </w:tc>
      </w:tr>
      <w:tr w14:paraId="37836570">
        <w:tblPrEx>
          <w:tblCellMar>
            <w:top w:w="0" w:type="dxa"/>
            <w:left w:w="108" w:type="dxa"/>
            <w:bottom w:w="0" w:type="dxa"/>
            <w:right w:w="108" w:type="dxa"/>
          </w:tblCellMar>
        </w:tblPrEx>
        <w:tc>
          <w:tcPr>
            <w:tcW w:w="8847" w:type="dxa"/>
            <w:gridSpan w:val="9"/>
            <w:vAlign w:val="center"/>
          </w:tcPr>
          <w:p w14:paraId="13129891">
            <w:pPr>
              <w:jc w:val="center"/>
            </w:pPr>
            <w:r>
              <w:rPr>
                <w:rFonts w:ascii="宋体" w:hAnsi="宋体" w:eastAsia="宋体"/>
                <w:sz w:val="24"/>
              </w:rPr>
              <w:t>(2024年度)</w:t>
            </w:r>
          </w:p>
        </w:tc>
      </w:tr>
      <w:tr w14:paraId="29505E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244A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80DC7F">
            <w:pPr>
              <w:jc w:val="center"/>
            </w:pPr>
            <w:r>
              <w:rPr>
                <w:rFonts w:ascii="宋体" w:hAnsi="宋体" w:eastAsia="宋体"/>
                <w:sz w:val="16"/>
              </w:rPr>
              <w:t>2024年上半年自治区驻村工作专项经费</w:t>
            </w:r>
          </w:p>
        </w:tc>
      </w:tr>
      <w:tr w14:paraId="6FCC9B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B1F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ACB2C">
            <w:pPr>
              <w:jc w:val="center"/>
            </w:pPr>
            <w:r>
              <w:rPr>
                <w:rFonts w:ascii="宋体" w:hAnsi="宋体" w:eastAsia="宋体"/>
                <w:sz w:val="16"/>
              </w:rPr>
              <w:t>新疆维吾尔自治区和田地区档案馆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F09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7D293">
            <w:pPr>
              <w:jc w:val="center"/>
            </w:pPr>
            <w:r>
              <w:rPr>
                <w:rFonts w:ascii="宋体" w:hAnsi="宋体" w:eastAsia="宋体"/>
                <w:sz w:val="16"/>
              </w:rPr>
              <w:t>新疆维吾尔自治区和田地区档案馆</w:t>
            </w:r>
          </w:p>
        </w:tc>
      </w:tr>
      <w:tr w14:paraId="622DE4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9039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C4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AC7D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AE2F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D9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FF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4CFD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2E6DF">
            <w:pPr>
              <w:jc w:val="center"/>
            </w:pPr>
            <w:r>
              <w:rPr>
                <w:rFonts w:ascii="宋体" w:hAnsi="宋体" w:eastAsia="宋体"/>
                <w:sz w:val="16"/>
              </w:rPr>
              <w:t>得分</w:t>
            </w:r>
          </w:p>
        </w:tc>
      </w:tr>
      <w:tr w14:paraId="5813F4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1D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20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A85EC">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97B2">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4E4F">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20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F6E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A939">
            <w:pPr>
              <w:jc w:val="center"/>
            </w:pPr>
            <w:r>
              <w:rPr>
                <w:rFonts w:ascii="宋体" w:hAnsi="宋体" w:eastAsia="宋体"/>
                <w:sz w:val="16"/>
              </w:rPr>
              <w:t>10.00分</w:t>
            </w:r>
          </w:p>
        </w:tc>
      </w:tr>
      <w:tr w14:paraId="04EB51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338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10D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4F10">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A6FC">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30B99">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1F9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61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1C597">
            <w:pPr>
              <w:jc w:val="center"/>
            </w:pPr>
            <w:r>
              <w:rPr>
                <w:rFonts w:ascii="宋体" w:hAnsi="宋体" w:eastAsia="宋体"/>
                <w:sz w:val="16"/>
              </w:rPr>
              <w:t>—</w:t>
            </w:r>
          </w:p>
        </w:tc>
      </w:tr>
      <w:tr w14:paraId="1DC4C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0D3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9D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64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08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54B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1D4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A6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B5FA2">
            <w:pPr>
              <w:jc w:val="center"/>
            </w:pPr>
            <w:r>
              <w:rPr>
                <w:rFonts w:ascii="宋体" w:hAnsi="宋体" w:eastAsia="宋体"/>
                <w:sz w:val="16"/>
              </w:rPr>
              <w:t>—</w:t>
            </w:r>
          </w:p>
        </w:tc>
      </w:tr>
      <w:tr w14:paraId="0878C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1B8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373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5B0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767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1BD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23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94B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0E43A">
            <w:pPr>
              <w:jc w:val="center"/>
            </w:pPr>
            <w:r>
              <w:rPr>
                <w:rFonts w:ascii="宋体" w:hAnsi="宋体" w:eastAsia="宋体"/>
                <w:sz w:val="16"/>
              </w:rPr>
              <w:t>—</w:t>
            </w:r>
          </w:p>
        </w:tc>
      </w:tr>
      <w:tr w14:paraId="22EBCF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982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9655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AC981">
            <w:pPr>
              <w:jc w:val="center"/>
            </w:pPr>
            <w:r>
              <w:rPr>
                <w:rFonts w:ascii="宋体" w:hAnsi="宋体" w:eastAsia="宋体"/>
                <w:sz w:val="16"/>
              </w:rPr>
              <w:t>实际完成情况</w:t>
            </w:r>
          </w:p>
        </w:tc>
      </w:tr>
      <w:tr w14:paraId="150432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F79D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5CCAB">
            <w:pPr>
              <w:jc w:val="both"/>
            </w:pPr>
            <w:r>
              <w:rPr>
                <w:rFonts w:ascii="宋体" w:hAnsi="宋体" w:eastAsia="宋体"/>
                <w:sz w:val="16"/>
              </w:rPr>
              <w:t>本项目主要实施内容为:保障工作队1个，采购办公用品5次，为民办实事9件，项目总投资17万元，项目计划</w:t>
            </w:r>
            <w:r>
              <w:rPr>
                <w:rFonts w:hint="eastAsia" w:ascii="宋体" w:hAnsi="宋体"/>
                <w:sz w:val="16"/>
                <w:lang w:eastAsia="zh-CN"/>
              </w:rPr>
              <w:t>于</w:t>
            </w:r>
            <w:r>
              <w:rPr>
                <w:rFonts w:ascii="宋体" w:hAnsi="宋体" w:eastAsia="宋体"/>
                <w:sz w:val="16"/>
              </w:rPr>
              <w:t>2024年2月底前完成。通过本项目的实施，可有效解决当地群众的生活困难，落实惠民政策、带动基层党组织，待项目实施完成，争取使受益人群满意度不低于95%。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30CE2F">
            <w:pPr>
              <w:jc w:val="both"/>
            </w:pPr>
            <w:r>
              <w:rPr>
                <w:rFonts w:hint="eastAsia" w:ascii="宋体" w:hAnsi="宋体"/>
                <w:sz w:val="16"/>
                <w:lang w:eastAsia="zh-CN"/>
              </w:rPr>
              <w:t>截至</w:t>
            </w:r>
            <w:r>
              <w:rPr>
                <w:rFonts w:ascii="宋体" w:hAnsi="宋体" w:eastAsia="宋体"/>
                <w:sz w:val="16"/>
              </w:rPr>
              <w:t>2024年12月31日，本项目实际形成支出17万元，已完成保障工作队1个，采购办公用品5次，为民办实事10余件，有效解决了当地群众的生活困难，落实惠民政策、带动基层党组织，使受益人群满意度达到98.4%。</w:t>
            </w:r>
          </w:p>
        </w:tc>
      </w:tr>
      <w:tr w14:paraId="60B360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0BED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4D38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8373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B0F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E0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83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88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30F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10653">
            <w:pPr>
              <w:jc w:val="center"/>
            </w:pPr>
            <w:r>
              <w:rPr>
                <w:rFonts w:ascii="宋体" w:hAnsi="宋体" w:eastAsia="宋体"/>
                <w:sz w:val="16"/>
              </w:rPr>
              <w:t>偏差原因分析及改进措施</w:t>
            </w:r>
          </w:p>
        </w:tc>
      </w:tr>
      <w:tr w14:paraId="779A5F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8D83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E6F2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B14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A1508">
            <w:pPr>
              <w:jc w:val="center"/>
            </w:pPr>
            <w:r>
              <w:rPr>
                <w:rFonts w:hint="eastAsia" w:ascii="宋体" w:hAnsi="宋体"/>
                <w:sz w:val="16"/>
                <w:lang w:eastAsia="zh-CN"/>
              </w:rPr>
              <w:t>为民办实事</w:t>
            </w: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65F5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50E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6F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46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E654">
            <w:pPr>
              <w:jc w:val="center"/>
            </w:pPr>
          </w:p>
        </w:tc>
      </w:tr>
      <w:tr w14:paraId="3AEDBF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84E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E59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77E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742E">
            <w:pPr>
              <w:jc w:val="center"/>
            </w:pPr>
            <w:r>
              <w:rPr>
                <w:rFonts w:ascii="宋体" w:hAnsi="宋体" w:eastAsia="宋体"/>
                <w:sz w:val="16"/>
              </w:rPr>
              <w:t>采购办公用品次数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0ADF">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3765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F5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3294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628A">
            <w:pPr>
              <w:jc w:val="center"/>
            </w:pPr>
          </w:p>
        </w:tc>
      </w:tr>
      <w:tr w14:paraId="5AB472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16B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E17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E09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A6514">
            <w:pPr>
              <w:jc w:val="center"/>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83951">
            <w:pPr>
              <w:jc w:val="center"/>
            </w:pPr>
            <w:r>
              <w:rPr>
                <w:rFonts w:ascii="宋体" w:hAnsi="宋体" w:eastAsia="宋体"/>
                <w:sz w:val="16"/>
              </w:rPr>
              <w:t>≥9件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DABE">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E36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E2660">
            <w:pPr>
              <w:jc w:val="center"/>
            </w:pPr>
            <w:r>
              <w:rPr>
                <w:rFonts w:ascii="宋体" w:hAnsi="宋体" w:eastAsia="宋体"/>
                <w:sz w:val="16"/>
              </w:rPr>
              <w:t>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8358">
            <w:pPr>
              <w:jc w:val="center"/>
            </w:pPr>
            <w:r>
              <w:rPr>
                <w:rFonts w:ascii="宋体" w:hAnsi="宋体" w:eastAsia="宋体"/>
                <w:sz w:val="16"/>
              </w:rPr>
              <w:t>偏差原因：年初测算不精准，实际完成情况较好导致偏差，改进措施：提高测算能力，从严从高设置绩效目标。</w:t>
            </w:r>
          </w:p>
        </w:tc>
      </w:tr>
      <w:tr w14:paraId="24084F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971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3D6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ADBD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9535D">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C1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5C2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744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34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83003">
            <w:pPr>
              <w:jc w:val="center"/>
            </w:pPr>
          </w:p>
        </w:tc>
      </w:tr>
      <w:tr w14:paraId="5FA8BD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8C1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F09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B10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44ABB">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79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B98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CE3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513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030D">
            <w:pPr>
              <w:jc w:val="center"/>
            </w:pPr>
          </w:p>
        </w:tc>
      </w:tr>
      <w:tr w14:paraId="6A035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C4C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808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6CA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465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727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2B8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08B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15B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78D8">
            <w:pPr>
              <w:jc w:val="center"/>
            </w:pPr>
          </w:p>
        </w:tc>
      </w:tr>
      <w:tr w14:paraId="02D657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3EF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950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11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4DD8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A4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8A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82A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E1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F398">
            <w:pPr>
              <w:jc w:val="center"/>
            </w:pPr>
          </w:p>
        </w:tc>
      </w:tr>
      <w:tr w14:paraId="4BC369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A4A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2BBF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34DB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E926">
            <w:pPr>
              <w:jc w:val="center"/>
            </w:pPr>
            <w:r>
              <w:rPr>
                <w:rFonts w:ascii="宋体" w:hAnsi="宋体" w:eastAsia="宋体"/>
                <w:sz w:val="16"/>
              </w:rPr>
              <w:t>采购办公用品支出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D3192">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B04E">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337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377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5B6F6">
            <w:pPr>
              <w:jc w:val="center"/>
            </w:pPr>
          </w:p>
        </w:tc>
      </w:tr>
      <w:tr w14:paraId="14851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76E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C85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CF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2B33">
            <w:pPr>
              <w:jc w:val="center"/>
            </w:pPr>
            <w:r>
              <w:rPr>
                <w:rFonts w:ascii="宋体" w:hAnsi="宋体" w:eastAsia="宋体"/>
                <w:sz w:val="16"/>
              </w:rPr>
              <w:t>为民办实事支出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FD099">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25BE2">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B8B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8058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C99A4">
            <w:pPr>
              <w:jc w:val="center"/>
            </w:pPr>
          </w:p>
        </w:tc>
      </w:tr>
      <w:tr w14:paraId="6A984D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59D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B5E8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82C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123DC">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00FE0">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DA9F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8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61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FE3AD">
            <w:pPr>
              <w:jc w:val="center"/>
            </w:pPr>
          </w:p>
        </w:tc>
      </w:tr>
      <w:tr w14:paraId="11F4E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F70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200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5D8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0C03">
            <w:pPr>
              <w:jc w:val="center"/>
            </w:pPr>
            <w:r>
              <w:rPr>
                <w:rFonts w:ascii="宋体" w:hAnsi="宋体" w:eastAsia="宋体"/>
                <w:sz w:val="16"/>
              </w:rPr>
              <w:t>落实惠民政策、带动基层党组织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7B9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DD9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660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47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06EF4">
            <w:pPr>
              <w:jc w:val="center"/>
            </w:pPr>
          </w:p>
        </w:tc>
      </w:tr>
      <w:tr w14:paraId="00B542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7C7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217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9E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6BF1C">
            <w:pPr>
              <w:jc w:val="center"/>
            </w:pPr>
            <w:r>
              <w:rPr>
                <w:rFonts w:hint="eastAsia" w:ascii="宋体" w:hAnsi="宋体"/>
                <w:sz w:val="16"/>
                <w:lang w:eastAsia="zh-CN"/>
              </w:rPr>
              <w:t>为民办实事</w:t>
            </w:r>
            <w:r>
              <w:rPr>
                <w:rFonts w:ascii="宋体" w:hAnsi="宋体" w:eastAsia="宋体"/>
                <w:sz w:val="16"/>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C28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AFF7A">
            <w:pPr>
              <w:jc w:val="center"/>
            </w:pPr>
            <w:r>
              <w:rPr>
                <w:rFonts w:ascii="宋体" w:hAnsi="宋体" w:eastAsia="宋体"/>
                <w:sz w:val="16"/>
              </w:rPr>
              <w:t>=98.4%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E1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5D0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B98F4">
            <w:pPr>
              <w:jc w:val="center"/>
            </w:pPr>
          </w:p>
        </w:tc>
      </w:tr>
      <w:tr w14:paraId="544B73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23E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C497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4A4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AA4E89">
            <w:pPr>
              <w:jc w:val="center"/>
            </w:pPr>
            <w:r>
              <w:rPr>
                <w:rFonts w:ascii="宋体" w:hAnsi="宋体" w:eastAsia="宋体"/>
                <w:sz w:val="16"/>
              </w:rPr>
              <w:t>99.22分</w:t>
            </w:r>
          </w:p>
        </w:tc>
      </w:tr>
    </w:tbl>
    <w:p w14:paraId="731499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34C46C">
        <w:tblPrEx>
          <w:tblCellMar>
            <w:top w:w="0" w:type="dxa"/>
            <w:left w:w="108" w:type="dxa"/>
            <w:bottom w:w="0" w:type="dxa"/>
            <w:right w:w="108" w:type="dxa"/>
          </w:tblCellMar>
        </w:tblPrEx>
        <w:tc>
          <w:tcPr>
            <w:tcW w:w="8847" w:type="dxa"/>
            <w:gridSpan w:val="9"/>
            <w:vAlign w:val="center"/>
          </w:tcPr>
          <w:p w14:paraId="1E247A07">
            <w:pPr>
              <w:jc w:val="center"/>
            </w:pPr>
            <w:r>
              <w:rPr>
                <w:rFonts w:ascii="宋体" w:hAnsi="宋体" w:eastAsia="宋体"/>
                <w:sz w:val="24"/>
              </w:rPr>
              <w:t>项目支出绩效自评表</w:t>
            </w:r>
          </w:p>
        </w:tc>
      </w:tr>
      <w:tr w14:paraId="7FDA8641">
        <w:tblPrEx>
          <w:tblCellMar>
            <w:top w:w="0" w:type="dxa"/>
            <w:left w:w="108" w:type="dxa"/>
            <w:bottom w:w="0" w:type="dxa"/>
            <w:right w:w="108" w:type="dxa"/>
          </w:tblCellMar>
        </w:tblPrEx>
        <w:tc>
          <w:tcPr>
            <w:tcW w:w="8847" w:type="dxa"/>
            <w:gridSpan w:val="9"/>
            <w:vAlign w:val="center"/>
          </w:tcPr>
          <w:p w14:paraId="4A10D445">
            <w:pPr>
              <w:jc w:val="center"/>
            </w:pPr>
            <w:r>
              <w:rPr>
                <w:rFonts w:ascii="宋体" w:hAnsi="宋体" w:eastAsia="宋体"/>
                <w:sz w:val="24"/>
              </w:rPr>
              <w:t>(2024年度)</w:t>
            </w:r>
          </w:p>
        </w:tc>
      </w:tr>
      <w:tr w14:paraId="273D66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EC5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CA1C6D">
            <w:pPr>
              <w:jc w:val="center"/>
            </w:pPr>
            <w:r>
              <w:rPr>
                <w:rFonts w:ascii="宋体" w:hAnsi="宋体" w:eastAsia="宋体"/>
                <w:sz w:val="16"/>
              </w:rPr>
              <w:t>和田地区档案馆事业经费</w:t>
            </w:r>
          </w:p>
        </w:tc>
      </w:tr>
      <w:tr w14:paraId="7BB3B6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C38D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1C107D">
            <w:pPr>
              <w:jc w:val="center"/>
            </w:pPr>
            <w:r>
              <w:rPr>
                <w:rFonts w:ascii="宋体" w:hAnsi="宋体" w:eastAsia="宋体"/>
                <w:sz w:val="16"/>
              </w:rPr>
              <w:t>新疆维吾尔自治区和田地区档案馆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A36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CED750">
            <w:pPr>
              <w:jc w:val="center"/>
            </w:pPr>
            <w:r>
              <w:rPr>
                <w:rFonts w:ascii="宋体" w:hAnsi="宋体" w:eastAsia="宋体"/>
                <w:sz w:val="16"/>
              </w:rPr>
              <w:t>新疆维吾尔自治区和田地区档案馆</w:t>
            </w:r>
          </w:p>
        </w:tc>
      </w:tr>
      <w:tr w14:paraId="18FD68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3D6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9D6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920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DC7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5A2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59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54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46659">
            <w:pPr>
              <w:jc w:val="center"/>
            </w:pPr>
            <w:r>
              <w:rPr>
                <w:rFonts w:ascii="宋体" w:hAnsi="宋体" w:eastAsia="宋体"/>
                <w:sz w:val="16"/>
              </w:rPr>
              <w:t>得分</w:t>
            </w:r>
          </w:p>
        </w:tc>
      </w:tr>
      <w:tr w14:paraId="08E18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EC4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C59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676F2">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EE5C1">
            <w:pPr>
              <w:jc w:val="center"/>
            </w:pPr>
            <w:r>
              <w:rPr>
                <w:rFonts w:ascii="宋体" w:hAnsi="宋体" w:eastAsia="宋体"/>
                <w:sz w:val="16"/>
              </w:rPr>
              <w:t>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3DF4">
            <w:pPr>
              <w:jc w:val="center"/>
            </w:pPr>
            <w:r>
              <w:rPr>
                <w:rFonts w:ascii="宋体" w:hAnsi="宋体" w:eastAsia="宋体"/>
                <w:sz w:val="16"/>
              </w:rPr>
              <w:t>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E54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B93C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594AF">
            <w:pPr>
              <w:jc w:val="center"/>
            </w:pPr>
            <w:r>
              <w:rPr>
                <w:rFonts w:ascii="宋体" w:hAnsi="宋体" w:eastAsia="宋体"/>
                <w:sz w:val="16"/>
              </w:rPr>
              <w:t>10.00分</w:t>
            </w:r>
          </w:p>
        </w:tc>
      </w:tr>
      <w:tr w14:paraId="03796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DAB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5D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E0A44">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BE73">
            <w:pPr>
              <w:jc w:val="center"/>
            </w:pPr>
            <w:r>
              <w:rPr>
                <w:rFonts w:ascii="宋体" w:hAnsi="宋体" w:eastAsia="宋体"/>
                <w:sz w:val="16"/>
              </w:rPr>
              <w:t>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C0DA">
            <w:pPr>
              <w:jc w:val="center"/>
            </w:pPr>
            <w:r>
              <w:rPr>
                <w:rFonts w:ascii="宋体" w:hAnsi="宋体" w:eastAsia="宋体"/>
                <w:sz w:val="16"/>
              </w:rPr>
              <w:t>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C0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6B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6DCDE">
            <w:pPr>
              <w:jc w:val="center"/>
            </w:pPr>
            <w:r>
              <w:rPr>
                <w:rFonts w:ascii="宋体" w:hAnsi="宋体" w:eastAsia="宋体"/>
                <w:sz w:val="16"/>
              </w:rPr>
              <w:t>—</w:t>
            </w:r>
          </w:p>
        </w:tc>
      </w:tr>
      <w:tr w14:paraId="6EC060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4B8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156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4C3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265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5E2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BF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F75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71FF1">
            <w:pPr>
              <w:jc w:val="center"/>
            </w:pPr>
            <w:r>
              <w:rPr>
                <w:rFonts w:ascii="宋体" w:hAnsi="宋体" w:eastAsia="宋体"/>
                <w:sz w:val="16"/>
              </w:rPr>
              <w:t>—</w:t>
            </w:r>
          </w:p>
        </w:tc>
      </w:tr>
      <w:tr w14:paraId="4E7759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B7E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219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592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0E7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45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89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20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B01F">
            <w:pPr>
              <w:jc w:val="center"/>
            </w:pPr>
            <w:r>
              <w:rPr>
                <w:rFonts w:ascii="宋体" w:hAnsi="宋体" w:eastAsia="宋体"/>
                <w:sz w:val="16"/>
              </w:rPr>
              <w:t>—</w:t>
            </w:r>
          </w:p>
        </w:tc>
      </w:tr>
      <w:tr w14:paraId="52E407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0E6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AEC2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242ED">
            <w:pPr>
              <w:jc w:val="center"/>
            </w:pPr>
            <w:r>
              <w:rPr>
                <w:rFonts w:ascii="宋体" w:hAnsi="宋体" w:eastAsia="宋体"/>
                <w:sz w:val="16"/>
              </w:rPr>
              <w:t>实际完成情况</w:t>
            </w:r>
          </w:p>
        </w:tc>
      </w:tr>
      <w:tr w14:paraId="7F0C9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090B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A2AAEE">
            <w:pPr>
              <w:jc w:val="both"/>
            </w:pPr>
            <w:r>
              <w:rPr>
                <w:rFonts w:ascii="宋体" w:hAnsi="宋体" w:eastAsia="宋体"/>
                <w:sz w:val="16"/>
              </w:rPr>
              <w:t>统筹安排，规范管理，确保各项工作正常开展，加大档案、资料接收入库工作。全年完成档案接收量不少于1295卷3.07万件，征集档案书籍51册；全年提供社会各界人士档案资料查阅不少于547人次。提高档案管理科学化、精细化、常态化水平，提升档案业务工作能力，提高档案工作质量。提高档案管理科学化、精细化、常态化水平，提升档案业务工作能力，提高档案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EFB8A">
            <w:pPr>
              <w:jc w:val="both"/>
            </w:pPr>
            <w:r>
              <w:rPr>
                <w:rFonts w:hint="eastAsia" w:ascii="宋体" w:hAnsi="宋体"/>
                <w:sz w:val="16"/>
                <w:lang w:eastAsia="zh-CN"/>
              </w:rPr>
              <w:t>截至</w:t>
            </w:r>
            <w:r>
              <w:rPr>
                <w:rFonts w:ascii="宋体" w:hAnsi="宋体" w:eastAsia="宋体"/>
                <w:sz w:val="16"/>
              </w:rPr>
              <w:t>2024年12月31日</w:t>
            </w:r>
            <w:bookmarkStart w:id="0" w:name="_GoBack"/>
            <w:r>
              <w:rPr>
                <w:rFonts w:ascii="宋体" w:hAnsi="宋体" w:eastAsia="宋体"/>
                <w:sz w:val="16"/>
              </w:rPr>
              <w:t>，本项目实际形成支出8.36万元，</w:t>
            </w:r>
            <w:bookmarkEnd w:id="0"/>
            <w:r>
              <w:rPr>
                <w:rFonts w:ascii="宋体" w:hAnsi="宋体" w:eastAsia="宋体"/>
                <w:sz w:val="16"/>
              </w:rPr>
              <w:t>已完成对行署、地区审计局、地区质量技术监督局、地区公路管理局等11个全宗单位文书、业务、财务、实物等门类接收进馆档案及时进行审核验收、清理、登记，共接收1295卷30712件；资料51册；印章2枚。在接收纸质版实体档案时，同步对档案的数字化扫描件pdf,jpg格式进行审核接收，规范电子目录，为数字化档案挂接奠定坚实基础。遵循“分类科学、整理规范、鉴定严谨”的原则，组织专门人员对馆藏满25年档案进行了全面梳理和整理。完成民政局、</w:t>
            </w:r>
            <w:r>
              <w:rPr>
                <w:rFonts w:hint="eastAsia" w:ascii="宋体" w:hAnsi="宋体"/>
                <w:sz w:val="16"/>
                <w:lang w:eastAsia="zh-CN"/>
              </w:rPr>
              <w:t>农业农村局</w:t>
            </w:r>
            <w:r>
              <w:rPr>
                <w:rFonts w:ascii="宋体" w:hAnsi="宋体" w:eastAsia="宋体"/>
                <w:sz w:val="16"/>
              </w:rPr>
              <w:t>、教育局1991-1998年到期档案的开放工作，三个单位共开放目录107卷533条，不开放目录154卷1231条。加大力度开展馆藏资源管理系统局域网试点建设，做到了局域网、政务网、互联网三网分离。目前，地区档案馆馆藏档案数字化率达75%。1.48万件脱贫攻坚档案、3.22万件党史</w:t>
            </w:r>
            <w:r>
              <w:rPr>
                <w:rFonts w:hint="eastAsia" w:ascii="宋体" w:hAnsi="宋体"/>
                <w:sz w:val="16"/>
                <w:lang w:eastAsia="zh-CN"/>
              </w:rPr>
              <w:t>主题</w:t>
            </w:r>
            <w:r>
              <w:rPr>
                <w:rFonts w:ascii="宋体" w:hAnsi="宋体" w:eastAsia="宋体"/>
                <w:sz w:val="16"/>
              </w:rPr>
              <w:t>教育档案、0.41万件</w:t>
            </w:r>
            <w:r>
              <w:rPr>
                <w:rFonts w:hint="eastAsia" w:ascii="宋体" w:hAnsi="宋体"/>
                <w:sz w:val="16"/>
                <w:lang w:eastAsia="zh-CN"/>
              </w:rPr>
              <w:t>YQ</w:t>
            </w:r>
            <w:r>
              <w:rPr>
                <w:rFonts w:ascii="宋体" w:hAnsi="宋体" w:eastAsia="宋体"/>
                <w:sz w:val="16"/>
              </w:rPr>
              <w:t>防控档案在建立数据库的同时，完成数字化扫描和实体档案移交进馆工作。优化档案查询服务，</w:t>
            </w:r>
            <w:r>
              <w:rPr>
                <w:rFonts w:hint="eastAsia" w:ascii="宋体" w:hAnsi="宋体"/>
                <w:sz w:val="16"/>
                <w:lang w:eastAsia="zh-CN"/>
              </w:rPr>
              <w:t>截至</w:t>
            </w:r>
            <w:r>
              <w:rPr>
                <w:rFonts w:ascii="宋体" w:hAnsi="宋体" w:eastAsia="宋体"/>
                <w:sz w:val="16"/>
              </w:rPr>
              <w:t>10月份，共接待查档群众547人次，调阅原始档案2069卷（件），出具档案查阅证明1547张，查档群众满意率达到100%。</w:t>
            </w:r>
          </w:p>
        </w:tc>
      </w:tr>
      <w:tr w14:paraId="569EF0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916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839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37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19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CE86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FD67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EB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269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BE53">
            <w:pPr>
              <w:jc w:val="center"/>
            </w:pPr>
            <w:r>
              <w:rPr>
                <w:rFonts w:ascii="宋体" w:hAnsi="宋体" w:eastAsia="宋体"/>
                <w:sz w:val="16"/>
              </w:rPr>
              <w:t>偏差原因分析及改进措施</w:t>
            </w:r>
          </w:p>
        </w:tc>
      </w:tr>
      <w:tr w14:paraId="6BE46F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240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6246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A534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FB82">
            <w:pPr>
              <w:jc w:val="center"/>
            </w:pPr>
            <w:r>
              <w:rPr>
                <w:rFonts w:ascii="宋体" w:hAnsi="宋体" w:eastAsia="宋体"/>
                <w:sz w:val="16"/>
              </w:rPr>
              <w:t>征集档案、书籍资料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40D67">
            <w:pPr>
              <w:jc w:val="center"/>
            </w:pPr>
            <w:r>
              <w:rPr>
                <w:rFonts w:ascii="宋体" w:hAnsi="宋体" w:eastAsia="宋体"/>
                <w:sz w:val="16"/>
              </w:rPr>
              <w:t>≥51册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D632E">
            <w:pPr>
              <w:jc w:val="center"/>
            </w:pPr>
            <w:r>
              <w:rPr>
                <w:rFonts w:ascii="宋体" w:hAnsi="宋体" w:eastAsia="宋体"/>
                <w:sz w:val="16"/>
              </w:rPr>
              <w:t>=51册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C54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F8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B8E1">
            <w:pPr>
              <w:jc w:val="center"/>
            </w:pPr>
          </w:p>
        </w:tc>
      </w:tr>
      <w:tr w14:paraId="726A4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8C6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36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3AD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59A5">
            <w:pPr>
              <w:jc w:val="center"/>
            </w:pPr>
            <w:r>
              <w:rPr>
                <w:rFonts w:ascii="宋体" w:hAnsi="宋体" w:eastAsia="宋体"/>
                <w:sz w:val="16"/>
              </w:rPr>
              <w:t>档案接收量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4E3B">
            <w:pPr>
              <w:jc w:val="center"/>
            </w:pPr>
            <w:r>
              <w:rPr>
                <w:rFonts w:ascii="宋体" w:hAnsi="宋体" w:eastAsia="宋体"/>
                <w:sz w:val="16"/>
              </w:rPr>
              <w:t>≥1295卷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654A">
            <w:pPr>
              <w:jc w:val="center"/>
            </w:pPr>
            <w:r>
              <w:rPr>
                <w:rFonts w:ascii="宋体" w:hAnsi="宋体" w:eastAsia="宋体"/>
                <w:sz w:val="16"/>
              </w:rPr>
              <w:t>=1295卷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B0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3EE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B166B">
            <w:pPr>
              <w:jc w:val="center"/>
            </w:pPr>
          </w:p>
        </w:tc>
      </w:tr>
      <w:tr w14:paraId="5D044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7FD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79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0BC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986A">
            <w:pPr>
              <w:jc w:val="center"/>
            </w:pPr>
            <w:r>
              <w:rPr>
                <w:rFonts w:ascii="宋体" w:hAnsi="宋体" w:eastAsia="宋体"/>
                <w:sz w:val="16"/>
              </w:rPr>
              <w:t>档案查阅人数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DE4B">
            <w:pPr>
              <w:jc w:val="center"/>
            </w:pPr>
            <w:r>
              <w:rPr>
                <w:rFonts w:ascii="宋体" w:hAnsi="宋体" w:eastAsia="宋体"/>
                <w:sz w:val="16"/>
              </w:rPr>
              <w:t>≥547人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0C80A">
            <w:pPr>
              <w:jc w:val="center"/>
            </w:pPr>
            <w:r>
              <w:rPr>
                <w:rFonts w:ascii="宋体" w:hAnsi="宋体" w:eastAsia="宋体"/>
                <w:sz w:val="16"/>
              </w:rPr>
              <w:t>=547人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CA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D0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BAD1">
            <w:pPr>
              <w:jc w:val="center"/>
            </w:pPr>
          </w:p>
        </w:tc>
      </w:tr>
      <w:tr w14:paraId="09C410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E61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2F6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802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890D">
            <w:pPr>
              <w:jc w:val="center"/>
            </w:pPr>
            <w:r>
              <w:rPr>
                <w:rFonts w:ascii="宋体" w:hAnsi="宋体" w:eastAsia="宋体"/>
                <w:sz w:val="16"/>
              </w:rPr>
              <w:t>档案接收件数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8B06">
            <w:pPr>
              <w:jc w:val="center"/>
            </w:pPr>
            <w:r>
              <w:rPr>
                <w:rFonts w:ascii="宋体" w:hAnsi="宋体" w:eastAsia="宋体"/>
                <w:sz w:val="16"/>
              </w:rPr>
              <w:t>≥3.07万件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DB22">
            <w:pPr>
              <w:jc w:val="center"/>
            </w:pPr>
            <w:r>
              <w:rPr>
                <w:rFonts w:ascii="宋体" w:hAnsi="宋体" w:eastAsia="宋体"/>
                <w:sz w:val="16"/>
              </w:rPr>
              <w:t>=3.07万件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7CE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57D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0C2F1">
            <w:pPr>
              <w:jc w:val="center"/>
            </w:pPr>
          </w:p>
        </w:tc>
      </w:tr>
      <w:tr w14:paraId="56F0B3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ADA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96A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428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33B5A">
            <w:pPr>
              <w:jc w:val="center"/>
            </w:pPr>
            <w:r>
              <w:rPr>
                <w:rFonts w:ascii="宋体" w:hAnsi="宋体" w:eastAsia="宋体"/>
                <w:sz w:val="16"/>
              </w:rPr>
              <w:t>档案、资料接收率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6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7B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04D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64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DB57">
            <w:pPr>
              <w:jc w:val="center"/>
            </w:pPr>
          </w:p>
        </w:tc>
      </w:tr>
      <w:tr w14:paraId="53032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65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27B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A6B2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96D2">
            <w:pPr>
              <w:jc w:val="center"/>
            </w:pPr>
            <w:r>
              <w:rPr>
                <w:rFonts w:ascii="宋体" w:hAnsi="宋体" w:eastAsia="宋体"/>
                <w:sz w:val="16"/>
              </w:rPr>
              <w:t>档案维护及时率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BD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B31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EC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376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1688">
            <w:pPr>
              <w:jc w:val="center"/>
            </w:pPr>
          </w:p>
        </w:tc>
      </w:tr>
      <w:tr w14:paraId="4EC56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D06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079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1E9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2FB0">
            <w:pPr>
              <w:jc w:val="center"/>
            </w:pPr>
            <w:r>
              <w:rPr>
                <w:rFonts w:ascii="宋体" w:hAnsi="宋体" w:eastAsia="宋体"/>
                <w:sz w:val="16"/>
              </w:rPr>
              <w:t>档案接收及时率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99B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73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6C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51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E3541">
            <w:pPr>
              <w:jc w:val="center"/>
            </w:pPr>
          </w:p>
        </w:tc>
      </w:tr>
      <w:tr w14:paraId="3DBC2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4B5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438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5F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33A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77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F8D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8F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91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FC773">
            <w:pPr>
              <w:jc w:val="center"/>
            </w:pPr>
          </w:p>
        </w:tc>
      </w:tr>
      <w:tr w14:paraId="72F579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12C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8E6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5F6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468BF">
            <w:pPr>
              <w:jc w:val="center"/>
            </w:pPr>
            <w:r>
              <w:rPr>
                <w:rFonts w:ascii="宋体" w:hAnsi="宋体" w:eastAsia="宋体"/>
                <w:sz w:val="16"/>
              </w:rPr>
              <w:t>档案事业费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9848B">
            <w:pPr>
              <w:jc w:val="center"/>
            </w:pPr>
            <w:r>
              <w:rPr>
                <w:rFonts w:ascii="宋体" w:hAnsi="宋体" w:eastAsia="宋体"/>
                <w:sz w:val="16"/>
              </w:rPr>
              <w:t>≤8.36万元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DD39A">
            <w:pPr>
              <w:jc w:val="center"/>
            </w:pPr>
            <w:r>
              <w:rPr>
                <w:rFonts w:ascii="宋体" w:hAnsi="宋体" w:eastAsia="宋体"/>
                <w:sz w:val="16"/>
              </w:rPr>
              <w:t>=8.36万元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6B8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51A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375B">
            <w:pPr>
              <w:jc w:val="center"/>
            </w:pPr>
          </w:p>
        </w:tc>
      </w:tr>
      <w:tr w14:paraId="2CC687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A3D5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C71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96D30">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76CF9">
            <w:pPr>
              <w:jc w:val="center"/>
            </w:pPr>
            <w:r>
              <w:rPr>
                <w:rFonts w:ascii="宋体" w:hAnsi="宋体" w:eastAsia="宋体"/>
                <w:sz w:val="16"/>
              </w:rPr>
              <w:t>档案利用率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CE5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C6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FD3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0F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45B0D">
            <w:pPr>
              <w:jc w:val="center"/>
            </w:pPr>
          </w:p>
        </w:tc>
      </w:tr>
      <w:tr w14:paraId="4936A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1AA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0D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FF9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0985D">
            <w:pPr>
              <w:jc w:val="center"/>
            </w:pPr>
            <w:r>
              <w:rPr>
                <w:rFonts w:ascii="宋体" w:hAnsi="宋体" w:eastAsia="宋体"/>
                <w:sz w:val="16"/>
              </w:rPr>
              <w:t>档案馆服务水平保障情况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DA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49B6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C96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CB5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F78D">
            <w:pPr>
              <w:jc w:val="center"/>
            </w:pPr>
          </w:p>
        </w:tc>
      </w:tr>
      <w:tr w14:paraId="50D382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9F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6B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74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9DF6">
            <w:pPr>
              <w:jc w:val="center"/>
            </w:pPr>
            <w:r>
              <w:rPr>
                <w:rFonts w:ascii="宋体" w:hAnsi="宋体" w:eastAsia="宋体"/>
                <w:sz w:val="16"/>
              </w:rPr>
              <w:t>档案查询人员满意度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555C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58C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975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3B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C4D1">
            <w:pPr>
              <w:jc w:val="center"/>
            </w:pPr>
          </w:p>
        </w:tc>
      </w:tr>
      <w:tr w14:paraId="25D806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3041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41C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021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9E782F">
            <w:pPr>
              <w:jc w:val="center"/>
            </w:pPr>
            <w:r>
              <w:rPr>
                <w:rFonts w:ascii="宋体" w:hAnsi="宋体" w:eastAsia="宋体"/>
                <w:sz w:val="16"/>
              </w:rPr>
              <w:t>100分</w:t>
            </w:r>
          </w:p>
        </w:tc>
      </w:tr>
    </w:tbl>
    <w:p w14:paraId="4E2919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AAB5E4">
        <w:tblPrEx>
          <w:tblCellMar>
            <w:top w:w="0" w:type="dxa"/>
            <w:left w:w="108" w:type="dxa"/>
            <w:bottom w:w="0" w:type="dxa"/>
            <w:right w:w="108" w:type="dxa"/>
          </w:tblCellMar>
        </w:tblPrEx>
        <w:tc>
          <w:tcPr>
            <w:tcW w:w="8847" w:type="dxa"/>
            <w:gridSpan w:val="9"/>
            <w:vAlign w:val="center"/>
          </w:tcPr>
          <w:p w14:paraId="0E329464">
            <w:pPr>
              <w:jc w:val="center"/>
            </w:pPr>
            <w:r>
              <w:rPr>
                <w:rFonts w:ascii="宋体" w:hAnsi="宋体" w:eastAsia="宋体"/>
                <w:sz w:val="24"/>
              </w:rPr>
              <w:t>项目支出绩效自评表</w:t>
            </w:r>
          </w:p>
        </w:tc>
      </w:tr>
      <w:tr w14:paraId="5F0853F6">
        <w:tblPrEx>
          <w:tblCellMar>
            <w:top w:w="0" w:type="dxa"/>
            <w:left w:w="108" w:type="dxa"/>
            <w:bottom w:w="0" w:type="dxa"/>
            <w:right w:w="108" w:type="dxa"/>
          </w:tblCellMar>
        </w:tblPrEx>
        <w:tc>
          <w:tcPr>
            <w:tcW w:w="8847" w:type="dxa"/>
            <w:gridSpan w:val="9"/>
            <w:vAlign w:val="center"/>
          </w:tcPr>
          <w:p w14:paraId="70B7F60D">
            <w:pPr>
              <w:jc w:val="center"/>
            </w:pPr>
            <w:r>
              <w:rPr>
                <w:rFonts w:ascii="宋体" w:hAnsi="宋体" w:eastAsia="宋体"/>
                <w:sz w:val="24"/>
              </w:rPr>
              <w:t>(2024年度)</w:t>
            </w:r>
          </w:p>
        </w:tc>
      </w:tr>
      <w:tr w14:paraId="56F98F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DE3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F7200D">
            <w:pPr>
              <w:jc w:val="center"/>
            </w:pPr>
            <w:r>
              <w:rPr>
                <w:rFonts w:ascii="宋体" w:hAnsi="宋体" w:eastAsia="宋体"/>
                <w:sz w:val="16"/>
              </w:rPr>
              <w:t>地区档案馆新馆搬迁项目</w:t>
            </w:r>
          </w:p>
        </w:tc>
      </w:tr>
      <w:tr w14:paraId="6A72AC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E77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056046">
            <w:pPr>
              <w:jc w:val="center"/>
            </w:pPr>
            <w:r>
              <w:rPr>
                <w:rFonts w:ascii="宋体" w:hAnsi="宋体" w:eastAsia="宋体"/>
                <w:sz w:val="16"/>
              </w:rPr>
              <w:t>新疆维吾尔自治区和田地区档案馆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33E4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AA4DBC">
            <w:pPr>
              <w:jc w:val="center"/>
            </w:pPr>
            <w:r>
              <w:rPr>
                <w:rFonts w:ascii="宋体" w:hAnsi="宋体" w:eastAsia="宋体"/>
                <w:sz w:val="16"/>
              </w:rPr>
              <w:t>新疆维吾尔自治区和田地区档案馆</w:t>
            </w:r>
          </w:p>
        </w:tc>
      </w:tr>
      <w:tr w14:paraId="731F50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70C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E12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4736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540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D25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68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819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50C8A">
            <w:pPr>
              <w:jc w:val="center"/>
            </w:pPr>
            <w:r>
              <w:rPr>
                <w:rFonts w:ascii="宋体" w:hAnsi="宋体" w:eastAsia="宋体"/>
                <w:sz w:val="16"/>
              </w:rPr>
              <w:t>得分</w:t>
            </w:r>
          </w:p>
        </w:tc>
      </w:tr>
      <w:tr w14:paraId="6A6514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519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EDC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E80E">
            <w:pPr>
              <w:jc w:val="center"/>
            </w:pPr>
            <w:r>
              <w:rPr>
                <w:rFonts w:ascii="宋体" w:hAnsi="宋体" w:eastAsia="宋体"/>
                <w:sz w:val="16"/>
              </w:rPr>
              <w:t>144.86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20D8E">
            <w:pPr>
              <w:jc w:val="center"/>
            </w:pPr>
            <w:r>
              <w:rPr>
                <w:rFonts w:ascii="宋体" w:hAnsi="宋体" w:eastAsia="宋体"/>
                <w:sz w:val="16"/>
              </w:rPr>
              <w:t>144.69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38B8">
            <w:pPr>
              <w:jc w:val="center"/>
            </w:pPr>
            <w:r>
              <w:rPr>
                <w:rFonts w:ascii="宋体" w:hAnsi="宋体" w:eastAsia="宋体"/>
                <w:sz w:val="16"/>
              </w:rPr>
              <w:t>144.69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A6D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D78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81832">
            <w:pPr>
              <w:jc w:val="center"/>
            </w:pPr>
            <w:r>
              <w:rPr>
                <w:rFonts w:ascii="宋体" w:hAnsi="宋体" w:eastAsia="宋体"/>
                <w:sz w:val="16"/>
              </w:rPr>
              <w:t>10.00分</w:t>
            </w:r>
          </w:p>
        </w:tc>
      </w:tr>
      <w:tr w14:paraId="0BA55D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D95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0F9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1384">
            <w:pPr>
              <w:jc w:val="center"/>
            </w:pPr>
            <w:r>
              <w:rPr>
                <w:rFonts w:ascii="宋体" w:hAnsi="宋体" w:eastAsia="宋体"/>
                <w:sz w:val="16"/>
              </w:rPr>
              <w:t>144.86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A90D4">
            <w:pPr>
              <w:jc w:val="center"/>
            </w:pPr>
            <w:r>
              <w:rPr>
                <w:rFonts w:ascii="宋体" w:hAnsi="宋体" w:eastAsia="宋体"/>
                <w:sz w:val="16"/>
              </w:rPr>
              <w:t>144.69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4EC75">
            <w:pPr>
              <w:jc w:val="center"/>
            </w:pPr>
            <w:r>
              <w:rPr>
                <w:rFonts w:ascii="宋体" w:hAnsi="宋体" w:eastAsia="宋体"/>
                <w:sz w:val="16"/>
              </w:rPr>
              <w:t>144.69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17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75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D0235">
            <w:pPr>
              <w:jc w:val="center"/>
            </w:pPr>
            <w:r>
              <w:rPr>
                <w:rFonts w:ascii="宋体" w:hAnsi="宋体" w:eastAsia="宋体"/>
                <w:sz w:val="16"/>
              </w:rPr>
              <w:t>—</w:t>
            </w:r>
          </w:p>
        </w:tc>
      </w:tr>
      <w:tr w14:paraId="7A57F7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AB5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25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B1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E7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A85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77E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B2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99519">
            <w:pPr>
              <w:jc w:val="center"/>
            </w:pPr>
            <w:r>
              <w:rPr>
                <w:rFonts w:ascii="宋体" w:hAnsi="宋体" w:eastAsia="宋体"/>
                <w:sz w:val="16"/>
              </w:rPr>
              <w:t>—</w:t>
            </w:r>
          </w:p>
        </w:tc>
      </w:tr>
      <w:tr w14:paraId="1A12AF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1D9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7A3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94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C5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9A5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95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AB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930E1">
            <w:pPr>
              <w:jc w:val="center"/>
            </w:pPr>
            <w:r>
              <w:rPr>
                <w:rFonts w:ascii="宋体" w:hAnsi="宋体" w:eastAsia="宋体"/>
                <w:sz w:val="16"/>
              </w:rPr>
              <w:t>—</w:t>
            </w:r>
          </w:p>
        </w:tc>
      </w:tr>
      <w:tr w14:paraId="1C832B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1B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D34B8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367B2">
            <w:pPr>
              <w:jc w:val="center"/>
            </w:pPr>
            <w:r>
              <w:rPr>
                <w:rFonts w:ascii="宋体" w:hAnsi="宋体" w:eastAsia="宋体"/>
                <w:sz w:val="16"/>
              </w:rPr>
              <w:t>实际完成情况</w:t>
            </w:r>
          </w:p>
        </w:tc>
      </w:tr>
      <w:tr w14:paraId="086077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5DF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5129EF">
            <w:pPr>
              <w:jc w:val="both"/>
            </w:pPr>
            <w:r>
              <w:rPr>
                <w:rFonts w:ascii="宋体" w:hAnsi="宋体" w:eastAsia="宋体"/>
                <w:sz w:val="16"/>
              </w:rPr>
              <w:t>统筹安排，规范管理，确保各项工作正常开展，加大档案、资料接收入库工作。配备智能档案密集架&gt;=768立方，提高档案管理科学化、精细化、常态化水平，提升档案业务工作能力，提高档案工作质量。提高档案管理科学化、精细化、常态化水平，提升档案业务工作能力，提高档案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613F2">
            <w:pPr>
              <w:jc w:val="both"/>
            </w:pPr>
            <w:r>
              <w:rPr>
                <w:rFonts w:hint="eastAsia" w:ascii="宋体" w:hAnsi="宋体"/>
                <w:sz w:val="16"/>
                <w:lang w:eastAsia="zh-CN"/>
              </w:rPr>
              <w:t>截至</w:t>
            </w:r>
            <w:r>
              <w:rPr>
                <w:rFonts w:ascii="宋体" w:hAnsi="宋体" w:eastAsia="宋体"/>
                <w:sz w:val="16"/>
              </w:rPr>
              <w:t>2024年12月31日，本项目实际形成支出144.69万元，已完成配备智能档案密集架768立方任务，达到了促进档案管理，保障档案服务水平的效益，受益群众满意度达到100%。</w:t>
            </w:r>
          </w:p>
        </w:tc>
      </w:tr>
      <w:tr w14:paraId="18286D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3922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558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F8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BD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145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9B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72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8D8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6F9BE">
            <w:pPr>
              <w:jc w:val="center"/>
            </w:pPr>
            <w:r>
              <w:rPr>
                <w:rFonts w:ascii="宋体" w:hAnsi="宋体" w:eastAsia="宋体"/>
                <w:sz w:val="16"/>
              </w:rPr>
              <w:t>偏差原因分析及改进措施</w:t>
            </w:r>
          </w:p>
        </w:tc>
      </w:tr>
      <w:tr w14:paraId="268EE5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195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0F1D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630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C61B2">
            <w:pPr>
              <w:jc w:val="center"/>
            </w:pPr>
            <w:r>
              <w:rPr>
                <w:rFonts w:ascii="宋体" w:hAnsi="宋体" w:eastAsia="宋体"/>
                <w:sz w:val="16"/>
              </w:rPr>
              <w:t>配备智能档案密集架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B37E">
            <w:pPr>
              <w:jc w:val="center"/>
            </w:pPr>
            <w:r>
              <w:rPr>
                <w:rFonts w:ascii="宋体" w:hAnsi="宋体" w:eastAsia="宋体"/>
                <w:sz w:val="16"/>
              </w:rPr>
              <w:t>≥768立方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C95A">
            <w:pPr>
              <w:jc w:val="center"/>
            </w:pPr>
            <w:r>
              <w:rPr>
                <w:rFonts w:ascii="宋体" w:hAnsi="宋体" w:eastAsia="宋体"/>
                <w:sz w:val="16"/>
              </w:rPr>
              <w:t>=768立方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FA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CC9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EC271">
            <w:pPr>
              <w:jc w:val="center"/>
            </w:pPr>
          </w:p>
        </w:tc>
      </w:tr>
      <w:tr w14:paraId="1E932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B73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D99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1F6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B0689">
            <w:pPr>
              <w:jc w:val="center"/>
            </w:pPr>
            <w:r>
              <w:rPr>
                <w:rFonts w:ascii="宋体" w:hAnsi="宋体" w:eastAsia="宋体"/>
                <w:sz w:val="16"/>
              </w:rPr>
              <w:t>配备智能档案密集架质量合格率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06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2D3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9A3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45D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857AB">
            <w:pPr>
              <w:jc w:val="center"/>
            </w:pPr>
          </w:p>
        </w:tc>
      </w:tr>
      <w:tr w14:paraId="7C5436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FA8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65C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4824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A93B6">
            <w:pPr>
              <w:jc w:val="center"/>
            </w:pPr>
            <w:r>
              <w:rPr>
                <w:rFonts w:ascii="宋体" w:hAnsi="宋体" w:eastAsia="宋体"/>
                <w:sz w:val="16"/>
              </w:rPr>
              <w:t>档案上架及时率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7B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DD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D83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94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1612C">
            <w:pPr>
              <w:jc w:val="center"/>
            </w:pPr>
          </w:p>
        </w:tc>
      </w:tr>
      <w:tr w14:paraId="1E53D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EA1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06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769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6C24">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70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7F1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75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3D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66F0">
            <w:pPr>
              <w:jc w:val="center"/>
            </w:pPr>
          </w:p>
        </w:tc>
      </w:tr>
      <w:tr w14:paraId="274A3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B1A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4E64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A8D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C8FD">
            <w:pPr>
              <w:jc w:val="center"/>
            </w:pPr>
            <w:r>
              <w:rPr>
                <w:rFonts w:ascii="宋体" w:hAnsi="宋体" w:eastAsia="宋体"/>
                <w:sz w:val="16"/>
              </w:rPr>
              <w:t>搬迁费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DC6A3">
            <w:pPr>
              <w:jc w:val="center"/>
            </w:pPr>
            <w:r>
              <w:rPr>
                <w:rFonts w:ascii="宋体" w:hAnsi="宋体" w:eastAsia="宋体"/>
                <w:sz w:val="16"/>
              </w:rPr>
              <w:t>≤6.45万元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E343">
            <w:pPr>
              <w:jc w:val="center"/>
            </w:pPr>
            <w:r>
              <w:rPr>
                <w:rFonts w:ascii="宋体" w:hAnsi="宋体" w:eastAsia="宋体"/>
                <w:sz w:val="16"/>
              </w:rPr>
              <w:t>=6.45万元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44D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3D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EAA0A">
            <w:pPr>
              <w:jc w:val="center"/>
            </w:pPr>
          </w:p>
        </w:tc>
      </w:tr>
      <w:tr w14:paraId="68A806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194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244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E13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7148D">
            <w:pPr>
              <w:jc w:val="center"/>
            </w:pPr>
            <w:r>
              <w:rPr>
                <w:rFonts w:ascii="宋体" w:hAnsi="宋体" w:eastAsia="宋体"/>
                <w:sz w:val="16"/>
              </w:rPr>
              <w:t>采购密集架费用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4977D">
            <w:pPr>
              <w:jc w:val="center"/>
            </w:pPr>
            <w:r>
              <w:rPr>
                <w:rFonts w:ascii="宋体" w:hAnsi="宋体" w:eastAsia="宋体"/>
                <w:sz w:val="16"/>
              </w:rPr>
              <w:t>≤138.24万元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CC4E2">
            <w:pPr>
              <w:jc w:val="center"/>
            </w:pPr>
            <w:r>
              <w:rPr>
                <w:rFonts w:ascii="宋体" w:hAnsi="宋体" w:eastAsia="宋体"/>
                <w:sz w:val="16"/>
              </w:rPr>
              <w:t>=138.24万元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E5F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EEC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D335A">
            <w:pPr>
              <w:jc w:val="center"/>
            </w:pPr>
          </w:p>
        </w:tc>
      </w:tr>
      <w:tr w14:paraId="7C11B7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178A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9BA0C">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97E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ADF4E">
            <w:pPr>
              <w:jc w:val="center"/>
            </w:pPr>
            <w:r>
              <w:rPr>
                <w:rFonts w:ascii="宋体" w:hAnsi="宋体" w:eastAsia="宋体"/>
                <w:sz w:val="16"/>
              </w:rPr>
              <w:t>购置智能档案密集架促进档案管理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65A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29A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768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358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A71E">
            <w:pPr>
              <w:jc w:val="center"/>
            </w:pPr>
          </w:p>
        </w:tc>
      </w:tr>
      <w:tr w14:paraId="499CFB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898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7D0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637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F7B66">
            <w:pPr>
              <w:jc w:val="center"/>
            </w:pPr>
            <w:r>
              <w:rPr>
                <w:rFonts w:ascii="宋体" w:hAnsi="宋体" w:eastAsia="宋体"/>
                <w:sz w:val="16"/>
              </w:rPr>
              <w:t>档案服务水平保障情况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0226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80C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6D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81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354A">
            <w:pPr>
              <w:jc w:val="center"/>
            </w:pPr>
          </w:p>
        </w:tc>
      </w:tr>
      <w:tr w14:paraId="5ADCA5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B8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CC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975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E32A">
            <w:pPr>
              <w:jc w:val="center"/>
            </w:pPr>
            <w:r>
              <w:rPr>
                <w:rFonts w:hint="eastAsia" w:ascii="宋体" w:hAnsi="宋体"/>
                <w:sz w:val="16"/>
                <w:lang w:eastAsia="zh-CN"/>
              </w:rPr>
              <w:t>档案</w:t>
            </w:r>
            <w:r>
              <w:rPr>
                <w:rFonts w:ascii="宋体" w:hAnsi="宋体" w:eastAsia="宋体"/>
                <w:sz w:val="16"/>
              </w:rPr>
              <w:t>管理利用服务认可度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5A4D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55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09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6E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E215F">
            <w:pPr>
              <w:jc w:val="center"/>
            </w:pPr>
          </w:p>
        </w:tc>
      </w:tr>
      <w:tr w14:paraId="44EA4D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E64D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6633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658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189D8C">
            <w:pPr>
              <w:jc w:val="center"/>
            </w:pPr>
            <w:r>
              <w:rPr>
                <w:rFonts w:ascii="宋体" w:hAnsi="宋体" w:eastAsia="宋体"/>
                <w:sz w:val="16"/>
              </w:rPr>
              <w:t>100分</w:t>
            </w:r>
          </w:p>
        </w:tc>
      </w:tr>
    </w:tbl>
    <w:p w14:paraId="564825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B8E75E">
        <w:tblPrEx>
          <w:tblCellMar>
            <w:top w:w="0" w:type="dxa"/>
            <w:left w:w="108" w:type="dxa"/>
            <w:bottom w:w="0" w:type="dxa"/>
            <w:right w:w="108" w:type="dxa"/>
          </w:tblCellMar>
        </w:tblPrEx>
        <w:tc>
          <w:tcPr>
            <w:tcW w:w="8847" w:type="dxa"/>
            <w:gridSpan w:val="9"/>
            <w:vAlign w:val="center"/>
          </w:tcPr>
          <w:p w14:paraId="03B15B06">
            <w:pPr>
              <w:jc w:val="center"/>
            </w:pPr>
            <w:r>
              <w:rPr>
                <w:rFonts w:ascii="宋体" w:hAnsi="宋体" w:eastAsia="宋体"/>
                <w:sz w:val="24"/>
              </w:rPr>
              <w:t>项目支出绩效自评表</w:t>
            </w:r>
          </w:p>
        </w:tc>
      </w:tr>
      <w:tr w14:paraId="17B24045">
        <w:tblPrEx>
          <w:tblCellMar>
            <w:top w:w="0" w:type="dxa"/>
            <w:left w:w="108" w:type="dxa"/>
            <w:bottom w:w="0" w:type="dxa"/>
            <w:right w:w="108" w:type="dxa"/>
          </w:tblCellMar>
        </w:tblPrEx>
        <w:tc>
          <w:tcPr>
            <w:tcW w:w="8847" w:type="dxa"/>
            <w:gridSpan w:val="9"/>
            <w:vAlign w:val="center"/>
          </w:tcPr>
          <w:p w14:paraId="0F7A9926">
            <w:pPr>
              <w:jc w:val="center"/>
            </w:pPr>
            <w:r>
              <w:rPr>
                <w:rFonts w:ascii="宋体" w:hAnsi="宋体" w:eastAsia="宋体"/>
                <w:sz w:val="24"/>
              </w:rPr>
              <w:t>(2024年度)</w:t>
            </w:r>
          </w:p>
        </w:tc>
      </w:tr>
      <w:tr w14:paraId="06C44B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57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24029B">
            <w:pPr>
              <w:jc w:val="center"/>
            </w:pPr>
            <w:r>
              <w:rPr>
                <w:rFonts w:ascii="宋体" w:hAnsi="宋体" w:eastAsia="宋体"/>
                <w:sz w:val="16"/>
              </w:rPr>
              <w:t>地区档案馆暖气管道维修和供暖相关费用</w:t>
            </w:r>
          </w:p>
        </w:tc>
      </w:tr>
      <w:tr w14:paraId="769F7B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652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7B3BE">
            <w:pPr>
              <w:jc w:val="center"/>
            </w:pPr>
            <w:r>
              <w:rPr>
                <w:rFonts w:ascii="宋体" w:hAnsi="宋体" w:eastAsia="宋体"/>
                <w:sz w:val="16"/>
              </w:rPr>
              <w:t>新疆维吾尔自治区和田地区档案馆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A438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B89F7">
            <w:pPr>
              <w:jc w:val="center"/>
            </w:pPr>
            <w:r>
              <w:rPr>
                <w:rFonts w:ascii="宋体" w:hAnsi="宋体" w:eastAsia="宋体"/>
                <w:sz w:val="16"/>
              </w:rPr>
              <w:t>新疆维吾尔自治区和田地区档案馆</w:t>
            </w:r>
          </w:p>
        </w:tc>
      </w:tr>
      <w:tr w14:paraId="408A4A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E79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A8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0B1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CCF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C1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787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92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629A">
            <w:pPr>
              <w:jc w:val="center"/>
            </w:pPr>
            <w:r>
              <w:rPr>
                <w:rFonts w:ascii="宋体" w:hAnsi="宋体" w:eastAsia="宋体"/>
                <w:sz w:val="16"/>
              </w:rPr>
              <w:t>得分</w:t>
            </w:r>
          </w:p>
        </w:tc>
      </w:tr>
      <w:tr w14:paraId="3FE07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3EB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7221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1D14">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97CD">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637BF">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72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7FE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9E24">
            <w:pPr>
              <w:jc w:val="center"/>
            </w:pPr>
            <w:r>
              <w:rPr>
                <w:rFonts w:ascii="宋体" w:hAnsi="宋体" w:eastAsia="宋体"/>
                <w:sz w:val="16"/>
              </w:rPr>
              <w:t>10.00分</w:t>
            </w:r>
          </w:p>
        </w:tc>
      </w:tr>
      <w:tr w14:paraId="3BCBE3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2C9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855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5F96C">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035F">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D08B2">
            <w:pPr>
              <w:jc w:val="center"/>
            </w:pPr>
            <w:r>
              <w:rPr>
                <w:rFonts w:ascii="宋体" w:hAnsi="宋体" w:eastAsia="宋体"/>
                <w:sz w:val="16"/>
              </w:rPr>
              <w:t>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6E6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47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E3844">
            <w:pPr>
              <w:jc w:val="center"/>
            </w:pPr>
            <w:r>
              <w:rPr>
                <w:rFonts w:ascii="宋体" w:hAnsi="宋体" w:eastAsia="宋体"/>
                <w:sz w:val="16"/>
              </w:rPr>
              <w:t>—</w:t>
            </w:r>
          </w:p>
        </w:tc>
      </w:tr>
      <w:tr w14:paraId="166C41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2C8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5F3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7F1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51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03E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91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D7A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C9FBC">
            <w:pPr>
              <w:jc w:val="center"/>
            </w:pPr>
            <w:r>
              <w:rPr>
                <w:rFonts w:ascii="宋体" w:hAnsi="宋体" w:eastAsia="宋体"/>
                <w:sz w:val="16"/>
              </w:rPr>
              <w:t>—</w:t>
            </w:r>
          </w:p>
        </w:tc>
      </w:tr>
      <w:tr w14:paraId="6DD8DE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C55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B0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AE0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43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076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174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548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68763">
            <w:pPr>
              <w:jc w:val="center"/>
            </w:pPr>
            <w:r>
              <w:rPr>
                <w:rFonts w:ascii="宋体" w:hAnsi="宋体" w:eastAsia="宋体"/>
                <w:sz w:val="16"/>
              </w:rPr>
              <w:t>—</w:t>
            </w:r>
          </w:p>
        </w:tc>
      </w:tr>
      <w:tr w14:paraId="288EA5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A50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ED8A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88BE2">
            <w:pPr>
              <w:jc w:val="center"/>
            </w:pPr>
            <w:r>
              <w:rPr>
                <w:rFonts w:ascii="宋体" w:hAnsi="宋体" w:eastAsia="宋体"/>
                <w:sz w:val="16"/>
              </w:rPr>
              <w:t>实际完成情况</w:t>
            </w:r>
          </w:p>
        </w:tc>
      </w:tr>
      <w:tr w14:paraId="7786E6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269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392D2">
            <w:pPr>
              <w:jc w:val="both"/>
            </w:pPr>
            <w:r>
              <w:rPr>
                <w:rFonts w:ascii="宋体" w:hAnsi="宋体" w:eastAsia="宋体"/>
                <w:sz w:val="16"/>
              </w:rPr>
              <w:t>本项目主要实施内容为：开展采暖维修1次，保障场馆6672平方米的正常采暖，项目总投资7.89万元，通过本项目的实施，保障档案馆日常工作运转，争取使受益干部职工满意度达到95%以上。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1C399">
            <w:pPr>
              <w:jc w:val="both"/>
            </w:pPr>
            <w:r>
              <w:rPr>
                <w:rFonts w:hint="eastAsia" w:ascii="宋体" w:hAnsi="宋体"/>
                <w:sz w:val="16"/>
                <w:lang w:eastAsia="zh-CN"/>
              </w:rPr>
              <w:t>截至</w:t>
            </w:r>
            <w:r>
              <w:rPr>
                <w:rFonts w:ascii="宋体" w:hAnsi="宋体" w:eastAsia="宋体"/>
                <w:sz w:val="16"/>
              </w:rPr>
              <w:t>2024年12月31日，本项目实际形成支出7.89万元，已完成6672平方米采暖维修1次，达到保障档案馆日常工作运转的效益，使受益干部职工满意度达到100%。</w:t>
            </w:r>
          </w:p>
        </w:tc>
      </w:tr>
      <w:tr w14:paraId="6E9A7F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1F24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AB1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F9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97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1C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7E3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03D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1E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E558B">
            <w:pPr>
              <w:jc w:val="center"/>
            </w:pPr>
            <w:r>
              <w:rPr>
                <w:rFonts w:ascii="宋体" w:hAnsi="宋体" w:eastAsia="宋体"/>
                <w:sz w:val="16"/>
              </w:rPr>
              <w:t>偏差原因分析及改进措施</w:t>
            </w:r>
          </w:p>
        </w:tc>
      </w:tr>
      <w:tr w14:paraId="31C3D8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E302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8726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30AE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FD66">
            <w:pPr>
              <w:jc w:val="center"/>
            </w:pPr>
            <w:r>
              <w:rPr>
                <w:rFonts w:ascii="宋体" w:hAnsi="宋体" w:eastAsia="宋体"/>
                <w:sz w:val="16"/>
              </w:rPr>
              <w:t>开展采暖维修次数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AB2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97C4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99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23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4B10">
            <w:pPr>
              <w:jc w:val="center"/>
            </w:pPr>
          </w:p>
        </w:tc>
      </w:tr>
      <w:tr w14:paraId="65101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6A3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916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944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ADAD0">
            <w:pPr>
              <w:jc w:val="center"/>
            </w:pPr>
            <w:r>
              <w:rPr>
                <w:rFonts w:ascii="宋体" w:hAnsi="宋体" w:eastAsia="宋体"/>
                <w:sz w:val="16"/>
              </w:rPr>
              <w:t>保障采暖面积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41FB2">
            <w:pPr>
              <w:jc w:val="center"/>
            </w:pPr>
            <w:r>
              <w:rPr>
                <w:rFonts w:ascii="宋体" w:hAnsi="宋体" w:eastAsia="宋体"/>
                <w:sz w:val="16"/>
              </w:rPr>
              <w:t>≥6672平方米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9E1B">
            <w:pPr>
              <w:jc w:val="center"/>
            </w:pPr>
            <w:r>
              <w:rPr>
                <w:rFonts w:ascii="宋体" w:hAnsi="宋体" w:eastAsia="宋体"/>
                <w:sz w:val="16"/>
              </w:rPr>
              <w:t>=6672平方米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B03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26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C8056">
            <w:pPr>
              <w:jc w:val="center"/>
            </w:pPr>
          </w:p>
        </w:tc>
      </w:tr>
      <w:tr w14:paraId="48E987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E7F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C68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33C6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E3536">
            <w:pPr>
              <w:jc w:val="center"/>
            </w:pPr>
            <w:r>
              <w:rPr>
                <w:rFonts w:ascii="宋体" w:hAnsi="宋体" w:eastAsia="宋体"/>
                <w:sz w:val="16"/>
              </w:rPr>
              <w:t>维修验收合格率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D90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D3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862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367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6D935">
            <w:pPr>
              <w:jc w:val="center"/>
            </w:pPr>
          </w:p>
        </w:tc>
      </w:tr>
      <w:tr w14:paraId="3C723C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EC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DA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9A64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747D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85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69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2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07F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04CA2">
            <w:pPr>
              <w:jc w:val="center"/>
            </w:pPr>
          </w:p>
        </w:tc>
      </w:tr>
      <w:tr w14:paraId="15AFB4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786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DFA5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00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7681">
            <w:pPr>
              <w:jc w:val="center"/>
            </w:pPr>
            <w:r>
              <w:rPr>
                <w:rFonts w:ascii="宋体" w:hAnsi="宋体" w:eastAsia="宋体"/>
                <w:sz w:val="16"/>
              </w:rPr>
              <w:t>保暖经费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25A14">
            <w:pPr>
              <w:jc w:val="center"/>
            </w:pPr>
            <w:r>
              <w:rPr>
                <w:rFonts w:ascii="宋体" w:hAnsi="宋体" w:eastAsia="宋体"/>
                <w:sz w:val="16"/>
              </w:rPr>
              <w:t>≤7.89万元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0514">
            <w:pPr>
              <w:jc w:val="center"/>
            </w:pPr>
            <w:r>
              <w:rPr>
                <w:rFonts w:ascii="宋体" w:hAnsi="宋体" w:eastAsia="宋体"/>
                <w:sz w:val="16"/>
              </w:rPr>
              <w:t>=7.89万元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E2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2A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AD56">
            <w:pPr>
              <w:jc w:val="center"/>
            </w:pPr>
          </w:p>
        </w:tc>
      </w:tr>
      <w:tr w14:paraId="57395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F94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187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E779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17ED">
            <w:pPr>
              <w:jc w:val="center"/>
            </w:pPr>
            <w:r>
              <w:rPr>
                <w:rFonts w:ascii="宋体" w:hAnsi="宋体" w:eastAsia="宋体"/>
                <w:sz w:val="16"/>
              </w:rPr>
              <w:t>保障档案馆日常工作运转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3DFA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F4D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B8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531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32F1E">
            <w:pPr>
              <w:jc w:val="center"/>
            </w:pPr>
          </w:p>
        </w:tc>
      </w:tr>
      <w:tr w14:paraId="21197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D01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09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21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7E758">
            <w:pPr>
              <w:jc w:val="center"/>
            </w:pPr>
            <w:r>
              <w:rPr>
                <w:rFonts w:ascii="宋体" w:hAnsi="宋体" w:eastAsia="宋体"/>
                <w:sz w:val="16"/>
              </w:rPr>
              <w:t>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006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2F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44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FE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7AA3">
            <w:pPr>
              <w:jc w:val="center"/>
            </w:pPr>
          </w:p>
        </w:tc>
      </w:tr>
      <w:tr w14:paraId="5DB17D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D1C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7926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54B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A028D3">
            <w:pPr>
              <w:jc w:val="center"/>
            </w:pPr>
            <w:r>
              <w:rPr>
                <w:rFonts w:ascii="宋体" w:hAnsi="宋体" w:eastAsia="宋体"/>
                <w:sz w:val="16"/>
              </w:rPr>
              <w:t>100分</w:t>
            </w:r>
          </w:p>
        </w:tc>
      </w:tr>
    </w:tbl>
    <w:p w14:paraId="3DDCB7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A8849D">
        <w:tblPrEx>
          <w:tblCellMar>
            <w:top w:w="0" w:type="dxa"/>
            <w:left w:w="108" w:type="dxa"/>
            <w:bottom w:w="0" w:type="dxa"/>
            <w:right w:w="108" w:type="dxa"/>
          </w:tblCellMar>
        </w:tblPrEx>
        <w:tc>
          <w:tcPr>
            <w:tcW w:w="8847" w:type="dxa"/>
            <w:gridSpan w:val="9"/>
            <w:vAlign w:val="center"/>
          </w:tcPr>
          <w:p w14:paraId="3C58CAE9">
            <w:pPr>
              <w:jc w:val="center"/>
            </w:pPr>
            <w:r>
              <w:rPr>
                <w:rFonts w:ascii="宋体" w:hAnsi="宋体" w:eastAsia="宋体"/>
                <w:sz w:val="24"/>
              </w:rPr>
              <w:t>项目支出绩效自评表</w:t>
            </w:r>
          </w:p>
        </w:tc>
      </w:tr>
      <w:tr w14:paraId="7E887E9A">
        <w:tblPrEx>
          <w:tblCellMar>
            <w:top w:w="0" w:type="dxa"/>
            <w:left w:w="108" w:type="dxa"/>
            <w:bottom w:w="0" w:type="dxa"/>
            <w:right w:w="108" w:type="dxa"/>
          </w:tblCellMar>
        </w:tblPrEx>
        <w:tc>
          <w:tcPr>
            <w:tcW w:w="8847" w:type="dxa"/>
            <w:gridSpan w:val="9"/>
            <w:vAlign w:val="center"/>
          </w:tcPr>
          <w:p w14:paraId="5D5647E5">
            <w:pPr>
              <w:jc w:val="center"/>
            </w:pPr>
            <w:r>
              <w:rPr>
                <w:rFonts w:ascii="宋体" w:hAnsi="宋体" w:eastAsia="宋体"/>
                <w:sz w:val="24"/>
              </w:rPr>
              <w:t>(2024年度)</w:t>
            </w:r>
          </w:p>
        </w:tc>
      </w:tr>
      <w:tr w14:paraId="5451BA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0E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6BA28C">
            <w:pPr>
              <w:jc w:val="center"/>
            </w:pPr>
            <w:r>
              <w:rPr>
                <w:rFonts w:ascii="宋体" w:hAnsi="宋体" w:eastAsia="宋体"/>
                <w:sz w:val="16"/>
              </w:rPr>
              <w:t>地区档案馆缺口资金（第二批）</w:t>
            </w:r>
          </w:p>
        </w:tc>
      </w:tr>
      <w:tr w14:paraId="392C53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A5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E9E7DF">
            <w:pPr>
              <w:jc w:val="center"/>
            </w:pPr>
            <w:r>
              <w:rPr>
                <w:rFonts w:ascii="宋体" w:hAnsi="宋体" w:eastAsia="宋体"/>
                <w:sz w:val="16"/>
              </w:rPr>
              <w:t>新疆维吾尔自治区和田地区档案馆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68A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F3591A">
            <w:pPr>
              <w:jc w:val="center"/>
            </w:pPr>
            <w:r>
              <w:rPr>
                <w:rFonts w:ascii="宋体" w:hAnsi="宋体" w:eastAsia="宋体"/>
                <w:sz w:val="16"/>
              </w:rPr>
              <w:t>新疆维吾尔自治区和田地区档案馆</w:t>
            </w:r>
          </w:p>
        </w:tc>
      </w:tr>
      <w:tr w14:paraId="2C0FD0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0C1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D9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C08E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48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2855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215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C52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E4F1">
            <w:pPr>
              <w:jc w:val="center"/>
            </w:pPr>
            <w:r>
              <w:rPr>
                <w:rFonts w:ascii="宋体" w:hAnsi="宋体" w:eastAsia="宋体"/>
                <w:sz w:val="16"/>
              </w:rPr>
              <w:t>得分</w:t>
            </w:r>
          </w:p>
        </w:tc>
      </w:tr>
      <w:tr w14:paraId="6B063D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4B8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833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5CEC">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9865">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61914">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B0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C43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D779">
            <w:pPr>
              <w:jc w:val="center"/>
            </w:pPr>
            <w:r>
              <w:rPr>
                <w:rFonts w:ascii="宋体" w:hAnsi="宋体" w:eastAsia="宋体"/>
                <w:sz w:val="16"/>
              </w:rPr>
              <w:t>10.00分</w:t>
            </w:r>
          </w:p>
        </w:tc>
      </w:tr>
      <w:tr w14:paraId="7721A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F27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DC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C56C6">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C9A7">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CD00">
            <w:pPr>
              <w:jc w:val="center"/>
            </w:pPr>
            <w:r>
              <w:rPr>
                <w:rFonts w:ascii="宋体" w:hAnsi="宋体" w:eastAsia="宋体"/>
                <w:sz w:val="16"/>
              </w:rPr>
              <w:t>466.87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14D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065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EBC1">
            <w:pPr>
              <w:jc w:val="center"/>
            </w:pPr>
            <w:r>
              <w:rPr>
                <w:rFonts w:ascii="宋体" w:hAnsi="宋体" w:eastAsia="宋体"/>
                <w:sz w:val="16"/>
              </w:rPr>
              <w:t>—</w:t>
            </w:r>
          </w:p>
        </w:tc>
      </w:tr>
      <w:tr w14:paraId="579E56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917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5D3A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7F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841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37D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D66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2C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9983">
            <w:pPr>
              <w:jc w:val="center"/>
            </w:pPr>
            <w:r>
              <w:rPr>
                <w:rFonts w:ascii="宋体" w:hAnsi="宋体" w:eastAsia="宋体"/>
                <w:sz w:val="16"/>
              </w:rPr>
              <w:t>—</w:t>
            </w:r>
          </w:p>
        </w:tc>
      </w:tr>
      <w:tr w14:paraId="466CE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2F6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CA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16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C0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FA0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E18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FF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6095">
            <w:pPr>
              <w:jc w:val="center"/>
            </w:pPr>
            <w:r>
              <w:rPr>
                <w:rFonts w:ascii="宋体" w:hAnsi="宋体" w:eastAsia="宋体"/>
                <w:sz w:val="16"/>
              </w:rPr>
              <w:t>—</w:t>
            </w:r>
          </w:p>
        </w:tc>
      </w:tr>
      <w:tr w14:paraId="211258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C980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D17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D7717">
            <w:pPr>
              <w:jc w:val="center"/>
            </w:pPr>
            <w:r>
              <w:rPr>
                <w:rFonts w:ascii="宋体" w:hAnsi="宋体" w:eastAsia="宋体"/>
                <w:sz w:val="16"/>
              </w:rPr>
              <w:t>实际完成情况</w:t>
            </w:r>
          </w:p>
        </w:tc>
      </w:tr>
      <w:tr w14:paraId="20ED1B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FF2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40BC9F">
            <w:pPr>
              <w:jc w:val="both"/>
            </w:pPr>
            <w:r>
              <w:rPr>
                <w:rFonts w:ascii="宋体" w:hAnsi="宋体" w:eastAsia="宋体"/>
                <w:sz w:val="16"/>
              </w:rPr>
              <w:t>本项目主要实施内容为：偿还1个往年基建项目的尾款，项目总投资466.87万元，通过本项目的实施，提升政府公信力，争取使受益企业满意度达到100%。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075FC">
            <w:pPr>
              <w:jc w:val="both"/>
            </w:pPr>
            <w:r>
              <w:rPr>
                <w:rFonts w:hint="eastAsia" w:ascii="宋体" w:hAnsi="宋体"/>
                <w:sz w:val="16"/>
                <w:lang w:eastAsia="zh-CN"/>
              </w:rPr>
              <w:t>截至</w:t>
            </w:r>
            <w:r>
              <w:rPr>
                <w:rFonts w:ascii="宋体" w:hAnsi="宋体" w:eastAsia="宋体"/>
                <w:sz w:val="16"/>
              </w:rPr>
              <w:t>2024年12月31日，本项目实际形成支出466.87万元，已完成偿还1个往年基建项目的尾款，通过本项目的实施，提升政府公信力，使受益企业满意度达到100%。</w:t>
            </w:r>
          </w:p>
        </w:tc>
      </w:tr>
      <w:tr w14:paraId="2273B4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E0F2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323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4A2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E8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44C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541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93F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361A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411E">
            <w:pPr>
              <w:jc w:val="center"/>
            </w:pPr>
            <w:r>
              <w:rPr>
                <w:rFonts w:ascii="宋体" w:hAnsi="宋体" w:eastAsia="宋体"/>
                <w:sz w:val="16"/>
              </w:rPr>
              <w:t>偏差原因分析及改进措施</w:t>
            </w:r>
          </w:p>
        </w:tc>
      </w:tr>
      <w:tr w14:paraId="2A3F80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C05A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8E29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47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BB6B3">
            <w:pPr>
              <w:jc w:val="center"/>
            </w:pPr>
            <w:r>
              <w:rPr>
                <w:rFonts w:ascii="宋体" w:hAnsi="宋体" w:eastAsia="宋体"/>
                <w:sz w:val="16"/>
              </w:rPr>
              <w:t>拟保障基建类项目数量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F31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0DB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F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6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F01B">
            <w:pPr>
              <w:jc w:val="center"/>
            </w:pPr>
          </w:p>
        </w:tc>
      </w:tr>
      <w:tr w14:paraId="4DAB81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FC2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7CB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3D1C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3BD0">
            <w:pPr>
              <w:jc w:val="center"/>
            </w:pPr>
            <w:r>
              <w:rPr>
                <w:rFonts w:ascii="宋体" w:hAnsi="宋体" w:eastAsia="宋体"/>
                <w:sz w:val="16"/>
              </w:rPr>
              <w:t>欠款纠纷发案率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04E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63C9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B1D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E1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3982">
            <w:pPr>
              <w:jc w:val="center"/>
            </w:pPr>
          </w:p>
        </w:tc>
      </w:tr>
      <w:tr w14:paraId="1D2A30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A5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C3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8EB1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E19C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B45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C6C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53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CA7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0AF01">
            <w:pPr>
              <w:jc w:val="center"/>
            </w:pPr>
          </w:p>
        </w:tc>
      </w:tr>
      <w:tr w14:paraId="3B503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D7D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179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7B9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FD6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74A1">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0182">
            <w:pPr>
              <w:jc w:val="center"/>
            </w:pPr>
            <w:r>
              <w:rPr>
                <w:rFonts w:ascii="宋体" w:hAnsi="宋体" w:eastAsia="宋体"/>
                <w:sz w:val="16"/>
              </w:rPr>
              <w:t>2024年12月6日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F9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CC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6EA26">
            <w:pPr>
              <w:jc w:val="center"/>
            </w:pPr>
          </w:p>
        </w:tc>
      </w:tr>
      <w:tr w14:paraId="3452BC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DC1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69DC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B546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CAA94">
            <w:pPr>
              <w:jc w:val="center"/>
            </w:pPr>
            <w:r>
              <w:rPr>
                <w:rFonts w:ascii="宋体" w:hAnsi="宋体" w:eastAsia="宋体"/>
                <w:sz w:val="16"/>
              </w:rPr>
              <w:t>基建类项目尾款支出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D355">
            <w:pPr>
              <w:jc w:val="center"/>
            </w:pPr>
            <w:r>
              <w:rPr>
                <w:rFonts w:ascii="宋体" w:hAnsi="宋体" w:eastAsia="宋体"/>
                <w:sz w:val="16"/>
              </w:rPr>
              <w:t>≤466.87万元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05586">
            <w:pPr>
              <w:jc w:val="center"/>
            </w:pPr>
            <w:r>
              <w:rPr>
                <w:rFonts w:ascii="宋体" w:hAnsi="宋体" w:eastAsia="宋体"/>
                <w:sz w:val="16"/>
              </w:rPr>
              <w:t>=466.87万元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F88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D71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DEE08">
            <w:pPr>
              <w:jc w:val="center"/>
            </w:pPr>
          </w:p>
        </w:tc>
      </w:tr>
      <w:tr w14:paraId="3562D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F84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10E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DB8D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5161">
            <w:pPr>
              <w:jc w:val="center"/>
            </w:pPr>
            <w:r>
              <w:rPr>
                <w:rFonts w:ascii="宋体" w:hAnsi="宋体" w:eastAsia="宋体"/>
                <w:sz w:val="16"/>
              </w:rPr>
              <w:t>提升政府公信力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A85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25E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61B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4D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FDAD">
            <w:pPr>
              <w:jc w:val="center"/>
            </w:pPr>
          </w:p>
        </w:tc>
      </w:tr>
      <w:tr w14:paraId="05045D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98C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ABE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0B7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B186">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A4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FAD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BEB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32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F122">
            <w:pPr>
              <w:jc w:val="center"/>
            </w:pPr>
          </w:p>
        </w:tc>
      </w:tr>
      <w:tr w14:paraId="5C10D7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380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20D2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1218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089D91">
            <w:pPr>
              <w:jc w:val="center"/>
            </w:pPr>
            <w:r>
              <w:rPr>
                <w:rFonts w:ascii="宋体" w:hAnsi="宋体" w:eastAsia="宋体"/>
                <w:sz w:val="16"/>
              </w:rPr>
              <w:t>100分</w:t>
            </w:r>
          </w:p>
        </w:tc>
      </w:tr>
    </w:tbl>
    <w:p w14:paraId="3FF7728E">
      <w:r>
        <w:br w:type="page"/>
      </w:r>
    </w:p>
    <w:p w14:paraId="6C4EC859">
      <w:pPr>
        <w:spacing w:line="640" w:lineRule="exact"/>
        <w:ind w:firstLine="640"/>
        <w:jc w:val="both"/>
        <w:outlineLvl w:val="2"/>
      </w:pPr>
      <w:r>
        <w:rPr>
          <w:rFonts w:ascii="黑体" w:hAnsi="黑体" w:eastAsia="黑体"/>
          <w:sz w:val="32"/>
        </w:rPr>
        <w:t>十二、其他需说明的事项</w:t>
      </w:r>
    </w:p>
    <w:p w14:paraId="1FB0AC63">
      <w:pPr>
        <w:spacing w:line="580" w:lineRule="exact"/>
        <w:ind w:firstLine="640"/>
        <w:jc w:val="both"/>
      </w:pPr>
      <w:r>
        <w:rPr>
          <w:rFonts w:ascii="仿宋_GB2312" w:hAnsi="仿宋_GB2312" w:eastAsia="仿宋_GB2312"/>
          <w:b w:val="0"/>
          <w:sz w:val="32"/>
        </w:rPr>
        <w:t>本单位无其他需说明的事项。</w:t>
      </w:r>
    </w:p>
    <w:p w14:paraId="1EE6B78E">
      <w:r>
        <w:br w:type="page"/>
      </w:r>
    </w:p>
    <w:p w14:paraId="5F45787D">
      <w:pPr>
        <w:spacing w:line="240" w:lineRule="auto"/>
        <w:jc w:val="center"/>
        <w:outlineLvl w:val="1"/>
      </w:pPr>
      <w:r>
        <w:rPr>
          <w:rFonts w:ascii="黑体" w:hAnsi="黑体" w:eastAsia="黑体"/>
          <w:sz w:val="32"/>
        </w:rPr>
        <w:t>第三部分 专业名词解释</w:t>
      </w:r>
    </w:p>
    <w:p w14:paraId="1727F1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99DD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A95C2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7A42F0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57D1C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B7CC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DACD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553B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7A5E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7B512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639B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25C4C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AEC9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1A16C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4D796E">
      <w:r>
        <w:br w:type="page"/>
      </w:r>
    </w:p>
    <w:p w14:paraId="4986416A">
      <w:pPr>
        <w:spacing w:line="240" w:lineRule="auto"/>
        <w:jc w:val="center"/>
        <w:outlineLvl w:val="1"/>
      </w:pPr>
      <w:r>
        <w:rPr>
          <w:rFonts w:ascii="黑体" w:hAnsi="黑体" w:eastAsia="黑体"/>
          <w:sz w:val="32"/>
        </w:rPr>
        <w:t>第四部分 部门决算报表（见附表）</w:t>
      </w:r>
    </w:p>
    <w:p w14:paraId="02989D77">
      <w:pPr>
        <w:spacing w:line="240" w:lineRule="auto"/>
        <w:ind w:firstLine="640"/>
        <w:jc w:val="both"/>
      </w:pPr>
      <w:r>
        <w:rPr>
          <w:rFonts w:ascii="仿宋_GB2312" w:hAnsi="仿宋_GB2312" w:eastAsia="仿宋_GB2312"/>
          <w:b w:val="0"/>
          <w:sz w:val="32"/>
        </w:rPr>
        <w:t>一、《收入支出决算总表》</w:t>
      </w:r>
    </w:p>
    <w:p w14:paraId="1A259C20">
      <w:pPr>
        <w:spacing w:line="240" w:lineRule="auto"/>
        <w:ind w:firstLine="640"/>
        <w:jc w:val="both"/>
      </w:pPr>
      <w:r>
        <w:rPr>
          <w:rFonts w:ascii="仿宋_GB2312" w:hAnsi="仿宋_GB2312" w:eastAsia="仿宋_GB2312"/>
          <w:b w:val="0"/>
          <w:sz w:val="32"/>
        </w:rPr>
        <w:t>二、《收入决算表》</w:t>
      </w:r>
    </w:p>
    <w:p w14:paraId="67666CD4">
      <w:pPr>
        <w:spacing w:line="240" w:lineRule="auto"/>
        <w:ind w:firstLine="640"/>
        <w:jc w:val="both"/>
      </w:pPr>
      <w:r>
        <w:rPr>
          <w:rFonts w:ascii="仿宋_GB2312" w:hAnsi="仿宋_GB2312" w:eastAsia="仿宋_GB2312"/>
          <w:b w:val="0"/>
          <w:sz w:val="32"/>
        </w:rPr>
        <w:t>三、《支出决算表》</w:t>
      </w:r>
    </w:p>
    <w:p w14:paraId="42A200A0">
      <w:pPr>
        <w:spacing w:line="240" w:lineRule="auto"/>
        <w:ind w:firstLine="640"/>
        <w:jc w:val="both"/>
      </w:pPr>
      <w:r>
        <w:rPr>
          <w:rFonts w:ascii="仿宋_GB2312" w:hAnsi="仿宋_GB2312" w:eastAsia="仿宋_GB2312"/>
          <w:b w:val="0"/>
          <w:sz w:val="32"/>
        </w:rPr>
        <w:t>四、《财政拨款收入支出决算总表》</w:t>
      </w:r>
    </w:p>
    <w:p w14:paraId="78C1C429">
      <w:pPr>
        <w:spacing w:line="240" w:lineRule="auto"/>
        <w:ind w:firstLine="640"/>
        <w:jc w:val="both"/>
      </w:pPr>
      <w:r>
        <w:rPr>
          <w:rFonts w:ascii="仿宋_GB2312" w:hAnsi="仿宋_GB2312" w:eastAsia="仿宋_GB2312"/>
          <w:b w:val="0"/>
          <w:sz w:val="32"/>
        </w:rPr>
        <w:t>五、《一般公共预算财政拨款支出决算表》</w:t>
      </w:r>
    </w:p>
    <w:p w14:paraId="0B289533">
      <w:pPr>
        <w:spacing w:line="240" w:lineRule="auto"/>
        <w:ind w:firstLine="640"/>
        <w:jc w:val="both"/>
      </w:pPr>
      <w:r>
        <w:rPr>
          <w:rFonts w:ascii="仿宋_GB2312" w:hAnsi="仿宋_GB2312" w:eastAsia="仿宋_GB2312"/>
          <w:b w:val="0"/>
          <w:sz w:val="32"/>
        </w:rPr>
        <w:t>六、《一般公共预算财政拨款基本支出决算表》</w:t>
      </w:r>
    </w:p>
    <w:p w14:paraId="5BB09B05">
      <w:pPr>
        <w:spacing w:line="240" w:lineRule="auto"/>
        <w:ind w:firstLine="640"/>
        <w:jc w:val="both"/>
      </w:pPr>
      <w:r>
        <w:rPr>
          <w:rFonts w:ascii="仿宋_GB2312" w:hAnsi="仿宋_GB2312" w:eastAsia="仿宋_GB2312"/>
          <w:b w:val="0"/>
          <w:sz w:val="32"/>
        </w:rPr>
        <w:t>七、《政府性基金预算财政拨款收入支出决算表》</w:t>
      </w:r>
    </w:p>
    <w:p w14:paraId="4A182A5D">
      <w:pPr>
        <w:spacing w:line="240" w:lineRule="auto"/>
        <w:ind w:firstLine="640"/>
        <w:jc w:val="both"/>
      </w:pPr>
      <w:r>
        <w:rPr>
          <w:rFonts w:ascii="仿宋_GB2312" w:hAnsi="仿宋_GB2312" w:eastAsia="仿宋_GB2312"/>
          <w:b w:val="0"/>
          <w:sz w:val="32"/>
        </w:rPr>
        <w:t>八、《国有资本经营预算财政拨款收入支出决算表》</w:t>
      </w:r>
    </w:p>
    <w:p w14:paraId="52F3184C">
      <w:pPr>
        <w:spacing w:line="240" w:lineRule="auto"/>
        <w:ind w:firstLine="640"/>
        <w:jc w:val="both"/>
      </w:pPr>
      <w:r>
        <w:rPr>
          <w:rFonts w:ascii="仿宋_GB2312" w:hAnsi="仿宋_GB2312" w:eastAsia="仿宋_GB2312"/>
          <w:b w:val="0"/>
          <w:sz w:val="32"/>
        </w:rPr>
        <w:t>九、《财政拨款“三公”经费支出决算表》</w:t>
      </w:r>
    </w:p>
    <w:p w14:paraId="2BA7E218">
      <w:pPr>
        <w:spacing w:line="240" w:lineRule="auto"/>
        <w:ind w:firstLine="640"/>
        <w:jc w:val="both"/>
      </w:pPr>
    </w:p>
    <w:p w14:paraId="2DCCDB1D">
      <w:pPr>
        <w:spacing w:line="240" w:lineRule="auto"/>
        <w:ind w:firstLine="640"/>
        <w:jc w:val="both"/>
      </w:pPr>
    </w:p>
    <w:p w14:paraId="64D12DAE">
      <w:pPr>
        <w:spacing w:line="240" w:lineRule="auto"/>
        <w:ind w:firstLine="640"/>
        <w:jc w:val="both"/>
      </w:pPr>
    </w:p>
    <w:p w14:paraId="3E4748EF">
      <w:pPr>
        <w:spacing w:line="240" w:lineRule="auto"/>
        <w:ind w:firstLine="640"/>
        <w:jc w:val="both"/>
      </w:pPr>
    </w:p>
    <w:p w14:paraId="74BEBC8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101E3"/>
    <w:rsid w:val="313F1D52"/>
    <w:rsid w:val="318029AB"/>
    <w:rsid w:val="31C63837"/>
    <w:rsid w:val="326F0A17"/>
    <w:rsid w:val="3277581B"/>
    <w:rsid w:val="38006E2C"/>
    <w:rsid w:val="3835103E"/>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8D031F"/>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5638</Words>
  <Characters>6370</Characters>
  <Lines>0</Lines>
  <Paragraphs>0</Paragraphs>
  <TotalTime>2</TotalTime>
  <ScaleCrop>false</ScaleCrop>
  <LinksUpToDate>false</LinksUpToDate>
  <CharactersWithSpaces>6378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2025-09-10T15:13:06Z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