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EC6AF1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新疆和田行政公署驻乌鲁木齐办事处</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C936FD1">
      <w:r>
        <w:br w:type="page"/>
      </w:r>
    </w:p>
    <w:p w14:paraId="32D82C8D">
      <w:pPr>
        <w:spacing w:line="640" w:lineRule="exact"/>
        <w:jc w:val="center"/>
        <w:outlineLvl w:val="1"/>
      </w:pPr>
      <w:r>
        <w:rPr>
          <w:rFonts w:ascii="黑体" w:hAnsi="黑体" w:eastAsia="黑体"/>
          <w:sz w:val="32"/>
        </w:rPr>
        <w:t>第一部分 单位概况</w:t>
      </w:r>
    </w:p>
    <w:p w14:paraId="571CA43D">
      <w:pPr>
        <w:spacing w:line="640" w:lineRule="exact"/>
        <w:ind w:firstLine="640"/>
        <w:jc w:val="both"/>
        <w:outlineLvl w:val="2"/>
      </w:pPr>
      <w:r>
        <w:rPr>
          <w:rFonts w:ascii="黑体" w:hAnsi="黑体" w:eastAsia="黑体"/>
          <w:sz w:val="32"/>
        </w:rPr>
        <w:t>一、主要职能</w:t>
      </w:r>
    </w:p>
    <w:p w14:paraId="0A09C4E6">
      <w:pPr>
        <w:spacing w:line="580" w:lineRule="exact"/>
        <w:ind w:firstLine="640"/>
        <w:jc w:val="both"/>
      </w:pPr>
      <w:r>
        <w:rPr>
          <w:rFonts w:ascii="仿宋_GB2312" w:hAnsi="仿宋_GB2312" w:eastAsia="仿宋_GB2312"/>
          <w:sz w:val="32"/>
        </w:rPr>
        <w:t>新疆和田行政公署驻乌鲁木齐办事处是和田地区设在乌鲁木齐的办事机构，履行派出机构的职能，承担着地区</w:t>
      </w:r>
      <w:r>
        <w:rPr>
          <w:rFonts w:hint="eastAsia" w:ascii="仿宋_GB2312" w:hAnsi="仿宋_GB2312" w:eastAsia="仿宋_GB2312"/>
          <w:sz w:val="32"/>
          <w:lang w:eastAsia="zh-CN"/>
        </w:rPr>
        <w:t>干部</w:t>
      </w:r>
      <w:r>
        <w:rPr>
          <w:rFonts w:ascii="仿宋_GB2312" w:hAnsi="仿宋_GB2312" w:eastAsia="仿宋_GB2312"/>
          <w:sz w:val="32"/>
        </w:rPr>
        <w:t>及相关部门</w:t>
      </w:r>
      <w:r>
        <w:rPr>
          <w:rFonts w:hint="eastAsia" w:ascii="仿宋_GB2312" w:hAnsi="仿宋_GB2312" w:eastAsia="仿宋_GB2312"/>
          <w:sz w:val="32"/>
          <w:lang w:val="en-US" w:eastAsia="zh-CN"/>
        </w:rPr>
        <w:t>工作</w:t>
      </w:r>
      <w:r>
        <w:rPr>
          <w:rFonts w:ascii="仿宋_GB2312" w:hAnsi="仿宋_GB2312" w:eastAsia="仿宋_GB2312"/>
          <w:sz w:val="32"/>
        </w:rPr>
        <w:t>人员到乌鲁木齐出差的联络和接待任务，担负</w:t>
      </w:r>
      <w:r>
        <w:rPr>
          <w:rFonts w:hint="eastAsia" w:ascii="仿宋_GB2312" w:hAnsi="仿宋_GB2312" w:eastAsia="仿宋_GB2312"/>
          <w:sz w:val="32"/>
          <w:lang w:eastAsia="zh-CN"/>
        </w:rPr>
        <w:t>着</w:t>
      </w:r>
      <w:r>
        <w:rPr>
          <w:rFonts w:ascii="仿宋_GB2312" w:hAnsi="仿宋_GB2312" w:eastAsia="仿宋_GB2312"/>
          <w:sz w:val="32"/>
        </w:rPr>
        <w:t>援和省市干部往返的接待工作，负责来乌市</w:t>
      </w:r>
      <w:r>
        <w:rPr>
          <w:rFonts w:hint="eastAsia" w:ascii="仿宋_GB2312" w:hAnsi="仿宋_GB2312" w:eastAsia="仿宋_GB2312"/>
          <w:sz w:val="32"/>
          <w:lang w:eastAsia="zh-CN"/>
        </w:rPr>
        <w:t>来访</w:t>
      </w:r>
      <w:r>
        <w:rPr>
          <w:rFonts w:ascii="仿宋_GB2312" w:hAnsi="仿宋_GB2312" w:eastAsia="仿宋_GB2312"/>
          <w:sz w:val="32"/>
        </w:rPr>
        <w:t>人员的</w:t>
      </w:r>
      <w:r>
        <w:rPr>
          <w:rFonts w:hint="eastAsia" w:ascii="仿宋_GB2312" w:hAnsi="仿宋_GB2312" w:eastAsia="仿宋_GB2312"/>
          <w:sz w:val="32"/>
          <w:lang w:eastAsia="zh-CN"/>
        </w:rPr>
        <w:t>调解</w:t>
      </w:r>
      <w:r>
        <w:rPr>
          <w:rFonts w:ascii="仿宋_GB2312" w:hAnsi="仿宋_GB2312" w:eastAsia="仿宋_GB2312"/>
          <w:sz w:val="32"/>
        </w:rPr>
        <w:t>、劝返工作，承办地区有关部门交办的其他工作。</w:t>
      </w:r>
    </w:p>
    <w:p w14:paraId="74021E1F">
      <w:pPr>
        <w:spacing w:line="640" w:lineRule="exact"/>
        <w:ind w:firstLine="640"/>
        <w:jc w:val="both"/>
        <w:outlineLvl w:val="2"/>
      </w:pPr>
      <w:r>
        <w:rPr>
          <w:rFonts w:ascii="黑体" w:hAnsi="黑体" w:eastAsia="黑体"/>
          <w:sz w:val="32"/>
        </w:rPr>
        <w:t>二、机构设置及人员情况</w:t>
      </w:r>
    </w:p>
    <w:p w14:paraId="453A9339">
      <w:pPr>
        <w:spacing w:line="580" w:lineRule="exact"/>
        <w:ind w:firstLine="640"/>
        <w:jc w:val="both"/>
      </w:pPr>
      <w:r>
        <w:rPr>
          <w:rFonts w:ascii="仿宋_GB2312" w:hAnsi="仿宋_GB2312" w:eastAsia="仿宋_GB2312"/>
          <w:sz w:val="32"/>
        </w:rPr>
        <w:t>新疆和田行政公署驻乌鲁木齐办事处2024年度，实有人数21人，其中：在职人员12人，增加0人；离休人员0人，增加0人；退休人员9人,减少1人。</w:t>
      </w:r>
    </w:p>
    <w:p w14:paraId="0A17B218">
      <w:pPr>
        <w:spacing w:line="580" w:lineRule="exact"/>
        <w:ind w:firstLine="640"/>
        <w:jc w:val="both"/>
      </w:pPr>
      <w:r>
        <w:rPr>
          <w:rFonts w:ascii="仿宋_GB2312" w:hAnsi="仿宋_GB2312" w:eastAsia="仿宋_GB2312"/>
          <w:sz w:val="32"/>
        </w:rPr>
        <w:t>新疆和田行政公署驻乌鲁木齐办事处无下属预算单位，下设3个科室，分别是：办公室、财务室、接待科。</w:t>
      </w:r>
    </w:p>
    <w:p w14:paraId="55CFBF7A">
      <w:r>
        <w:br w:type="page"/>
      </w:r>
    </w:p>
    <w:p w14:paraId="38B8A0EE">
      <w:pPr>
        <w:spacing w:line="240" w:lineRule="auto"/>
        <w:jc w:val="center"/>
        <w:outlineLvl w:val="1"/>
      </w:pPr>
      <w:r>
        <w:rPr>
          <w:rFonts w:ascii="黑体" w:hAnsi="黑体" w:eastAsia="黑体"/>
          <w:sz w:val="32"/>
        </w:rPr>
        <w:t>第二部分 部门决算情况说明</w:t>
      </w:r>
    </w:p>
    <w:p w14:paraId="6AF7939E">
      <w:pPr>
        <w:spacing w:line="640" w:lineRule="exact"/>
        <w:ind w:firstLine="640"/>
        <w:jc w:val="both"/>
        <w:outlineLvl w:val="2"/>
      </w:pPr>
      <w:r>
        <w:rPr>
          <w:rFonts w:ascii="黑体" w:hAnsi="黑体" w:eastAsia="黑体"/>
          <w:sz w:val="32"/>
        </w:rPr>
        <w:t>一、收入支出决算总体情况说明</w:t>
      </w:r>
    </w:p>
    <w:p w14:paraId="6FECB16A">
      <w:pPr>
        <w:spacing w:line="580" w:lineRule="exact"/>
        <w:ind w:firstLine="640"/>
        <w:jc w:val="both"/>
      </w:pPr>
      <w:r>
        <w:rPr>
          <w:rFonts w:ascii="仿宋_GB2312" w:hAnsi="仿宋_GB2312" w:eastAsia="仿宋_GB2312"/>
          <w:b/>
          <w:sz w:val="32"/>
        </w:rPr>
        <w:t>2024年度收入总计578.68万元，</w:t>
      </w:r>
      <w:r>
        <w:rPr>
          <w:rFonts w:ascii="仿宋_GB2312" w:hAnsi="仿宋_GB2312" w:eastAsia="仿宋_GB2312"/>
          <w:b w:val="0"/>
          <w:sz w:val="32"/>
        </w:rPr>
        <w:t>其中：本年收入合计578.68万元，使用非财政拨款结余（含专用结余）0.00万元，年初结转和结余0.00万元。</w:t>
      </w:r>
    </w:p>
    <w:p w14:paraId="6C9A6A5D">
      <w:pPr>
        <w:spacing w:line="580" w:lineRule="exact"/>
        <w:ind w:firstLine="640"/>
        <w:jc w:val="both"/>
      </w:pPr>
      <w:r>
        <w:rPr>
          <w:rFonts w:ascii="仿宋_GB2312" w:hAnsi="仿宋_GB2312" w:eastAsia="仿宋_GB2312"/>
          <w:b/>
          <w:sz w:val="32"/>
        </w:rPr>
        <w:t>2024年度支出总计578.68万元，</w:t>
      </w:r>
      <w:r>
        <w:rPr>
          <w:rFonts w:ascii="仿宋_GB2312" w:hAnsi="仿宋_GB2312" w:eastAsia="仿宋_GB2312"/>
          <w:b w:val="0"/>
          <w:sz w:val="32"/>
        </w:rPr>
        <w:t>其中：本年支出合计570.51万元，结余分配7.10万元，年末结转和结余1.07万元。</w:t>
      </w:r>
    </w:p>
    <w:p w14:paraId="33429790">
      <w:pPr>
        <w:spacing w:line="580" w:lineRule="exact"/>
        <w:ind w:firstLine="640"/>
        <w:jc w:val="both"/>
      </w:pPr>
      <w:r>
        <w:rPr>
          <w:rFonts w:ascii="仿宋_GB2312" w:hAnsi="仿宋_GB2312" w:eastAsia="仿宋_GB2312"/>
          <w:b w:val="0"/>
          <w:sz w:val="32"/>
        </w:rPr>
        <w:t>收入支出总体与上年相比，减少49.43万元，下降7.87%，主要原因是：本年减少慰问经费项目、公务用车运行维护费项目金额减少。</w:t>
      </w:r>
    </w:p>
    <w:p w14:paraId="4C179FF2">
      <w:pPr>
        <w:spacing w:line="640" w:lineRule="exact"/>
        <w:ind w:firstLine="640"/>
        <w:jc w:val="both"/>
        <w:outlineLvl w:val="2"/>
      </w:pPr>
      <w:r>
        <w:rPr>
          <w:rFonts w:ascii="黑体" w:hAnsi="黑体" w:eastAsia="黑体"/>
          <w:sz w:val="32"/>
        </w:rPr>
        <w:t>二、收入决算情况说明</w:t>
      </w:r>
    </w:p>
    <w:p w14:paraId="6A5E704E">
      <w:pPr>
        <w:spacing w:line="580" w:lineRule="exact"/>
        <w:ind w:firstLine="640"/>
        <w:jc w:val="both"/>
      </w:pPr>
      <w:r>
        <w:rPr>
          <w:rFonts w:ascii="仿宋_GB2312" w:hAnsi="仿宋_GB2312" w:eastAsia="仿宋_GB2312"/>
          <w:b/>
          <w:sz w:val="32"/>
        </w:rPr>
        <w:t>本年收入578.68万元，</w:t>
      </w:r>
      <w:r>
        <w:rPr>
          <w:rFonts w:ascii="仿宋_GB2312" w:hAnsi="仿宋_GB2312" w:eastAsia="仿宋_GB2312"/>
          <w:b w:val="0"/>
          <w:sz w:val="32"/>
        </w:rPr>
        <w:t>其中：财政拨款收入457.70万元，占79.09%；上级补助收入0.00万元，占0.00%；事业收入0.00万元，占0.00%；经营收入120.85万元，占20.88%；附属单位上缴收入0.00万元，占0.00%；其他收入0.13万元，占0.02%。</w:t>
      </w:r>
    </w:p>
    <w:p w14:paraId="4B0C0134">
      <w:pPr>
        <w:spacing w:line="640" w:lineRule="exact"/>
        <w:ind w:firstLine="640"/>
        <w:jc w:val="both"/>
        <w:outlineLvl w:val="2"/>
      </w:pPr>
      <w:r>
        <w:rPr>
          <w:rFonts w:ascii="黑体" w:hAnsi="黑体" w:eastAsia="黑体"/>
          <w:sz w:val="32"/>
        </w:rPr>
        <w:t>三、支出决算情况说明</w:t>
      </w:r>
    </w:p>
    <w:p w14:paraId="73B4CC8B">
      <w:pPr>
        <w:spacing w:line="580" w:lineRule="exact"/>
        <w:ind w:firstLine="640"/>
        <w:jc w:val="both"/>
      </w:pPr>
      <w:r>
        <w:rPr>
          <w:rFonts w:ascii="仿宋_GB2312" w:hAnsi="仿宋_GB2312" w:eastAsia="仿宋_GB2312"/>
          <w:b/>
          <w:sz w:val="32"/>
        </w:rPr>
        <w:t>本年支出570.51万元，</w:t>
      </w:r>
      <w:r>
        <w:rPr>
          <w:rFonts w:ascii="仿宋_GB2312" w:hAnsi="仿宋_GB2312" w:eastAsia="仿宋_GB2312"/>
          <w:b w:val="0"/>
          <w:sz w:val="32"/>
        </w:rPr>
        <w:t>其中：基本支出329.25万元，占57.71%；项目支出127.51万元，占22.35%；上缴上级支出0.00万元，占0.00%；经营支出113.76万元，占19.94%；对附属单位补助支出0.00万元，占0.00%。</w:t>
      </w:r>
    </w:p>
    <w:p w14:paraId="2C48A4A9">
      <w:pPr>
        <w:spacing w:line="640" w:lineRule="exact"/>
        <w:ind w:firstLine="640"/>
        <w:jc w:val="both"/>
        <w:outlineLvl w:val="2"/>
      </w:pPr>
      <w:r>
        <w:rPr>
          <w:rFonts w:ascii="黑体" w:hAnsi="黑体" w:eastAsia="黑体"/>
          <w:sz w:val="32"/>
        </w:rPr>
        <w:t>四、财政拨款收入支出决算总体情况说明</w:t>
      </w:r>
    </w:p>
    <w:p w14:paraId="5658C300">
      <w:pPr>
        <w:spacing w:line="580" w:lineRule="exact"/>
        <w:ind w:firstLine="640"/>
        <w:jc w:val="both"/>
      </w:pPr>
      <w:r>
        <w:rPr>
          <w:rFonts w:ascii="仿宋_GB2312" w:hAnsi="仿宋_GB2312" w:eastAsia="仿宋_GB2312"/>
          <w:b/>
          <w:sz w:val="32"/>
        </w:rPr>
        <w:t>2024年度财政拨款收入总计457.70万元，</w:t>
      </w:r>
      <w:r>
        <w:rPr>
          <w:rFonts w:ascii="仿宋_GB2312" w:hAnsi="仿宋_GB2312" w:eastAsia="仿宋_GB2312"/>
          <w:b w:val="0"/>
          <w:sz w:val="32"/>
        </w:rPr>
        <w:t>其中：年初财政拨款结转和结余0.00万元，本年财政拨款收入457.70万元。</w:t>
      </w:r>
      <w:r>
        <w:rPr>
          <w:rFonts w:ascii="仿宋_GB2312" w:hAnsi="仿宋_GB2312" w:eastAsia="仿宋_GB2312"/>
          <w:b/>
          <w:sz w:val="32"/>
        </w:rPr>
        <w:t>财政拨款支出总计457.70万元，</w:t>
      </w:r>
      <w:r>
        <w:rPr>
          <w:rFonts w:ascii="仿宋_GB2312" w:hAnsi="仿宋_GB2312" w:eastAsia="仿宋_GB2312"/>
          <w:b w:val="0"/>
          <w:sz w:val="32"/>
        </w:rPr>
        <w:t>其中：年末财政拨款结转和结余0.95万元，本年财政拨款支出456.76万元。</w:t>
      </w:r>
    </w:p>
    <w:p w14:paraId="0B1904A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减少60.24万元，下降11.63%，主要原因是：本年减少慰问经费项目、公务用车运行维护费项目金额减少。</w:t>
      </w:r>
      <w:r>
        <w:rPr>
          <w:rFonts w:ascii="仿宋_GB2312" w:hAnsi="仿宋_GB2312" w:eastAsia="仿宋_GB2312"/>
          <w:b/>
          <w:sz w:val="32"/>
        </w:rPr>
        <w:t>与年初预算相比，</w:t>
      </w:r>
      <w:r>
        <w:rPr>
          <w:rFonts w:ascii="仿宋_GB2312" w:hAnsi="仿宋_GB2312" w:eastAsia="仿宋_GB2312"/>
          <w:b w:val="0"/>
          <w:sz w:val="32"/>
        </w:rPr>
        <w:t>年初预算数372.44万元，决算数457.70万元，预决算差异率22.89%，主要原因是：年中追加楼顶防水层及给排水设施改造项目，导致预决算存在差异。</w:t>
      </w:r>
    </w:p>
    <w:p w14:paraId="24C9F10E">
      <w:pPr>
        <w:spacing w:line="640" w:lineRule="exact"/>
        <w:ind w:firstLine="640"/>
        <w:jc w:val="both"/>
        <w:outlineLvl w:val="2"/>
      </w:pPr>
      <w:r>
        <w:rPr>
          <w:rFonts w:ascii="黑体" w:hAnsi="黑体" w:eastAsia="黑体"/>
          <w:sz w:val="32"/>
        </w:rPr>
        <w:t>五、一般公共预算财政拨款支出决算情况说明</w:t>
      </w:r>
    </w:p>
    <w:p w14:paraId="07D55BDD">
      <w:pPr>
        <w:spacing w:line="640" w:lineRule="exact"/>
        <w:ind w:firstLine="640"/>
        <w:jc w:val="both"/>
        <w:outlineLvl w:val="3"/>
      </w:pPr>
      <w:r>
        <w:rPr>
          <w:rFonts w:ascii="楷体_GB2312" w:hAnsi="楷体_GB2312" w:eastAsia="楷体_GB2312"/>
          <w:b/>
          <w:sz w:val="32"/>
        </w:rPr>
        <w:t>（一）一般公共预算财政拨款支出决算总体情况</w:t>
      </w:r>
    </w:p>
    <w:p w14:paraId="07ECD078">
      <w:pPr>
        <w:spacing w:line="580" w:lineRule="exact"/>
        <w:ind w:firstLine="640"/>
        <w:jc w:val="both"/>
      </w:pPr>
      <w:r>
        <w:rPr>
          <w:rFonts w:ascii="仿宋_GB2312" w:hAnsi="仿宋_GB2312" w:eastAsia="仿宋_GB2312"/>
          <w:b/>
          <w:sz w:val="32"/>
        </w:rPr>
        <w:t>2024年度一般公共预算财政拨款支出456.76万元，</w:t>
      </w:r>
      <w:r>
        <w:rPr>
          <w:rFonts w:ascii="仿宋_GB2312" w:hAnsi="仿宋_GB2312" w:eastAsia="仿宋_GB2312"/>
          <w:b w:val="0"/>
          <w:sz w:val="32"/>
        </w:rPr>
        <w:t>占本年支出合计的80.06%。</w:t>
      </w:r>
      <w:r>
        <w:rPr>
          <w:rFonts w:ascii="仿宋_GB2312" w:hAnsi="仿宋_GB2312" w:eastAsia="仿宋_GB2312"/>
          <w:b/>
          <w:sz w:val="32"/>
        </w:rPr>
        <w:t>与上年相比，</w:t>
      </w:r>
      <w:r>
        <w:rPr>
          <w:rFonts w:ascii="仿宋_GB2312" w:hAnsi="仿宋_GB2312" w:eastAsia="仿宋_GB2312"/>
          <w:b w:val="0"/>
          <w:sz w:val="32"/>
        </w:rPr>
        <w:t>减少61.18万元，下降11.81%，主要原因是：本年度减少慰问经费项目、公务用车运行维护费资金较上年减少。</w:t>
      </w:r>
      <w:r>
        <w:rPr>
          <w:rFonts w:ascii="仿宋_GB2312" w:hAnsi="仿宋_GB2312" w:eastAsia="仿宋_GB2312"/>
          <w:b/>
          <w:sz w:val="32"/>
        </w:rPr>
        <w:t>与年初预算相比,</w:t>
      </w:r>
      <w:r>
        <w:rPr>
          <w:rFonts w:ascii="仿宋_GB2312" w:hAnsi="仿宋_GB2312" w:eastAsia="仿宋_GB2312"/>
          <w:b w:val="0"/>
          <w:sz w:val="32"/>
        </w:rPr>
        <w:t>年初预算数372.44万元，决算数456.76万元，预决算差异率22.64%，主要原因是：年中追加楼顶防水层及给排水设施改造项目，导致预决算存在差异。</w:t>
      </w:r>
    </w:p>
    <w:p w14:paraId="1B29F04C">
      <w:pPr>
        <w:spacing w:line="640" w:lineRule="exact"/>
        <w:ind w:firstLine="640"/>
        <w:jc w:val="both"/>
        <w:outlineLvl w:val="3"/>
      </w:pPr>
      <w:r>
        <w:rPr>
          <w:rFonts w:ascii="楷体_GB2312" w:hAnsi="楷体_GB2312" w:eastAsia="楷体_GB2312"/>
          <w:b/>
          <w:sz w:val="32"/>
        </w:rPr>
        <w:t>（二）一般公共预算财政拨款支出决算结构情况</w:t>
      </w:r>
    </w:p>
    <w:p w14:paraId="2A4593E9">
      <w:pPr>
        <w:spacing w:line="580" w:lineRule="exact"/>
        <w:ind w:firstLine="640"/>
        <w:jc w:val="both"/>
      </w:pPr>
      <w:r>
        <w:rPr>
          <w:rFonts w:ascii="仿宋_GB2312" w:hAnsi="仿宋_GB2312" w:eastAsia="仿宋_GB2312"/>
          <w:b w:val="0"/>
          <w:sz w:val="32"/>
        </w:rPr>
        <w:t>1.一般公共服务支出(类)384.60万元,占84.20%。</w:t>
      </w:r>
    </w:p>
    <w:p w14:paraId="223BCC3A">
      <w:pPr>
        <w:spacing w:line="580" w:lineRule="exact"/>
        <w:ind w:firstLine="640"/>
        <w:jc w:val="both"/>
      </w:pPr>
      <w:r>
        <w:rPr>
          <w:rFonts w:ascii="仿宋_GB2312" w:hAnsi="仿宋_GB2312" w:eastAsia="仿宋_GB2312"/>
          <w:b w:val="0"/>
          <w:sz w:val="32"/>
        </w:rPr>
        <w:t>2.社会保障和就业支出(类)40.47万元,占8.86%。</w:t>
      </w:r>
    </w:p>
    <w:p w14:paraId="1C96F8F5">
      <w:pPr>
        <w:spacing w:line="580" w:lineRule="exact"/>
        <w:ind w:firstLine="640"/>
        <w:jc w:val="both"/>
      </w:pPr>
      <w:r>
        <w:rPr>
          <w:rFonts w:ascii="仿宋_GB2312" w:hAnsi="仿宋_GB2312" w:eastAsia="仿宋_GB2312"/>
          <w:b w:val="0"/>
          <w:sz w:val="32"/>
        </w:rPr>
        <w:t>3.卫生健康支出(类)10.37万元,占2.27%。</w:t>
      </w:r>
    </w:p>
    <w:p w14:paraId="6B6C52EB">
      <w:pPr>
        <w:spacing w:line="580" w:lineRule="exact"/>
        <w:ind w:firstLine="640"/>
        <w:jc w:val="both"/>
      </w:pPr>
      <w:r>
        <w:rPr>
          <w:rFonts w:ascii="仿宋_GB2312" w:hAnsi="仿宋_GB2312" w:eastAsia="仿宋_GB2312"/>
          <w:b w:val="0"/>
          <w:sz w:val="32"/>
        </w:rPr>
        <w:t>4.住房保障支出(类)21.32万元,占4.67%。</w:t>
      </w:r>
    </w:p>
    <w:p w14:paraId="508CD329">
      <w:pPr>
        <w:spacing w:line="640" w:lineRule="exact"/>
        <w:ind w:firstLine="640"/>
        <w:jc w:val="both"/>
        <w:outlineLvl w:val="3"/>
      </w:pPr>
      <w:r>
        <w:rPr>
          <w:rFonts w:ascii="楷体_GB2312" w:hAnsi="楷体_GB2312" w:eastAsia="楷体_GB2312"/>
          <w:b/>
          <w:sz w:val="32"/>
        </w:rPr>
        <w:t>（三）一般公共预算财政拨款支出决算具体情况</w:t>
      </w:r>
    </w:p>
    <w:p w14:paraId="42FA76BE">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257.08万元，比上年决算减少79.28万元，下降23.57%,主要原因是：本年功能科目调整，事业单位离退休、事业单位医疗、住房公积金支出上年度在主科目列支，本年单独列支，导致经费较上年减少。</w:t>
      </w:r>
    </w:p>
    <w:p w14:paraId="5CBA2ED0">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127.51万元，比上年决算减少13.92万元，下降9.84%,主要原因是：本年度慰问经费项目较上年减少。</w:t>
      </w:r>
    </w:p>
    <w:p w14:paraId="61969813">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14.94万元，比上年决算增加14.94万元，增长100.00%,主要原因是：本年功能科目调整，事业单位离退休上年度在主科目列支，本年单独列支，导致经费较上年增加。</w:t>
      </w:r>
    </w:p>
    <w:p w14:paraId="163C0E45">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25.54万元，比上年决算增加2.34万元，增长10.09%,主要原因是：本年在职人员工资基数调增，养老缴费基数上涨，相应支出增加。</w:t>
      </w:r>
    </w:p>
    <w:p w14:paraId="674C6A6C">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16.94万元，下降100.00%,主要原因是：本年无新增退休人员，职业年金缴费较上年减少。</w:t>
      </w:r>
    </w:p>
    <w:p w14:paraId="3B75031E">
      <w:pPr>
        <w:spacing w:line="580" w:lineRule="exact"/>
        <w:ind w:firstLine="640"/>
        <w:jc w:val="both"/>
      </w:pPr>
      <w:r>
        <w:rPr>
          <w:rFonts w:ascii="仿宋_GB2312" w:hAnsi="仿宋_GB2312" w:eastAsia="仿宋_GB2312"/>
          <w:b w:val="0"/>
          <w:sz w:val="32"/>
        </w:rPr>
        <w:t>6.卫生健康支出(类)行政事业单位医疗(款)事业单位医疗(项):支出决算数为10.37万元，比上年决算增加10.37万元，增长100.00%,主要原因是：本年功能科目调整，事业单位医疗支出上年度在主科目列支，本年单独列支，导致经费较上年增加。</w:t>
      </w:r>
    </w:p>
    <w:p w14:paraId="50C1EC0A">
      <w:pPr>
        <w:spacing w:line="580" w:lineRule="exact"/>
        <w:ind w:firstLine="640"/>
        <w:jc w:val="both"/>
      </w:pPr>
      <w:r>
        <w:rPr>
          <w:rFonts w:ascii="仿宋_GB2312" w:hAnsi="仿宋_GB2312" w:eastAsia="仿宋_GB2312"/>
          <w:b w:val="0"/>
          <w:sz w:val="32"/>
        </w:rPr>
        <w:t>7.住房保障支出(类)住房改革支出(款)住房公积金(项):支出决算数为21.32万元，比上年决算增加21.32万元，增长100.00%,主要原因是：本年功能科目调整，住房公积金上年度在主科目列支，本年单独列支，导致经费较上年增加。</w:t>
      </w:r>
    </w:p>
    <w:p w14:paraId="06A027F0">
      <w:pPr>
        <w:spacing w:line="640" w:lineRule="exact"/>
        <w:ind w:firstLine="640"/>
        <w:jc w:val="both"/>
        <w:outlineLvl w:val="2"/>
      </w:pPr>
      <w:r>
        <w:rPr>
          <w:rFonts w:ascii="黑体" w:hAnsi="黑体" w:eastAsia="黑体"/>
          <w:sz w:val="32"/>
        </w:rPr>
        <w:t>六、一般公共预算财政拨款基本支出决算情况说明</w:t>
      </w:r>
    </w:p>
    <w:p w14:paraId="7BC007AD">
      <w:pPr>
        <w:spacing w:line="580" w:lineRule="exact"/>
        <w:ind w:firstLine="640"/>
        <w:jc w:val="both"/>
      </w:pPr>
      <w:r>
        <w:rPr>
          <w:rFonts w:ascii="仿宋_GB2312" w:hAnsi="仿宋_GB2312" w:eastAsia="仿宋_GB2312"/>
          <w:b w:val="0"/>
          <w:sz w:val="32"/>
        </w:rPr>
        <w:t>2024年度一般公共预算财政拨款基本支出329.25万元，其中：</w:t>
      </w:r>
      <w:r>
        <w:rPr>
          <w:rFonts w:ascii="仿宋_GB2312" w:hAnsi="仿宋_GB2312" w:eastAsia="仿宋_GB2312"/>
          <w:b/>
          <w:sz w:val="32"/>
        </w:rPr>
        <w:t>人员经费295.01万元，</w:t>
      </w:r>
      <w:r>
        <w:rPr>
          <w:rFonts w:ascii="仿宋_GB2312" w:hAnsi="仿宋_GB2312" w:eastAsia="仿宋_GB2312"/>
          <w:b w:val="0"/>
          <w:sz w:val="32"/>
        </w:rPr>
        <w:t>包括：基本工资、津贴补贴、奖金、绩效工资、机关事业单位基本养老保险缴费、职工基本医疗保险缴费、其他社会保障缴费、住房公积金、其他工资福利支出、退休费、生活补助、奖励金。</w:t>
      </w:r>
    </w:p>
    <w:p w14:paraId="7D1338A0">
      <w:pPr>
        <w:spacing w:line="580" w:lineRule="exact"/>
        <w:ind w:firstLine="640"/>
        <w:jc w:val="both"/>
      </w:pPr>
      <w:r>
        <w:rPr>
          <w:rFonts w:ascii="仿宋_GB2312" w:hAnsi="仿宋_GB2312" w:eastAsia="仿宋_GB2312"/>
          <w:b/>
          <w:sz w:val="32"/>
        </w:rPr>
        <w:t>公用经费34.24万元，</w:t>
      </w:r>
      <w:r>
        <w:rPr>
          <w:rFonts w:ascii="仿宋_GB2312" w:hAnsi="仿宋_GB2312" w:eastAsia="仿宋_GB2312"/>
          <w:b w:val="0"/>
          <w:sz w:val="32"/>
        </w:rPr>
        <w:t>包括：办公费、手续费、水费、电费、取暖费、差旅费、工会经费、福利费、公务用车运行维护费、其他商品和服务支出。</w:t>
      </w:r>
    </w:p>
    <w:p w14:paraId="17473550">
      <w:pPr>
        <w:spacing w:line="640" w:lineRule="exact"/>
        <w:ind w:firstLine="640"/>
        <w:jc w:val="both"/>
        <w:outlineLvl w:val="2"/>
      </w:pPr>
      <w:r>
        <w:rPr>
          <w:rFonts w:ascii="黑体" w:hAnsi="黑体" w:eastAsia="黑体"/>
          <w:sz w:val="32"/>
        </w:rPr>
        <w:t>七、政府性基金预算财政拨款收入支出决算情况说明</w:t>
      </w:r>
    </w:p>
    <w:p w14:paraId="49E5E99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6AFAC0">
      <w:pPr>
        <w:spacing w:line="640" w:lineRule="exact"/>
        <w:ind w:firstLine="640"/>
        <w:jc w:val="both"/>
        <w:outlineLvl w:val="2"/>
      </w:pPr>
      <w:r>
        <w:rPr>
          <w:rFonts w:ascii="黑体" w:hAnsi="黑体" w:eastAsia="黑体"/>
          <w:sz w:val="32"/>
        </w:rPr>
        <w:t>八、国有资本经营预算财政拨款收入支出决算情况说明</w:t>
      </w:r>
    </w:p>
    <w:p w14:paraId="1738DAE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3BA77E">
      <w:pPr>
        <w:spacing w:line="640" w:lineRule="exact"/>
        <w:ind w:firstLine="640"/>
        <w:jc w:val="both"/>
        <w:outlineLvl w:val="2"/>
      </w:pPr>
      <w:r>
        <w:rPr>
          <w:rFonts w:ascii="黑体" w:hAnsi="黑体" w:eastAsia="黑体"/>
          <w:sz w:val="32"/>
        </w:rPr>
        <w:t>九、财政拨款“三公”经费支出决算情况说明</w:t>
      </w:r>
    </w:p>
    <w:p w14:paraId="1373E27D">
      <w:pPr>
        <w:spacing w:line="580" w:lineRule="exact"/>
        <w:ind w:firstLine="640"/>
        <w:jc w:val="both"/>
      </w:pPr>
      <w:r>
        <w:rPr>
          <w:rFonts w:ascii="仿宋_GB2312" w:hAnsi="仿宋_GB2312" w:eastAsia="仿宋_GB2312"/>
          <w:b/>
          <w:sz w:val="32"/>
        </w:rPr>
        <w:t>2024年度财政拨款“三公”经费支出85.50万元，</w:t>
      </w:r>
      <w:r>
        <w:rPr>
          <w:rFonts w:ascii="仿宋_GB2312" w:hAnsi="仿宋_GB2312" w:eastAsia="仿宋_GB2312"/>
          <w:b w:val="0"/>
          <w:sz w:val="32"/>
        </w:rPr>
        <w:t>比上年减少7.00万元，下降7.57%，主要原因是：本年度公车运行次数减少，车辆维修成本减少，导致财政拨款“三公”经费支出减少。其中：因公出国（境）费支出0.00万元，占0.00%，比上年增加0.00万元，增长0.00%，主要原因是：2023年与2024年均未安排因公出国（境）费支出。公务用车购置及运行维护费支出35.50万元，占41.52%，比上年减少7.00万元，下降16.47%，主要原因是：本年度公车运行次数减少，车辆维修成本减少，导致公务用车运行维护费减少。公务接待费支出50.00万元，占58.48%，比上年增加0.00万元，增长0.00%，主要原因是：本年公务接待费与上年一致，无变化。</w:t>
      </w:r>
    </w:p>
    <w:p w14:paraId="1109F6A6">
      <w:pPr>
        <w:spacing w:line="580" w:lineRule="exact"/>
        <w:ind w:firstLine="640"/>
        <w:jc w:val="both"/>
      </w:pPr>
      <w:r>
        <w:rPr>
          <w:rFonts w:ascii="仿宋_GB2312" w:hAnsi="仿宋_GB2312" w:eastAsia="仿宋_GB2312"/>
          <w:b/>
          <w:sz w:val="32"/>
        </w:rPr>
        <w:t>具体情况如下：</w:t>
      </w:r>
    </w:p>
    <w:p w14:paraId="41F33A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43EA5D">
      <w:pPr>
        <w:spacing w:line="580" w:lineRule="exact"/>
        <w:ind w:firstLine="640"/>
        <w:jc w:val="both"/>
      </w:pPr>
      <w:r>
        <w:rPr>
          <w:rFonts w:ascii="仿宋_GB2312" w:hAnsi="仿宋_GB2312" w:eastAsia="仿宋_GB2312"/>
          <w:b w:val="0"/>
          <w:sz w:val="32"/>
        </w:rPr>
        <w:t>公务用车购置及运行维护费35.50万元，其中：公务用车购置费0.00万元，公务用车运行维护费35.50万元。公务用车运行维护费开支内容包括车辆加油费、维修费、保险费、审车费、过路费。公务用车购置数0辆，公务用车保有量9辆。国有资产占用情况中固定资产车辆9辆，与公务用车保有量差异原因是：本单位固定资产车辆与公务用车保有量一致无差异。</w:t>
      </w:r>
    </w:p>
    <w:p w14:paraId="5BE82891">
      <w:pPr>
        <w:spacing w:line="580" w:lineRule="exact"/>
        <w:ind w:firstLine="640"/>
        <w:jc w:val="both"/>
      </w:pPr>
      <w:r>
        <w:rPr>
          <w:rFonts w:ascii="仿宋_GB2312" w:hAnsi="仿宋_GB2312" w:eastAsia="仿宋_GB2312"/>
          <w:b w:val="0"/>
          <w:sz w:val="32"/>
        </w:rPr>
        <w:t>公务接待费50.00万元，开支内容包括公务接待餐费、公务接待服务费、接待人员工资。单位全年安排的国内公务接待1,250批次，3,407人次。</w:t>
      </w:r>
    </w:p>
    <w:p w14:paraId="33EC873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85.50万元，决算数85.50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35.50万元，决算数35.50万元，预决算差异率0.00%，主要原因是：严格按照预算执行，预决算无差异。公务接待费全年预算数50.00万元，决算数50.00万元，预决算差异率0.00%，主要原因是：严格按照预算执行，预决算无差异。</w:t>
      </w:r>
    </w:p>
    <w:p w14:paraId="2CA04A23">
      <w:pPr>
        <w:spacing w:line="640" w:lineRule="exact"/>
        <w:ind w:firstLine="640"/>
        <w:jc w:val="both"/>
        <w:outlineLvl w:val="2"/>
      </w:pPr>
      <w:r>
        <w:rPr>
          <w:rFonts w:ascii="黑体" w:hAnsi="黑体" w:eastAsia="黑体"/>
          <w:sz w:val="32"/>
        </w:rPr>
        <w:t>十、其他重要事项的情况说明</w:t>
      </w:r>
    </w:p>
    <w:p w14:paraId="5C52EECF">
      <w:pPr>
        <w:spacing w:line="640" w:lineRule="exact"/>
        <w:ind w:firstLine="640"/>
        <w:jc w:val="both"/>
        <w:outlineLvl w:val="3"/>
      </w:pPr>
      <w:r>
        <w:rPr>
          <w:rFonts w:ascii="楷体_GB2312" w:hAnsi="楷体_GB2312" w:eastAsia="楷体_GB2312"/>
          <w:b/>
          <w:sz w:val="32"/>
        </w:rPr>
        <w:t>（一）机关运行经费及公用经费支出情况</w:t>
      </w:r>
    </w:p>
    <w:p w14:paraId="2FEA143B">
      <w:pPr>
        <w:spacing w:line="580" w:lineRule="exact"/>
        <w:ind w:firstLine="640"/>
        <w:jc w:val="both"/>
      </w:pPr>
      <w:r>
        <w:rPr>
          <w:rFonts w:ascii="仿宋_GB2312" w:hAnsi="仿宋_GB2312" w:eastAsia="仿宋_GB2312"/>
          <w:b w:val="0"/>
          <w:sz w:val="32"/>
        </w:rPr>
        <w:t>2024年度新疆和田行政公署驻乌鲁木齐办事处（事业单位）公用经费支出34.24万元，比上年减少33.67万元，下降49.58%，主要原因是：本年度劳务派遣人员减少4人，劳务费较上年减少；本年度公</w:t>
      </w:r>
      <w:r>
        <w:rPr>
          <w:rFonts w:hint="eastAsia" w:ascii="仿宋_GB2312" w:hAnsi="仿宋_GB2312" w:eastAsia="仿宋_GB2312"/>
          <w:b w:val="0"/>
          <w:sz w:val="32"/>
          <w:lang w:val="en-US" w:eastAsia="zh-CN"/>
        </w:rPr>
        <w:t>务用</w:t>
      </w:r>
      <w:r>
        <w:rPr>
          <w:rFonts w:ascii="仿宋_GB2312" w:hAnsi="仿宋_GB2312" w:eastAsia="仿宋_GB2312"/>
          <w:b w:val="0"/>
          <w:sz w:val="32"/>
        </w:rPr>
        <w:t>车运行次数减少，车辆维修成本较上年减少。</w:t>
      </w:r>
    </w:p>
    <w:p w14:paraId="3FF5591D">
      <w:pPr>
        <w:spacing w:line="640" w:lineRule="exact"/>
        <w:ind w:firstLine="640"/>
        <w:jc w:val="both"/>
        <w:outlineLvl w:val="3"/>
      </w:pPr>
      <w:r>
        <w:rPr>
          <w:rFonts w:ascii="楷体_GB2312" w:hAnsi="楷体_GB2312" w:eastAsia="楷体_GB2312"/>
          <w:b/>
          <w:sz w:val="32"/>
        </w:rPr>
        <w:t>（二）政府采购情况</w:t>
      </w:r>
    </w:p>
    <w:p w14:paraId="6FE76ABC">
      <w:pPr>
        <w:spacing w:line="580" w:lineRule="exact"/>
        <w:ind w:firstLine="640"/>
        <w:jc w:val="both"/>
      </w:pPr>
      <w:r>
        <w:rPr>
          <w:rFonts w:ascii="仿宋_GB2312" w:hAnsi="仿宋_GB2312" w:eastAsia="仿宋_GB2312"/>
          <w:b w:val="0"/>
          <w:sz w:val="32"/>
        </w:rPr>
        <w:t>2024年度政府采购支出总额18.89万元，其中：政府采购货物支出3.16万元、政府采购工程支出0.00万元、政府采购服务支出15.74万元。</w:t>
      </w:r>
    </w:p>
    <w:p w14:paraId="3480CDF3">
      <w:pPr>
        <w:spacing w:line="580" w:lineRule="exact"/>
        <w:ind w:firstLine="640"/>
        <w:jc w:val="both"/>
      </w:pPr>
      <w:r>
        <w:rPr>
          <w:rFonts w:ascii="仿宋_GB2312" w:hAnsi="仿宋_GB2312" w:eastAsia="仿宋_GB2312"/>
          <w:b w:val="0"/>
          <w:sz w:val="32"/>
        </w:rPr>
        <w:t>授予中小企业合同金额18.89万元，占政府采购支出总额的100.00%，其中：授予小微企业合同金额18.89万元，占政府采购支出总额的100.00%。</w:t>
      </w:r>
    </w:p>
    <w:p w14:paraId="2520C3B6">
      <w:pPr>
        <w:spacing w:line="640" w:lineRule="exact"/>
        <w:ind w:firstLine="640"/>
        <w:jc w:val="both"/>
        <w:outlineLvl w:val="3"/>
      </w:pPr>
      <w:r>
        <w:rPr>
          <w:rFonts w:ascii="楷体_GB2312" w:hAnsi="楷体_GB2312" w:eastAsia="楷体_GB2312"/>
          <w:b/>
          <w:sz w:val="32"/>
        </w:rPr>
        <w:t>（三）国有资产占用情况说明</w:t>
      </w:r>
    </w:p>
    <w:p w14:paraId="7B0AE1E9">
      <w:pPr>
        <w:spacing w:line="580" w:lineRule="exact"/>
        <w:ind w:firstLine="640"/>
        <w:jc w:val="both"/>
      </w:pPr>
      <w:r>
        <w:rPr>
          <w:rFonts w:ascii="仿宋_GB2312" w:hAnsi="仿宋_GB2312" w:eastAsia="仿宋_GB2312"/>
          <w:b w:val="0"/>
          <w:sz w:val="32"/>
        </w:rPr>
        <w:t>截至2024年12月31日，房屋4,709.95平方米，价值1,500.74万元。车辆9辆，价值270.71万元，其中：副部（省）级及以上</w:t>
      </w:r>
      <w:r>
        <w:rPr>
          <w:rFonts w:hint="eastAsia" w:ascii="仿宋_GB2312" w:hAnsi="仿宋_GB2312" w:eastAsia="仿宋_GB2312"/>
          <w:b w:val="0"/>
          <w:sz w:val="32"/>
          <w:lang w:eastAsia="zh-CN"/>
        </w:rPr>
        <w:t>干部</w:t>
      </w:r>
      <w:r>
        <w:rPr>
          <w:rFonts w:ascii="仿宋_GB2312" w:hAnsi="仿宋_GB2312" w:eastAsia="仿宋_GB2312"/>
          <w:b w:val="0"/>
          <w:sz w:val="32"/>
        </w:rPr>
        <w:t>用车0辆、主要负责人用车1辆、机要通信用车0辆、应急保障用车0辆、执法执勤用车0辆、特种专业技术用车0辆、离退休干部服务用车0辆、其他用车8辆，其他用车主要是：一般公务用车。单价100万元（含）以上设备（不含车辆）1台（套）。</w:t>
      </w:r>
    </w:p>
    <w:p w14:paraId="5D8FBBFC">
      <w:pPr>
        <w:spacing w:line="640" w:lineRule="exact"/>
        <w:ind w:firstLine="640"/>
        <w:jc w:val="both"/>
        <w:outlineLvl w:val="2"/>
      </w:pPr>
      <w:r>
        <w:rPr>
          <w:rFonts w:ascii="黑体" w:hAnsi="黑体" w:eastAsia="黑体"/>
          <w:sz w:val="32"/>
        </w:rPr>
        <w:t>十一、预算绩效的情况说明</w:t>
      </w:r>
    </w:p>
    <w:p w14:paraId="2FDF350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578.68万元，实际执行总额570.51万元；预算绩效评价项目2个，全年预算数127.51万元，全年执行数127.51万元。预算绩效管理取得的成效：一是政务接待圆满高效。今</w:t>
      </w:r>
      <w:r>
        <w:rPr>
          <w:rFonts w:hint="eastAsia" w:ascii="仿宋_GB2312" w:hAnsi="仿宋_GB2312" w:eastAsia="仿宋_GB2312"/>
          <w:b w:val="0"/>
          <w:sz w:val="32"/>
          <w:lang w:eastAsia="zh-CN"/>
        </w:rPr>
        <w:t>年以</w:t>
      </w:r>
      <w:r>
        <w:rPr>
          <w:rFonts w:ascii="仿宋_GB2312" w:hAnsi="仿宋_GB2312" w:eastAsia="仿宋_GB2312"/>
          <w:b w:val="0"/>
          <w:sz w:val="32"/>
        </w:rPr>
        <w:t>来，圆满完成了地委、</w:t>
      </w:r>
      <w:r>
        <w:rPr>
          <w:rFonts w:hint="eastAsia" w:ascii="仿宋_GB2312" w:hAnsi="仿宋_GB2312" w:eastAsia="仿宋_GB2312"/>
          <w:b w:val="0"/>
          <w:sz w:val="32"/>
          <w:lang w:eastAsia="zh-CN"/>
        </w:rPr>
        <w:t>行署</w:t>
      </w:r>
      <w:r>
        <w:rPr>
          <w:rFonts w:ascii="仿宋_GB2312" w:hAnsi="仿宋_GB2312" w:eastAsia="仿宋_GB2312"/>
          <w:b w:val="0"/>
          <w:sz w:val="32"/>
        </w:rPr>
        <w:t>交办的各项工作任务。保障了</w:t>
      </w:r>
      <w:r>
        <w:rPr>
          <w:rFonts w:hint="eastAsia" w:ascii="仿宋_GB2312" w:hAnsi="仿宋_GB2312" w:eastAsia="仿宋_GB2312"/>
          <w:b w:val="0"/>
          <w:sz w:val="32"/>
          <w:lang w:eastAsia="zh-CN"/>
        </w:rPr>
        <w:t>接待工作</w:t>
      </w:r>
      <w:r>
        <w:rPr>
          <w:rFonts w:ascii="仿宋_GB2312" w:hAnsi="仿宋_GB2312" w:eastAsia="仿宋_GB2312"/>
          <w:b w:val="0"/>
          <w:sz w:val="32"/>
        </w:rPr>
        <w:t>、北京、天津、安徽援和</w:t>
      </w:r>
      <w:r>
        <w:rPr>
          <w:rFonts w:hint="eastAsia" w:ascii="仿宋_GB2312" w:hAnsi="仿宋_GB2312" w:eastAsia="仿宋_GB2312"/>
          <w:b w:val="0"/>
          <w:sz w:val="32"/>
          <w:lang w:eastAsia="zh-CN"/>
        </w:rPr>
        <w:t>干部</w:t>
      </w:r>
      <w:r>
        <w:rPr>
          <w:rFonts w:ascii="仿宋_GB2312" w:hAnsi="仿宋_GB2312" w:eastAsia="仿宋_GB2312"/>
          <w:b w:val="0"/>
          <w:sz w:val="32"/>
        </w:rPr>
        <w:t>在乌鲁木齐期间公务出行及</w:t>
      </w:r>
      <w:r>
        <w:rPr>
          <w:rFonts w:hint="eastAsia" w:ascii="仿宋_GB2312" w:hAnsi="仿宋_GB2312" w:eastAsia="仿宋_GB2312"/>
          <w:b w:val="0"/>
          <w:sz w:val="32"/>
          <w:lang w:eastAsia="zh-CN"/>
        </w:rPr>
        <w:t>干部</w:t>
      </w:r>
      <w:r>
        <w:rPr>
          <w:rFonts w:ascii="仿宋_GB2312" w:hAnsi="仿宋_GB2312" w:eastAsia="仿宋_GB2312"/>
          <w:b w:val="0"/>
          <w:sz w:val="32"/>
        </w:rPr>
        <w:t>在乌中转的接待服务工作，完成了副厅级以上干部来乌就医的接待保障工作。二是妥善做好接待工作。对在自治区党委、政府、信访接待中心</w:t>
      </w:r>
      <w:r>
        <w:rPr>
          <w:rFonts w:hint="eastAsia" w:ascii="仿宋_GB2312" w:hAnsi="仿宋_GB2312" w:eastAsia="仿宋_GB2312"/>
          <w:b w:val="0"/>
          <w:sz w:val="32"/>
          <w:lang w:eastAsia="zh-CN"/>
        </w:rPr>
        <w:t>涉及来访</w:t>
      </w:r>
      <w:r>
        <w:rPr>
          <w:rFonts w:ascii="仿宋_GB2312" w:hAnsi="仿宋_GB2312" w:eastAsia="仿宋_GB2312"/>
          <w:b w:val="0"/>
          <w:sz w:val="32"/>
        </w:rPr>
        <w:t>事件的处置上，一把手带头和负责信访工作的干部，及时赶赴现场、了解情况、维护秩序、稳定</w:t>
      </w:r>
      <w:r>
        <w:rPr>
          <w:rFonts w:hint="eastAsia" w:ascii="仿宋_GB2312" w:hAnsi="仿宋_GB2312" w:eastAsia="仿宋_GB2312"/>
          <w:b w:val="0"/>
          <w:sz w:val="32"/>
          <w:lang w:eastAsia="zh-CN"/>
        </w:rPr>
        <w:t>来访</w:t>
      </w:r>
      <w:r>
        <w:rPr>
          <w:rFonts w:ascii="仿宋_GB2312" w:hAnsi="仿宋_GB2312" w:eastAsia="仿宋_GB2312"/>
          <w:b w:val="0"/>
          <w:sz w:val="32"/>
        </w:rPr>
        <w:t>人员情绪，积极与自治区相关部门协商沟通，虚心接受工作指导，与地区</w:t>
      </w:r>
      <w:r>
        <w:rPr>
          <w:rFonts w:hint="eastAsia" w:ascii="仿宋_GB2312" w:hAnsi="仿宋_GB2312" w:eastAsia="仿宋_GB2312"/>
          <w:b w:val="0"/>
          <w:sz w:val="32"/>
          <w:lang w:eastAsia="zh-CN"/>
        </w:rPr>
        <w:t>干部</w:t>
      </w:r>
      <w:r>
        <w:rPr>
          <w:rFonts w:ascii="仿宋_GB2312" w:hAnsi="仿宋_GB2312" w:eastAsia="仿宋_GB2312"/>
          <w:b w:val="0"/>
          <w:sz w:val="32"/>
        </w:rPr>
        <w:t>及相关部门联系，克服困难，为双方提供休息场所，安排用餐和返程车辆。配合做好信访工作。三是公务用车管理情况。办事处配备公务用车均为日常公务使用，所有公务车辆均</w:t>
      </w:r>
      <w:r>
        <w:rPr>
          <w:rFonts w:hint="eastAsia" w:ascii="仿宋_GB2312" w:hAnsi="仿宋_GB2312" w:eastAsia="仿宋_GB2312"/>
          <w:b w:val="0"/>
          <w:sz w:val="32"/>
          <w:lang w:eastAsia="zh-CN"/>
        </w:rPr>
        <w:t>由</w:t>
      </w:r>
      <w:r>
        <w:rPr>
          <w:rFonts w:ascii="仿宋_GB2312" w:hAnsi="仿宋_GB2312" w:eastAsia="仿宋_GB2312"/>
          <w:b w:val="0"/>
          <w:sz w:val="32"/>
        </w:rPr>
        <w:t>办事处统一调度，强化公车使用责任意识，加强公务用车使用管理，规范</w:t>
      </w:r>
      <w:r>
        <w:rPr>
          <w:rFonts w:hint="eastAsia" w:ascii="仿宋_GB2312" w:hAnsi="仿宋_GB2312" w:eastAsia="仿宋_GB2312"/>
          <w:b w:val="0"/>
          <w:sz w:val="32"/>
          <w:lang w:eastAsia="zh-CN"/>
        </w:rPr>
        <w:t>干部</w:t>
      </w:r>
      <w:r>
        <w:rPr>
          <w:rFonts w:ascii="仿宋_GB2312" w:hAnsi="仿宋_GB2312" w:eastAsia="仿宋_GB2312"/>
          <w:b w:val="0"/>
          <w:sz w:val="32"/>
        </w:rPr>
        <w:t>干部用车行为。发现的问题及原因：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改进措施加大绩效工作宣传力度，强化绩效理念。完善绩效指标，提高整体绩效目标质量。提升预算精细化管理水平。加大预算绩效管理的学习，吸取成功单位的绩效管理经验，从申报项目的规范要求到过程管理直至最后项目的绩效评价，形成整套的系统流程。加强对专项资金的检查力度。成立专项资金检查小组，定期抽查各项目资金的使用情况；重大项目要求必须选取第三方对项目资金使用进行审核。加强项目实施进度督查。加速推进项目建设，对目前项目实施没有达到预定进度、资金管理、档案管理欠佳的项目，予以重点督查。继续完善预算绩效管理相关工作制度，建立全过程预算绩效管理链条，有效贯彻落实全面实施绩效管理的精神。具体附整体支出绩效自评表，项目支出绩效自评表和评价报告。</w:t>
      </w:r>
    </w:p>
    <w:p w14:paraId="6FA08524">
      <w:r>
        <w:br w:type="page"/>
      </w:r>
    </w:p>
    <w:tbl>
      <w:tblPr>
        <w:tblStyle w:val="9"/>
        <w:tblW w:w="0" w:type="auto"/>
        <w:tblInd w:w="0" w:type="dxa"/>
        <w:tblLayout w:type="autofit"/>
        <w:tblCellMar>
          <w:top w:w="0" w:type="dxa"/>
          <w:left w:w="108" w:type="dxa"/>
          <w:bottom w:w="0" w:type="dxa"/>
          <w:right w:w="108" w:type="dxa"/>
        </w:tblCellMar>
      </w:tblPr>
      <w:tblGrid>
        <w:gridCol w:w="984"/>
        <w:gridCol w:w="984"/>
        <w:gridCol w:w="984"/>
        <w:gridCol w:w="984"/>
        <w:gridCol w:w="984"/>
        <w:gridCol w:w="984"/>
        <w:gridCol w:w="984"/>
        <w:gridCol w:w="984"/>
        <w:gridCol w:w="988"/>
      </w:tblGrid>
      <w:tr w14:paraId="56AF5F56">
        <w:tblPrEx>
          <w:tblCellMar>
            <w:top w:w="0" w:type="dxa"/>
            <w:left w:w="108" w:type="dxa"/>
            <w:bottom w:w="0" w:type="dxa"/>
            <w:right w:w="108" w:type="dxa"/>
          </w:tblCellMar>
        </w:tblPrEx>
        <w:trPr>
          <w:trHeight w:val="330" w:hRule="atLeast"/>
        </w:trPr>
        <w:tc>
          <w:tcPr>
            <w:tcW w:w="8860" w:type="dxa"/>
            <w:gridSpan w:val="9"/>
            <w:vAlign w:val="center"/>
          </w:tcPr>
          <w:p w14:paraId="3C375832">
            <w:pPr>
              <w:jc w:val="center"/>
            </w:pPr>
            <w:r>
              <w:rPr>
                <w:rFonts w:ascii="宋体" w:hAnsi="宋体" w:eastAsia="宋体"/>
                <w:sz w:val="24"/>
              </w:rPr>
              <w:t>单位整体支出绩效自评表</w:t>
            </w:r>
          </w:p>
        </w:tc>
      </w:tr>
      <w:tr w14:paraId="3B096665">
        <w:tblPrEx>
          <w:tblCellMar>
            <w:top w:w="0" w:type="dxa"/>
            <w:left w:w="108" w:type="dxa"/>
            <w:bottom w:w="0" w:type="dxa"/>
            <w:right w:w="108" w:type="dxa"/>
          </w:tblCellMar>
        </w:tblPrEx>
        <w:trPr>
          <w:trHeight w:val="330" w:hRule="atLeast"/>
        </w:trPr>
        <w:tc>
          <w:tcPr>
            <w:tcW w:w="8860" w:type="dxa"/>
            <w:gridSpan w:val="9"/>
            <w:vAlign w:val="center"/>
          </w:tcPr>
          <w:p w14:paraId="47CB4CE6">
            <w:pPr>
              <w:jc w:val="center"/>
            </w:pPr>
            <w:r>
              <w:rPr>
                <w:rFonts w:ascii="宋体" w:hAnsi="宋体" w:eastAsia="宋体"/>
                <w:sz w:val="24"/>
              </w:rPr>
              <w:t>（2024年度）</w:t>
            </w:r>
          </w:p>
        </w:tc>
      </w:tr>
      <w:tr w14:paraId="5024EBE7">
        <w:tblPrEx>
          <w:tblCellMar>
            <w:top w:w="0" w:type="dxa"/>
            <w:left w:w="108" w:type="dxa"/>
            <w:bottom w:w="0" w:type="dxa"/>
            <w:right w:w="108" w:type="dxa"/>
          </w:tblCellMar>
        </w:tblPrEx>
        <w:trPr>
          <w:trHeight w:val="356"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C2D16C2">
            <w:pPr>
              <w:jc w:val="center"/>
            </w:pPr>
            <w:r>
              <w:rPr>
                <w:rFonts w:ascii="宋体" w:hAnsi="宋体" w:eastAsia="宋体"/>
                <w:sz w:val="16"/>
              </w:rPr>
              <w:t>单位名称</w:t>
            </w:r>
          </w:p>
        </w:tc>
        <w:tc>
          <w:tcPr>
            <w:tcW w:w="787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C283939">
            <w:pPr>
              <w:jc w:val="center"/>
            </w:pPr>
            <w:r>
              <w:rPr>
                <w:rFonts w:ascii="宋体" w:hAnsi="宋体" w:eastAsia="宋体"/>
                <w:sz w:val="16"/>
              </w:rPr>
              <w:t>新疆和田行政公署驻乌鲁木齐办事处</w:t>
            </w:r>
          </w:p>
        </w:tc>
      </w:tr>
      <w:tr w14:paraId="75EE2761">
        <w:tblPrEx>
          <w:tblCellMar>
            <w:top w:w="0" w:type="dxa"/>
            <w:left w:w="108" w:type="dxa"/>
            <w:bottom w:w="0" w:type="dxa"/>
            <w:right w:w="108" w:type="dxa"/>
          </w:tblCellMar>
        </w:tblPrEx>
        <w:trPr>
          <w:trHeight w:val="687"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660A8">
            <w:pPr>
              <w:jc w:val="center"/>
            </w:pPr>
            <w:r>
              <w:rPr>
                <w:rFonts w:ascii="宋体" w:hAnsi="宋体" w:eastAsia="宋体"/>
                <w:sz w:val="16"/>
              </w:rPr>
              <w:t>部门资金（万元）</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5B2F258">
            <w:pPr>
              <w:jc w:val="center"/>
            </w:pPr>
            <w:r>
              <w:rPr>
                <w:rFonts w:ascii="宋体" w:hAnsi="宋体" w:eastAsia="宋体"/>
                <w:sz w:val="16"/>
              </w:rPr>
              <w:t>资金来源</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40BDE48">
            <w:pPr>
              <w:jc w:val="center"/>
            </w:pPr>
            <w:r>
              <w:rPr>
                <w:rFonts w:ascii="宋体" w:hAnsi="宋体" w:eastAsia="宋体"/>
                <w:sz w:val="16"/>
              </w:rPr>
              <w:t>年初预算数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1B16137">
            <w:pPr>
              <w:jc w:val="center"/>
            </w:pPr>
            <w:r>
              <w:rPr>
                <w:rFonts w:ascii="宋体" w:hAnsi="宋体" w:eastAsia="宋体"/>
                <w:sz w:val="16"/>
              </w:rPr>
              <w:t>预算数（调整后）</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41DF6B2">
            <w:pPr>
              <w:jc w:val="center"/>
            </w:pPr>
            <w:r>
              <w:rPr>
                <w:rFonts w:ascii="宋体" w:hAnsi="宋体" w:eastAsia="宋体"/>
                <w:sz w:val="16"/>
              </w:rPr>
              <w:t>执行数</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7BF3970">
            <w:pPr>
              <w:jc w:val="center"/>
            </w:pPr>
            <w:r>
              <w:rPr>
                <w:rFonts w:ascii="宋体" w:hAnsi="宋体" w:eastAsia="宋体"/>
                <w:sz w:val="16"/>
              </w:rPr>
              <w:t>分值权重</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9E75E9C">
            <w:pPr>
              <w:jc w:val="center"/>
            </w:pPr>
            <w:r>
              <w:rPr>
                <w:rFonts w:ascii="宋体" w:hAnsi="宋体" w:eastAsia="宋体"/>
                <w:sz w:val="16"/>
              </w:rPr>
              <w:t>执行率</w:t>
            </w:r>
          </w:p>
        </w:tc>
        <w:tc>
          <w:tcPr>
            <w:tcW w:w="19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8CD53">
            <w:pPr>
              <w:jc w:val="center"/>
            </w:pPr>
            <w:r>
              <w:rPr>
                <w:rFonts w:ascii="宋体" w:hAnsi="宋体" w:eastAsia="宋体"/>
                <w:sz w:val="16"/>
              </w:rPr>
              <w:t>得分</w:t>
            </w:r>
          </w:p>
        </w:tc>
      </w:tr>
      <w:tr w14:paraId="7D417431">
        <w:tblPrEx>
          <w:tblCellMar>
            <w:top w:w="0" w:type="dxa"/>
            <w:left w:w="108" w:type="dxa"/>
            <w:bottom w:w="0" w:type="dxa"/>
            <w:right w:w="108" w:type="dxa"/>
          </w:tblCellMar>
        </w:tblPrEx>
        <w:trPr>
          <w:trHeight w:val="687"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E7E97C5"/>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12619A0">
            <w:pPr>
              <w:jc w:val="center"/>
            </w:pPr>
            <w:r>
              <w:rPr>
                <w:rFonts w:ascii="宋体" w:hAnsi="宋体" w:eastAsia="宋体"/>
                <w:sz w:val="16"/>
              </w:rPr>
              <w:t>年度总资金：</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F511B83">
            <w:pPr>
              <w:jc w:val="center"/>
            </w:pPr>
            <w:r>
              <w:rPr>
                <w:rFonts w:ascii="宋体" w:hAnsi="宋体" w:eastAsia="宋体"/>
                <w:sz w:val="16"/>
              </w:rPr>
              <w:t>434.44</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98102C6">
            <w:pPr>
              <w:jc w:val="center"/>
            </w:pPr>
            <w:r>
              <w:rPr>
                <w:rFonts w:ascii="宋体" w:hAnsi="宋体" w:eastAsia="宋体"/>
                <w:sz w:val="16"/>
              </w:rPr>
              <w:t>578.68</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BAEDCBA">
            <w:pPr>
              <w:jc w:val="center"/>
            </w:pPr>
            <w:r>
              <w:rPr>
                <w:rFonts w:ascii="宋体" w:hAnsi="宋体" w:eastAsia="宋体"/>
                <w:sz w:val="16"/>
              </w:rPr>
              <w:t>570.51</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3B3452E">
            <w:pPr>
              <w:jc w:val="center"/>
            </w:pPr>
            <w:r>
              <w:rPr>
                <w:rFonts w:ascii="宋体" w:hAnsi="宋体" w:eastAsia="宋体"/>
                <w:sz w:val="16"/>
              </w:rPr>
              <w:t>10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89C0B97">
            <w:pPr>
              <w:jc w:val="center"/>
            </w:pPr>
            <w:r>
              <w:rPr>
                <w:rFonts w:ascii="宋体" w:hAnsi="宋体" w:eastAsia="宋体"/>
                <w:sz w:val="16"/>
              </w:rPr>
              <w:t>98.59%</w:t>
            </w:r>
          </w:p>
        </w:tc>
        <w:tc>
          <w:tcPr>
            <w:tcW w:w="19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DF277">
            <w:pPr>
              <w:jc w:val="center"/>
            </w:pPr>
            <w:r>
              <w:rPr>
                <w:rFonts w:ascii="宋体" w:hAnsi="宋体" w:eastAsia="宋体"/>
                <w:sz w:val="16"/>
              </w:rPr>
              <w:t>9.86</w:t>
            </w:r>
          </w:p>
        </w:tc>
      </w:tr>
      <w:tr w14:paraId="797D5550">
        <w:tblPrEx>
          <w:tblCellMar>
            <w:top w:w="0" w:type="dxa"/>
            <w:left w:w="108" w:type="dxa"/>
            <w:bottom w:w="0" w:type="dxa"/>
            <w:right w:w="108" w:type="dxa"/>
          </w:tblCellMar>
        </w:tblPrEx>
        <w:trPr>
          <w:trHeight w:val="356"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531AEAF"/>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6D5325D">
            <w:pPr>
              <w:jc w:val="center"/>
            </w:pPr>
            <w:r>
              <w:rPr>
                <w:rFonts w:ascii="宋体" w:hAnsi="宋体" w:eastAsia="宋体"/>
                <w:sz w:val="16"/>
              </w:rPr>
              <w:t>上级资金：</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9934CB3">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7AEFA5B">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268E56A">
            <w:pPr>
              <w:jc w:val="center"/>
            </w:pPr>
            <w:r>
              <w:rPr>
                <w:rFonts w:ascii="宋体" w:hAnsi="宋体" w:eastAsia="宋体"/>
                <w:sz w:val="16"/>
              </w:rPr>
              <w:t>0.00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E65639F">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C759980">
            <w:pPr>
              <w:jc w:val="center"/>
            </w:pPr>
            <w:r>
              <w:rPr>
                <w:rFonts w:ascii="宋体" w:hAnsi="宋体" w:eastAsia="宋体"/>
                <w:sz w:val="16"/>
              </w:rPr>
              <w:t>—</w:t>
            </w:r>
          </w:p>
        </w:tc>
        <w:tc>
          <w:tcPr>
            <w:tcW w:w="19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4B476">
            <w:pPr>
              <w:jc w:val="center"/>
            </w:pPr>
            <w:r>
              <w:rPr>
                <w:rFonts w:ascii="宋体" w:hAnsi="宋体" w:eastAsia="宋体"/>
                <w:sz w:val="16"/>
              </w:rPr>
              <w:t>—</w:t>
            </w:r>
          </w:p>
        </w:tc>
      </w:tr>
      <w:tr w14:paraId="594333EF">
        <w:tblPrEx>
          <w:tblCellMar>
            <w:top w:w="0" w:type="dxa"/>
            <w:left w:w="108" w:type="dxa"/>
            <w:bottom w:w="0" w:type="dxa"/>
            <w:right w:w="108" w:type="dxa"/>
          </w:tblCellMar>
        </w:tblPrEx>
        <w:trPr>
          <w:trHeight w:val="356"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0D8BB433"/>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9AEF7F2">
            <w:pPr>
              <w:jc w:val="center"/>
            </w:pPr>
            <w:r>
              <w:rPr>
                <w:rFonts w:ascii="宋体" w:hAnsi="宋体" w:eastAsia="宋体"/>
                <w:sz w:val="16"/>
              </w:rPr>
              <w:t>本级资金：</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549A507">
            <w:pPr>
              <w:jc w:val="center"/>
            </w:pPr>
            <w:r>
              <w:rPr>
                <w:rFonts w:ascii="宋体" w:hAnsi="宋体" w:eastAsia="宋体"/>
                <w:sz w:val="16"/>
              </w:rPr>
              <w:t>372.44</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2C6A3DA">
            <w:pPr>
              <w:jc w:val="center"/>
            </w:pPr>
            <w:r>
              <w:rPr>
                <w:rFonts w:ascii="宋体" w:hAnsi="宋体" w:eastAsia="宋体"/>
                <w:sz w:val="16"/>
              </w:rPr>
              <w:t>457.83</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E11EBCC">
            <w:pPr>
              <w:jc w:val="center"/>
            </w:pPr>
            <w:r>
              <w:rPr>
                <w:rFonts w:ascii="宋体" w:hAnsi="宋体" w:eastAsia="宋体"/>
                <w:sz w:val="16"/>
              </w:rPr>
              <w:t>449.66</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9EFD232">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78C4C9A">
            <w:pPr>
              <w:jc w:val="center"/>
            </w:pPr>
            <w:r>
              <w:rPr>
                <w:rFonts w:ascii="宋体" w:hAnsi="宋体" w:eastAsia="宋体"/>
                <w:sz w:val="16"/>
              </w:rPr>
              <w:t>—</w:t>
            </w:r>
          </w:p>
        </w:tc>
        <w:tc>
          <w:tcPr>
            <w:tcW w:w="19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BCC13">
            <w:pPr>
              <w:jc w:val="center"/>
            </w:pPr>
            <w:r>
              <w:rPr>
                <w:rFonts w:ascii="宋体" w:hAnsi="宋体" w:eastAsia="宋体"/>
                <w:sz w:val="16"/>
              </w:rPr>
              <w:t>—</w:t>
            </w:r>
          </w:p>
        </w:tc>
      </w:tr>
      <w:tr w14:paraId="0D94FC4A">
        <w:tblPrEx>
          <w:tblCellMar>
            <w:top w:w="0" w:type="dxa"/>
            <w:left w:w="108" w:type="dxa"/>
            <w:bottom w:w="0" w:type="dxa"/>
            <w:right w:w="108" w:type="dxa"/>
          </w:tblCellMar>
        </w:tblPrEx>
        <w:trPr>
          <w:trHeight w:val="356"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CA445F6"/>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C2CFBA6">
            <w:pPr>
              <w:jc w:val="center"/>
            </w:pPr>
            <w:r>
              <w:rPr>
                <w:rFonts w:ascii="宋体" w:hAnsi="宋体" w:eastAsia="宋体"/>
                <w:sz w:val="16"/>
              </w:rPr>
              <w:t>其他资金：</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3FDA7BD">
            <w:pPr>
              <w:jc w:val="center"/>
            </w:pPr>
            <w:r>
              <w:rPr>
                <w:rFonts w:ascii="宋体" w:hAnsi="宋体" w:eastAsia="宋体"/>
                <w:sz w:val="16"/>
              </w:rPr>
              <w:t>62.00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DC83017">
            <w:pPr>
              <w:jc w:val="center"/>
            </w:pPr>
            <w:r>
              <w:rPr>
                <w:rFonts w:ascii="宋体" w:hAnsi="宋体" w:eastAsia="宋体"/>
                <w:sz w:val="16"/>
              </w:rPr>
              <w:t>120.85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9342748">
            <w:pPr>
              <w:jc w:val="center"/>
            </w:pPr>
            <w:r>
              <w:rPr>
                <w:rFonts w:ascii="宋体" w:hAnsi="宋体" w:eastAsia="宋体"/>
                <w:sz w:val="16"/>
              </w:rPr>
              <w:t>120.85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0317898">
            <w:pPr>
              <w:jc w:val="center"/>
            </w:pPr>
            <w:r>
              <w:rPr>
                <w:rFonts w:ascii="宋体" w:hAnsi="宋体" w:eastAsia="宋体"/>
                <w:sz w:val="16"/>
              </w:rPr>
              <w:t>—</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51F7ABC">
            <w:pPr>
              <w:jc w:val="center"/>
            </w:pPr>
            <w:r>
              <w:rPr>
                <w:rFonts w:ascii="宋体" w:hAnsi="宋体" w:eastAsia="宋体"/>
                <w:sz w:val="16"/>
              </w:rPr>
              <w:t>—</w:t>
            </w:r>
          </w:p>
        </w:tc>
        <w:tc>
          <w:tcPr>
            <w:tcW w:w="19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380E9">
            <w:pPr>
              <w:jc w:val="center"/>
            </w:pPr>
            <w:r>
              <w:rPr>
                <w:rFonts w:ascii="宋体" w:hAnsi="宋体" w:eastAsia="宋体"/>
                <w:sz w:val="16"/>
              </w:rPr>
              <w:t>—</w:t>
            </w:r>
          </w:p>
        </w:tc>
      </w:tr>
      <w:tr w14:paraId="3AE88D2D">
        <w:tblPrEx>
          <w:tblCellMar>
            <w:top w:w="0" w:type="dxa"/>
            <w:left w:w="108" w:type="dxa"/>
            <w:bottom w:w="0" w:type="dxa"/>
            <w:right w:w="108" w:type="dxa"/>
          </w:tblCellMar>
        </w:tblPrEx>
        <w:trPr>
          <w:trHeight w:val="356"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D5B53">
            <w:pPr>
              <w:jc w:val="center"/>
            </w:pPr>
            <w:r>
              <w:rPr>
                <w:rFonts w:ascii="宋体" w:hAnsi="宋体" w:eastAsia="宋体"/>
                <w:sz w:val="16"/>
              </w:rPr>
              <w:t>年度总体目标</w:t>
            </w:r>
          </w:p>
        </w:tc>
        <w:tc>
          <w:tcPr>
            <w:tcW w:w="29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81C640">
            <w:pPr>
              <w:jc w:val="center"/>
            </w:pPr>
            <w:r>
              <w:rPr>
                <w:rFonts w:ascii="宋体" w:hAnsi="宋体" w:eastAsia="宋体"/>
                <w:sz w:val="16"/>
              </w:rPr>
              <w:t>预期目标</w:t>
            </w:r>
          </w:p>
        </w:tc>
        <w:tc>
          <w:tcPr>
            <w:tcW w:w="49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AD29F">
            <w:pPr>
              <w:jc w:val="center"/>
            </w:pPr>
            <w:r>
              <w:rPr>
                <w:rFonts w:ascii="宋体" w:hAnsi="宋体" w:eastAsia="宋体"/>
                <w:sz w:val="16"/>
              </w:rPr>
              <w:t>实际完成目标</w:t>
            </w:r>
          </w:p>
        </w:tc>
      </w:tr>
      <w:tr w14:paraId="63729F2B">
        <w:tblPrEx>
          <w:tblCellMar>
            <w:top w:w="0" w:type="dxa"/>
            <w:left w:w="108" w:type="dxa"/>
            <w:bottom w:w="0" w:type="dxa"/>
            <w:right w:w="108" w:type="dxa"/>
          </w:tblCellMar>
        </w:tblPrEx>
        <w:trPr>
          <w:trHeight w:val="1881"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A02D4BE"/>
        </w:tc>
        <w:tc>
          <w:tcPr>
            <w:tcW w:w="29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C1B3F9">
            <w:pPr>
              <w:jc w:val="both"/>
            </w:pPr>
            <w:r>
              <w:rPr>
                <w:rFonts w:ascii="宋体" w:hAnsi="宋体" w:eastAsia="宋体"/>
                <w:sz w:val="16"/>
              </w:rPr>
              <w:t>1、保障我单位8辆公务用车正常使用。</w:t>
            </w:r>
            <w:r>
              <w:rPr>
                <w:rFonts w:ascii="宋体" w:hAnsi="宋体" w:eastAsia="宋体"/>
                <w:sz w:val="16"/>
              </w:rPr>
              <w:br w:type="textWrapping"/>
            </w:r>
            <w:r>
              <w:rPr>
                <w:rFonts w:ascii="宋体" w:hAnsi="宋体" w:eastAsia="宋体"/>
                <w:sz w:val="16"/>
              </w:rPr>
              <w:t>2、同时做好</w:t>
            </w:r>
            <w:r>
              <w:rPr>
                <w:rFonts w:hint="eastAsia" w:ascii="宋体" w:hAnsi="宋体"/>
                <w:sz w:val="16"/>
                <w:lang w:eastAsia="zh-CN"/>
              </w:rPr>
              <w:t>干部</w:t>
            </w:r>
            <w:r>
              <w:rPr>
                <w:rFonts w:ascii="宋体" w:hAnsi="宋体" w:eastAsia="宋体"/>
                <w:sz w:val="16"/>
              </w:rPr>
              <w:t>在乌市的接待保障工作，做好援和及各省市在乌市的接待工作，</w:t>
            </w:r>
            <w:r>
              <w:rPr>
                <w:rFonts w:hint="eastAsia" w:ascii="宋体" w:hAnsi="宋体"/>
                <w:sz w:val="16"/>
                <w:lang w:eastAsia="zh-CN"/>
              </w:rPr>
              <w:t>以及</w:t>
            </w:r>
            <w:r>
              <w:rPr>
                <w:rFonts w:ascii="宋体" w:hAnsi="宋体" w:eastAsia="宋体"/>
                <w:sz w:val="16"/>
              </w:rPr>
              <w:t>来乌市就医期间的接待工作</w:t>
            </w:r>
          </w:p>
        </w:tc>
        <w:tc>
          <w:tcPr>
            <w:tcW w:w="49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1DB235">
            <w:pPr>
              <w:jc w:val="both"/>
            </w:pPr>
            <w:r>
              <w:rPr>
                <w:rFonts w:hint="eastAsia" w:ascii="宋体" w:hAnsi="宋体"/>
                <w:sz w:val="16"/>
                <w:lang w:eastAsia="zh-CN"/>
              </w:rPr>
              <w:t>截至2024</w:t>
            </w:r>
            <w:r>
              <w:rPr>
                <w:rFonts w:ascii="宋体" w:hAnsi="宋体" w:eastAsia="宋体"/>
                <w:sz w:val="16"/>
              </w:rPr>
              <w:t>年12月31日，本单位实际完成保障我单位8辆公务用车正常使用，采购客房商务用品4次，接待和田来乌出差、开会人数3000人，车辆维修次数12次，慰问老干部次数6次，实际形成支出570.51万元，通过完成以上工作，实现了接待保障工作。</w:t>
            </w:r>
          </w:p>
        </w:tc>
      </w:tr>
      <w:tr w14:paraId="4CE8E043">
        <w:tblPrEx>
          <w:tblCellMar>
            <w:top w:w="0" w:type="dxa"/>
            <w:left w:w="108" w:type="dxa"/>
            <w:bottom w:w="0" w:type="dxa"/>
            <w:right w:w="108" w:type="dxa"/>
          </w:tblCellMar>
        </w:tblPrEx>
        <w:trPr>
          <w:trHeight w:val="687"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1140174">
            <w:pPr>
              <w:jc w:val="center"/>
            </w:pPr>
            <w:r>
              <w:rPr>
                <w:rFonts w:ascii="宋体" w:hAnsi="宋体" w:eastAsia="宋体"/>
                <w:sz w:val="16"/>
              </w:rPr>
              <w:t>一级指标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812AD96">
            <w:pPr>
              <w:jc w:val="center"/>
            </w:pPr>
            <w:r>
              <w:rPr>
                <w:rFonts w:ascii="宋体" w:hAnsi="宋体" w:eastAsia="宋体"/>
                <w:sz w:val="16"/>
              </w:rPr>
              <w:t>二级指标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AA78748">
            <w:pPr>
              <w:jc w:val="center"/>
            </w:pPr>
            <w:r>
              <w:rPr>
                <w:rFonts w:ascii="宋体" w:hAnsi="宋体" w:eastAsia="宋体"/>
                <w:sz w:val="16"/>
              </w:rPr>
              <w:t>三级指标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8E22936">
            <w:pPr>
              <w:jc w:val="center"/>
            </w:pPr>
            <w:r>
              <w:rPr>
                <w:rFonts w:ascii="宋体" w:hAnsi="宋体" w:eastAsia="宋体"/>
                <w:sz w:val="16"/>
              </w:rPr>
              <w:t>指标值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7A6BAF7">
            <w:pPr>
              <w:jc w:val="center"/>
            </w:pPr>
            <w:r>
              <w:rPr>
                <w:rFonts w:ascii="宋体" w:hAnsi="宋体" w:eastAsia="宋体"/>
                <w:sz w:val="16"/>
              </w:rPr>
              <w:t>指标值设定依据</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71C9C96">
            <w:pPr>
              <w:jc w:val="center"/>
            </w:pPr>
            <w:r>
              <w:rPr>
                <w:rFonts w:ascii="宋体" w:hAnsi="宋体" w:eastAsia="宋体"/>
                <w:sz w:val="16"/>
              </w:rPr>
              <w:t>分值权重</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1020C13">
            <w:pPr>
              <w:jc w:val="center"/>
            </w:pPr>
            <w:r>
              <w:rPr>
                <w:rFonts w:ascii="宋体" w:hAnsi="宋体" w:eastAsia="宋体"/>
                <w:sz w:val="16"/>
              </w:rPr>
              <w:t>实际完成值</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B4B1F2B">
            <w:pPr>
              <w:jc w:val="center"/>
            </w:pPr>
            <w:r>
              <w:rPr>
                <w:rFonts w:ascii="宋体" w:hAnsi="宋体" w:eastAsia="宋体"/>
                <w:sz w:val="16"/>
              </w:rPr>
              <w:t>完成率</w:t>
            </w:r>
          </w:p>
        </w:tc>
        <w:tc>
          <w:tcPr>
            <w:tcW w:w="988" w:type="dxa"/>
            <w:tcBorders>
              <w:top w:val="single" w:color="auto" w:sz="10" w:space="0"/>
              <w:left w:val="single" w:color="auto" w:sz="10" w:space="0"/>
              <w:bottom w:val="single" w:color="auto" w:sz="10" w:space="0"/>
              <w:right w:val="single" w:color="auto" w:sz="10" w:space="0"/>
              <w:insideV w:val="single" w:sz="10" w:space="0"/>
            </w:tcBorders>
            <w:vAlign w:val="center"/>
          </w:tcPr>
          <w:p w14:paraId="0FDF1093">
            <w:pPr>
              <w:jc w:val="center"/>
            </w:pPr>
            <w:r>
              <w:rPr>
                <w:rFonts w:ascii="宋体" w:hAnsi="宋体" w:eastAsia="宋体"/>
                <w:sz w:val="16"/>
              </w:rPr>
              <w:t>得分</w:t>
            </w:r>
          </w:p>
        </w:tc>
      </w:tr>
      <w:tr w14:paraId="0942A3A8">
        <w:tblPrEx>
          <w:tblCellMar>
            <w:top w:w="0" w:type="dxa"/>
            <w:left w:w="108" w:type="dxa"/>
            <w:bottom w:w="0" w:type="dxa"/>
            <w:right w:w="108" w:type="dxa"/>
          </w:tblCellMar>
        </w:tblPrEx>
        <w:trPr>
          <w:trHeight w:val="687"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9A951B9">
            <w:pPr>
              <w:jc w:val="center"/>
            </w:pPr>
            <w:r>
              <w:rPr>
                <w:rFonts w:ascii="宋体" w:hAnsi="宋体" w:eastAsia="宋体"/>
                <w:sz w:val="16"/>
              </w:rPr>
              <w:t>管理效率</w:t>
            </w:r>
          </w:p>
        </w:tc>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1B78A">
            <w:pPr>
              <w:jc w:val="center"/>
            </w:pPr>
            <w:r>
              <w:rPr>
                <w:rFonts w:ascii="宋体" w:hAnsi="宋体" w:eastAsia="宋体"/>
                <w:sz w:val="16"/>
              </w:rPr>
              <w:t>数量指标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856733A">
            <w:pPr>
              <w:jc w:val="center"/>
            </w:pPr>
            <w:r>
              <w:rPr>
                <w:rFonts w:ascii="宋体" w:hAnsi="宋体" w:eastAsia="宋体"/>
                <w:sz w:val="16"/>
              </w:rPr>
              <w:t>固定资产利用率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F5AB6DE">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FF5558E">
            <w:pPr>
              <w:jc w:val="center"/>
            </w:pPr>
            <w:r>
              <w:rPr>
                <w:rFonts w:ascii="宋体" w:hAnsi="宋体" w:eastAsia="宋体"/>
                <w:sz w:val="16"/>
              </w:rPr>
              <w:t>财政部相关文件</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15E9A14">
            <w:pPr>
              <w:jc w:val="center"/>
            </w:pPr>
            <w:r>
              <w:rPr>
                <w:rFonts w:ascii="宋体" w:hAnsi="宋体" w:eastAsia="宋体"/>
                <w:sz w:val="16"/>
              </w:rPr>
              <w:t>15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1EB9CD74">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CA042A3">
            <w:pPr>
              <w:jc w:val="center"/>
            </w:pPr>
          </w:p>
        </w:tc>
        <w:tc>
          <w:tcPr>
            <w:tcW w:w="988" w:type="dxa"/>
            <w:tcBorders>
              <w:top w:val="single" w:color="auto" w:sz="10" w:space="0"/>
              <w:left w:val="single" w:color="auto" w:sz="10" w:space="0"/>
              <w:bottom w:val="single" w:color="auto" w:sz="10" w:space="0"/>
              <w:right w:val="single" w:color="auto" w:sz="10" w:space="0"/>
              <w:insideV w:val="single" w:sz="10" w:space="0"/>
            </w:tcBorders>
            <w:vAlign w:val="center"/>
          </w:tcPr>
          <w:p w14:paraId="5171F0A9">
            <w:pPr>
              <w:jc w:val="center"/>
            </w:pPr>
            <w:r>
              <w:rPr>
                <w:rFonts w:ascii="宋体" w:hAnsi="宋体" w:eastAsia="宋体"/>
                <w:sz w:val="16"/>
              </w:rPr>
              <w:t>15</w:t>
            </w:r>
          </w:p>
        </w:tc>
      </w:tr>
      <w:tr w14:paraId="12E2B276">
        <w:tblPrEx>
          <w:tblCellMar>
            <w:top w:w="0" w:type="dxa"/>
            <w:left w:w="108" w:type="dxa"/>
            <w:bottom w:w="0" w:type="dxa"/>
            <w:right w:w="108" w:type="dxa"/>
          </w:tblCellMar>
        </w:tblPrEx>
        <w:trPr>
          <w:trHeight w:val="1018" w:hRule="atLeast"/>
        </w:trPr>
        <w:tc>
          <w:tcPr>
            <w:tcW w:w="98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1EF66">
            <w:pPr>
              <w:jc w:val="center"/>
            </w:pPr>
            <w:r>
              <w:rPr>
                <w:rFonts w:ascii="宋体" w:hAnsi="宋体" w:eastAsia="宋体"/>
                <w:sz w:val="16"/>
              </w:rPr>
              <w:t>履职效能</w:t>
            </w:r>
          </w:p>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28B7147"/>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FB00309">
            <w:pPr>
              <w:jc w:val="center"/>
            </w:pPr>
            <w:r>
              <w:rPr>
                <w:rFonts w:ascii="宋体" w:hAnsi="宋体" w:eastAsia="宋体"/>
                <w:sz w:val="16"/>
              </w:rPr>
              <w:t>采购客房商务用品（次）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0AE5494">
            <w:pPr>
              <w:jc w:val="both"/>
            </w:pPr>
            <w:r>
              <w:rPr>
                <w:rFonts w:hint="eastAsia" w:ascii="宋体" w:hAnsi="宋体"/>
                <w:sz w:val="16"/>
                <w:lang w:eastAsia="zh-CN"/>
              </w:rPr>
              <w:t>≥</w:t>
            </w:r>
            <w:r>
              <w:rPr>
                <w:rFonts w:ascii="宋体" w:hAnsi="宋体" w:eastAsia="宋体"/>
                <w:sz w:val="16"/>
              </w:rPr>
              <w:t>4次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89064F8">
            <w:pPr>
              <w:jc w:val="center"/>
            </w:pPr>
            <w:r>
              <w:rPr>
                <w:rFonts w:ascii="宋体" w:hAnsi="宋体" w:eastAsia="宋体"/>
                <w:sz w:val="16"/>
              </w:rPr>
              <w:t>2024年工作计划</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F7E4B73">
            <w:pPr>
              <w:jc w:val="center"/>
            </w:pPr>
            <w:r>
              <w:rPr>
                <w:rFonts w:ascii="宋体" w:hAnsi="宋体" w:eastAsia="宋体"/>
                <w:sz w:val="16"/>
              </w:rPr>
              <w:t>20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61649BB">
            <w:pPr>
              <w:jc w:val="center"/>
            </w:pPr>
            <w:r>
              <w:rPr>
                <w:rFonts w:ascii="宋体" w:hAnsi="宋体" w:eastAsia="宋体"/>
                <w:sz w:val="16"/>
              </w:rPr>
              <w:t>4次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86A21DB">
            <w:pPr>
              <w:jc w:val="center"/>
            </w:pPr>
          </w:p>
        </w:tc>
        <w:tc>
          <w:tcPr>
            <w:tcW w:w="988" w:type="dxa"/>
            <w:tcBorders>
              <w:top w:val="single" w:color="auto" w:sz="10" w:space="0"/>
              <w:left w:val="single" w:color="auto" w:sz="10" w:space="0"/>
              <w:bottom w:val="single" w:color="auto" w:sz="10" w:space="0"/>
              <w:right w:val="single" w:color="auto" w:sz="10" w:space="0"/>
              <w:insideV w:val="single" w:sz="10" w:space="0"/>
            </w:tcBorders>
            <w:vAlign w:val="center"/>
          </w:tcPr>
          <w:p w14:paraId="6717AEBA">
            <w:pPr>
              <w:jc w:val="center"/>
            </w:pPr>
            <w:r>
              <w:rPr>
                <w:rFonts w:ascii="宋体" w:hAnsi="宋体" w:eastAsia="宋体"/>
                <w:sz w:val="16"/>
              </w:rPr>
              <w:t>20</w:t>
            </w:r>
          </w:p>
        </w:tc>
      </w:tr>
      <w:tr w14:paraId="67464376">
        <w:tblPrEx>
          <w:tblCellMar>
            <w:top w:w="0" w:type="dxa"/>
            <w:left w:w="108" w:type="dxa"/>
            <w:bottom w:w="0" w:type="dxa"/>
            <w:right w:w="108" w:type="dxa"/>
          </w:tblCellMar>
        </w:tblPrEx>
        <w:trPr>
          <w:trHeight w:val="1188"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6F0CA25D"/>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65924D06"/>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E3E9B0E">
            <w:pPr>
              <w:jc w:val="center"/>
            </w:pPr>
            <w:r>
              <w:rPr>
                <w:rFonts w:ascii="宋体" w:hAnsi="宋体" w:eastAsia="宋体"/>
                <w:sz w:val="16"/>
              </w:rPr>
              <w:t>接待和田来乌出差、开会人数（人）</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4EBC253">
            <w:pPr>
              <w:jc w:val="center"/>
            </w:pPr>
            <w:r>
              <w:rPr>
                <w:rFonts w:hint="eastAsia" w:ascii="宋体" w:hAnsi="宋体"/>
                <w:sz w:val="16"/>
                <w:lang w:eastAsia="zh-CN"/>
              </w:rPr>
              <w:t>≥</w:t>
            </w:r>
            <w:r>
              <w:rPr>
                <w:rFonts w:ascii="宋体" w:hAnsi="宋体" w:eastAsia="宋体"/>
                <w:sz w:val="16"/>
              </w:rPr>
              <w:t>3000人</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0F93FFB">
            <w:pPr>
              <w:jc w:val="center"/>
            </w:pPr>
            <w:r>
              <w:rPr>
                <w:rFonts w:ascii="宋体" w:hAnsi="宋体" w:eastAsia="宋体"/>
                <w:sz w:val="16"/>
              </w:rPr>
              <w:t>2024年工作计划</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6854F46">
            <w:pPr>
              <w:jc w:val="center"/>
            </w:pPr>
            <w:r>
              <w:rPr>
                <w:rFonts w:ascii="宋体" w:hAnsi="宋体" w:eastAsia="宋体"/>
                <w:sz w:val="16"/>
              </w:rPr>
              <w:t>15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8AF7F9C">
            <w:pPr>
              <w:jc w:val="center"/>
            </w:pPr>
            <w:r>
              <w:rPr>
                <w:rFonts w:ascii="宋体" w:hAnsi="宋体" w:eastAsia="宋体"/>
                <w:sz w:val="16"/>
              </w:rPr>
              <w:t>3000人</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362BD68">
            <w:pPr>
              <w:jc w:val="center"/>
            </w:pPr>
          </w:p>
        </w:tc>
        <w:tc>
          <w:tcPr>
            <w:tcW w:w="988" w:type="dxa"/>
            <w:tcBorders>
              <w:top w:val="single" w:color="auto" w:sz="10" w:space="0"/>
              <w:left w:val="single" w:color="auto" w:sz="10" w:space="0"/>
              <w:bottom w:val="single" w:color="auto" w:sz="10" w:space="0"/>
              <w:right w:val="single" w:color="auto" w:sz="10" w:space="0"/>
              <w:insideV w:val="single" w:sz="10" w:space="0"/>
            </w:tcBorders>
            <w:vAlign w:val="center"/>
          </w:tcPr>
          <w:p w14:paraId="0B24861B">
            <w:pPr>
              <w:jc w:val="center"/>
            </w:pPr>
            <w:r>
              <w:rPr>
                <w:rFonts w:ascii="宋体" w:hAnsi="宋体" w:eastAsia="宋体"/>
                <w:sz w:val="16"/>
              </w:rPr>
              <w:t>15</w:t>
            </w:r>
          </w:p>
        </w:tc>
      </w:tr>
      <w:tr w14:paraId="1EA2A157">
        <w:tblPrEx>
          <w:tblCellMar>
            <w:top w:w="0" w:type="dxa"/>
            <w:left w:w="108" w:type="dxa"/>
            <w:bottom w:w="0" w:type="dxa"/>
            <w:right w:w="108" w:type="dxa"/>
          </w:tblCellMar>
        </w:tblPrEx>
        <w:trPr>
          <w:trHeight w:val="687"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B11E700"/>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567FA6D1"/>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93BAB19">
            <w:pPr>
              <w:jc w:val="center"/>
            </w:pPr>
            <w:r>
              <w:rPr>
                <w:rFonts w:ascii="宋体" w:hAnsi="宋体" w:eastAsia="宋体"/>
                <w:sz w:val="16"/>
              </w:rPr>
              <w:t>车辆维修次数（次）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82639F3">
            <w:pPr>
              <w:jc w:val="center"/>
            </w:pPr>
            <w:r>
              <w:rPr>
                <w:rFonts w:hint="eastAsia" w:ascii="宋体" w:hAnsi="宋体"/>
                <w:sz w:val="16"/>
                <w:lang w:eastAsia="zh-CN"/>
              </w:rPr>
              <w:t>≥</w:t>
            </w:r>
            <w:r>
              <w:rPr>
                <w:rFonts w:ascii="宋体" w:hAnsi="宋体" w:eastAsia="宋体"/>
                <w:sz w:val="16"/>
              </w:rPr>
              <w:t>12次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2E3A23C5">
            <w:pPr>
              <w:jc w:val="center"/>
            </w:pPr>
            <w:r>
              <w:rPr>
                <w:rFonts w:ascii="宋体" w:hAnsi="宋体" w:eastAsia="宋体"/>
                <w:sz w:val="16"/>
              </w:rPr>
              <w:t>2024年工作计划</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35239A5">
            <w:pPr>
              <w:jc w:val="center"/>
            </w:pPr>
            <w:r>
              <w:rPr>
                <w:rFonts w:ascii="宋体" w:hAnsi="宋体" w:eastAsia="宋体"/>
                <w:sz w:val="16"/>
              </w:rPr>
              <w:t>15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8C0949A">
            <w:pPr>
              <w:jc w:val="center"/>
            </w:pPr>
            <w:r>
              <w:rPr>
                <w:rFonts w:ascii="宋体" w:hAnsi="宋体" w:eastAsia="宋体"/>
                <w:sz w:val="16"/>
              </w:rPr>
              <w:t>12次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3D65760">
            <w:pPr>
              <w:jc w:val="center"/>
            </w:pPr>
          </w:p>
        </w:tc>
        <w:tc>
          <w:tcPr>
            <w:tcW w:w="988" w:type="dxa"/>
            <w:tcBorders>
              <w:top w:val="single" w:color="auto" w:sz="10" w:space="0"/>
              <w:left w:val="single" w:color="auto" w:sz="10" w:space="0"/>
              <w:bottom w:val="single" w:color="auto" w:sz="10" w:space="0"/>
              <w:right w:val="single" w:color="auto" w:sz="10" w:space="0"/>
              <w:insideV w:val="single" w:sz="10" w:space="0"/>
            </w:tcBorders>
            <w:vAlign w:val="center"/>
          </w:tcPr>
          <w:p w14:paraId="60973B6F">
            <w:pPr>
              <w:jc w:val="center"/>
            </w:pPr>
            <w:r>
              <w:rPr>
                <w:rFonts w:ascii="宋体" w:hAnsi="宋体" w:eastAsia="宋体"/>
                <w:sz w:val="16"/>
              </w:rPr>
              <w:t>15</w:t>
            </w:r>
          </w:p>
        </w:tc>
      </w:tr>
      <w:tr w14:paraId="749931E1">
        <w:tblPrEx>
          <w:tblCellMar>
            <w:top w:w="0" w:type="dxa"/>
            <w:left w:w="108" w:type="dxa"/>
            <w:bottom w:w="0" w:type="dxa"/>
            <w:right w:w="108" w:type="dxa"/>
          </w:tblCellMar>
        </w:tblPrEx>
        <w:trPr>
          <w:trHeight w:val="1018" w:hRule="atLeast"/>
        </w:trPr>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78CF5094"/>
        </w:tc>
        <w:tc>
          <w:tcPr>
            <w:tcW w:w="984" w:type="dxa"/>
            <w:vMerge w:val="continue"/>
            <w:tcBorders>
              <w:top w:val="single" w:color="auto" w:sz="10" w:space="0"/>
              <w:left w:val="single" w:color="auto" w:sz="10" w:space="0"/>
              <w:bottom w:val="single" w:color="auto" w:sz="10" w:space="0"/>
              <w:right w:val="single" w:color="auto" w:sz="10" w:space="0"/>
              <w:insideV w:val="single" w:sz="10" w:space="0"/>
            </w:tcBorders>
          </w:tcPr>
          <w:p w14:paraId="389B8426"/>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3307984">
            <w:pPr>
              <w:jc w:val="center"/>
            </w:pPr>
            <w:r>
              <w:rPr>
                <w:rFonts w:ascii="宋体" w:hAnsi="宋体" w:eastAsia="宋体"/>
                <w:sz w:val="16"/>
              </w:rPr>
              <w:t>慰问老干部次数（次）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921E0E5">
            <w:pPr>
              <w:jc w:val="center"/>
            </w:pPr>
            <w:r>
              <w:rPr>
                <w:rFonts w:hint="eastAsia" w:ascii="宋体" w:hAnsi="宋体"/>
                <w:sz w:val="16"/>
                <w:lang w:eastAsia="zh-CN"/>
              </w:rPr>
              <w:t>≥</w:t>
            </w:r>
            <w:r>
              <w:rPr>
                <w:rFonts w:ascii="宋体" w:hAnsi="宋体" w:eastAsia="宋体"/>
                <w:sz w:val="16"/>
              </w:rPr>
              <w:t>6次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7C247DE4">
            <w:pPr>
              <w:jc w:val="center"/>
            </w:pPr>
            <w:r>
              <w:rPr>
                <w:rFonts w:ascii="宋体" w:hAnsi="宋体" w:eastAsia="宋体"/>
                <w:sz w:val="16"/>
              </w:rPr>
              <w:t>2024年工作计划</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127E212">
            <w:pPr>
              <w:jc w:val="center"/>
            </w:pPr>
            <w:r>
              <w:rPr>
                <w:rFonts w:ascii="宋体" w:hAnsi="宋体" w:eastAsia="宋体"/>
                <w:sz w:val="16"/>
              </w:rPr>
              <w:t>20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2C94227">
            <w:pPr>
              <w:jc w:val="center"/>
            </w:pPr>
            <w:r>
              <w:rPr>
                <w:rFonts w:ascii="宋体" w:hAnsi="宋体" w:eastAsia="宋体"/>
                <w:sz w:val="16"/>
              </w:rPr>
              <w:t>6次</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DBBBE94">
            <w:pPr>
              <w:jc w:val="center"/>
            </w:pPr>
          </w:p>
        </w:tc>
        <w:tc>
          <w:tcPr>
            <w:tcW w:w="988" w:type="dxa"/>
            <w:tcBorders>
              <w:top w:val="single" w:color="auto" w:sz="10" w:space="0"/>
              <w:left w:val="single" w:color="auto" w:sz="10" w:space="0"/>
              <w:bottom w:val="single" w:color="auto" w:sz="10" w:space="0"/>
              <w:right w:val="single" w:color="auto" w:sz="10" w:space="0"/>
              <w:insideV w:val="single" w:sz="10" w:space="0"/>
            </w:tcBorders>
            <w:vAlign w:val="center"/>
          </w:tcPr>
          <w:p w14:paraId="62D8D62D">
            <w:pPr>
              <w:jc w:val="center"/>
            </w:pPr>
            <w:r>
              <w:rPr>
                <w:rFonts w:ascii="宋体" w:hAnsi="宋体" w:eastAsia="宋体"/>
                <w:sz w:val="16"/>
              </w:rPr>
              <w:t>20</w:t>
            </w:r>
          </w:p>
        </w:tc>
      </w:tr>
      <w:tr w14:paraId="6A7FD78B">
        <w:tblPrEx>
          <w:tblCellMar>
            <w:top w:w="0" w:type="dxa"/>
            <w:left w:w="108" w:type="dxa"/>
            <w:bottom w:w="0" w:type="dxa"/>
            <w:right w:w="108" w:type="dxa"/>
          </w:tblCellMar>
        </w:tblPrEx>
        <w:trPr>
          <w:trHeight w:val="713" w:hRule="atLeast"/>
        </w:trPr>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33EBAB1">
            <w:pPr>
              <w:jc w:val="center"/>
            </w:pPr>
            <w:r>
              <w:rPr>
                <w:rFonts w:ascii="宋体" w:hAnsi="宋体" w:eastAsia="宋体"/>
                <w:sz w:val="16"/>
              </w:rPr>
              <w:t>服务对象满意度</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5B02BE66">
            <w:pPr>
              <w:jc w:val="center"/>
            </w:pPr>
            <w:r>
              <w:rPr>
                <w:rFonts w:ascii="宋体" w:hAnsi="宋体" w:eastAsia="宋体"/>
                <w:sz w:val="16"/>
              </w:rPr>
              <w:t>满意度指标</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759474C">
            <w:pPr>
              <w:jc w:val="center"/>
            </w:pPr>
            <w:r>
              <w:rPr>
                <w:rFonts w:ascii="宋体" w:hAnsi="宋体" w:eastAsia="宋体"/>
                <w:sz w:val="16"/>
              </w:rPr>
              <w:t>服务对象满意度</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E50C421">
            <w:pPr>
              <w:jc w:val="center"/>
            </w:pPr>
            <w:r>
              <w:rPr>
                <w:rFonts w:hint="eastAsia" w:ascii="宋体" w:hAnsi="宋体"/>
                <w:sz w:val="16"/>
                <w:lang w:eastAsia="zh-CN"/>
              </w:rPr>
              <w:t>≥</w:t>
            </w:r>
            <w:r>
              <w:rPr>
                <w:rFonts w:ascii="宋体" w:hAnsi="宋体" w:eastAsia="宋体"/>
                <w:sz w:val="16"/>
              </w:rPr>
              <w:t>95%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0FD1752A">
            <w:pPr>
              <w:jc w:val="center"/>
            </w:pPr>
            <w:r>
              <w:rPr>
                <w:rFonts w:ascii="宋体" w:hAnsi="宋体" w:eastAsia="宋体"/>
                <w:sz w:val="16"/>
              </w:rPr>
              <w:t>2024年工作计划</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449DD2C4">
            <w:pPr>
              <w:jc w:val="center"/>
            </w:pPr>
            <w:r>
              <w:rPr>
                <w:rFonts w:ascii="宋体" w:hAnsi="宋体" w:eastAsia="宋体"/>
                <w:sz w:val="16"/>
              </w:rPr>
              <w:t>5</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318F5FF6">
            <w:pPr>
              <w:jc w:val="center"/>
            </w:pPr>
            <w:r>
              <w:rPr>
                <w:rFonts w:ascii="宋体" w:hAnsi="宋体" w:eastAsia="宋体"/>
                <w:sz w:val="16"/>
              </w:rPr>
              <w:t>100%</w:t>
            </w:r>
          </w:p>
        </w:tc>
        <w:tc>
          <w:tcPr>
            <w:tcW w:w="984" w:type="dxa"/>
            <w:tcBorders>
              <w:top w:val="single" w:color="auto" w:sz="10" w:space="0"/>
              <w:left w:val="single" w:color="auto" w:sz="10" w:space="0"/>
              <w:bottom w:val="single" w:color="auto" w:sz="10" w:space="0"/>
              <w:right w:val="single" w:color="auto" w:sz="10" w:space="0"/>
              <w:insideV w:val="single" w:sz="10" w:space="0"/>
            </w:tcBorders>
            <w:vAlign w:val="center"/>
          </w:tcPr>
          <w:p w14:paraId="6BB89F30">
            <w:pPr>
              <w:jc w:val="center"/>
            </w:pPr>
          </w:p>
        </w:tc>
        <w:tc>
          <w:tcPr>
            <w:tcW w:w="988" w:type="dxa"/>
            <w:tcBorders>
              <w:top w:val="single" w:color="auto" w:sz="10" w:space="0"/>
              <w:left w:val="single" w:color="auto" w:sz="10" w:space="0"/>
              <w:bottom w:val="single" w:color="auto" w:sz="10" w:space="0"/>
              <w:right w:val="single" w:color="auto" w:sz="10" w:space="0"/>
              <w:insideV w:val="single" w:sz="10" w:space="0"/>
            </w:tcBorders>
            <w:vAlign w:val="center"/>
          </w:tcPr>
          <w:p w14:paraId="7E5F10B6">
            <w:pPr>
              <w:jc w:val="center"/>
            </w:pPr>
            <w:r>
              <w:rPr>
                <w:rFonts w:ascii="宋体" w:hAnsi="宋体" w:eastAsia="宋体"/>
                <w:sz w:val="16"/>
              </w:rPr>
              <w:t>5</w:t>
            </w:r>
          </w:p>
        </w:tc>
      </w:tr>
    </w:tbl>
    <w:p w14:paraId="70E3D0DC">
      <w:r>
        <w:br w:type="page"/>
      </w:r>
    </w:p>
    <w:tbl>
      <w:tblPr>
        <w:tblStyle w:val="9"/>
        <w:tblW w:w="9140" w:type="dxa"/>
        <w:tblInd w:w="0" w:type="dxa"/>
        <w:tblLayout w:type="fixed"/>
        <w:tblCellMar>
          <w:top w:w="0" w:type="dxa"/>
          <w:left w:w="108" w:type="dxa"/>
          <w:bottom w:w="0" w:type="dxa"/>
          <w:right w:w="108" w:type="dxa"/>
        </w:tblCellMar>
      </w:tblPr>
      <w:tblGrid>
        <w:gridCol w:w="890"/>
        <w:gridCol w:w="1140"/>
        <w:gridCol w:w="1016"/>
        <w:gridCol w:w="1174"/>
        <w:gridCol w:w="975"/>
        <w:gridCol w:w="1035"/>
        <w:gridCol w:w="600"/>
        <w:gridCol w:w="885"/>
        <w:gridCol w:w="1425"/>
      </w:tblGrid>
      <w:tr w14:paraId="6C5F8348">
        <w:tblPrEx>
          <w:tblCellMar>
            <w:top w:w="0" w:type="dxa"/>
            <w:left w:w="108" w:type="dxa"/>
            <w:bottom w:w="0" w:type="dxa"/>
            <w:right w:w="108" w:type="dxa"/>
          </w:tblCellMar>
        </w:tblPrEx>
        <w:trPr>
          <w:trHeight w:val="90" w:hRule="atLeast"/>
        </w:trPr>
        <w:tc>
          <w:tcPr>
            <w:tcW w:w="9140" w:type="dxa"/>
            <w:gridSpan w:val="9"/>
            <w:vAlign w:val="center"/>
          </w:tcPr>
          <w:p w14:paraId="5A2F8AFE">
            <w:pPr>
              <w:jc w:val="center"/>
            </w:pPr>
            <w:r>
              <w:rPr>
                <w:rFonts w:ascii="宋体" w:hAnsi="宋体" w:eastAsia="宋体"/>
                <w:sz w:val="24"/>
              </w:rPr>
              <w:t>项目支出绩效自评表</w:t>
            </w:r>
          </w:p>
        </w:tc>
      </w:tr>
      <w:tr w14:paraId="417BE48B">
        <w:tblPrEx>
          <w:tblCellMar>
            <w:top w:w="0" w:type="dxa"/>
            <w:left w:w="108" w:type="dxa"/>
            <w:bottom w:w="0" w:type="dxa"/>
            <w:right w:w="108" w:type="dxa"/>
          </w:tblCellMar>
        </w:tblPrEx>
        <w:trPr>
          <w:trHeight w:val="90" w:hRule="atLeast"/>
        </w:trPr>
        <w:tc>
          <w:tcPr>
            <w:tcW w:w="9140" w:type="dxa"/>
            <w:gridSpan w:val="9"/>
            <w:vAlign w:val="center"/>
          </w:tcPr>
          <w:p w14:paraId="6128B800">
            <w:pPr>
              <w:jc w:val="center"/>
            </w:pPr>
            <w:r>
              <w:rPr>
                <w:rFonts w:ascii="宋体" w:hAnsi="宋体" w:eastAsia="宋体"/>
                <w:sz w:val="24"/>
              </w:rPr>
              <w:t>(2024年度)</w:t>
            </w:r>
          </w:p>
        </w:tc>
      </w:tr>
      <w:tr w14:paraId="0BEE9696">
        <w:tblPrEx>
          <w:tblCellMar>
            <w:top w:w="0" w:type="dxa"/>
            <w:left w:w="108" w:type="dxa"/>
            <w:bottom w:w="0" w:type="dxa"/>
            <w:right w:w="108" w:type="dxa"/>
          </w:tblCellMar>
        </w:tblPrEx>
        <w:trPr>
          <w:trHeight w:val="90" w:hRule="atLeast"/>
        </w:trPr>
        <w:tc>
          <w:tcPr>
            <w:tcW w:w="890" w:type="dxa"/>
            <w:tcBorders>
              <w:top w:val="single" w:color="auto" w:sz="10" w:space="0"/>
              <w:left w:val="single" w:color="auto" w:sz="10" w:space="0"/>
              <w:bottom w:val="single" w:color="auto" w:sz="10" w:space="0"/>
              <w:right w:val="single" w:color="auto" w:sz="10" w:space="0"/>
              <w:insideV w:val="single" w:sz="10" w:space="0"/>
            </w:tcBorders>
            <w:vAlign w:val="center"/>
          </w:tcPr>
          <w:p w14:paraId="2F11F0B0">
            <w:pPr>
              <w:jc w:val="center"/>
            </w:pPr>
            <w:r>
              <w:rPr>
                <w:rFonts w:ascii="宋体" w:hAnsi="宋体" w:eastAsia="宋体"/>
                <w:sz w:val="16"/>
              </w:rPr>
              <w:t>项目名称</w:t>
            </w:r>
          </w:p>
        </w:tc>
        <w:tc>
          <w:tcPr>
            <w:tcW w:w="825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FA6582A">
            <w:pPr>
              <w:jc w:val="center"/>
            </w:pPr>
            <w:r>
              <w:rPr>
                <w:rFonts w:ascii="宋体" w:hAnsi="宋体" w:eastAsia="宋体"/>
                <w:sz w:val="16"/>
              </w:rPr>
              <w:t>接待经费</w:t>
            </w:r>
          </w:p>
        </w:tc>
      </w:tr>
      <w:tr w14:paraId="186EC0E5">
        <w:tblPrEx>
          <w:tblCellMar>
            <w:top w:w="0" w:type="dxa"/>
            <w:left w:w="108" w:type="dxa"/>
            <w:bottom w:w="0" w:type="dxa"/>
            <w:right w:w="108" w:type="dxa"/>
          </w:tblCellMar>
        </w:tblPrEx>
        <w:trPr>
          <w:trHeight w:val="90" w:hRule="atLeast"/>
        </w:trPr>
        <w:tc>
          <w:tcPr>
            <w:tcW w:w="890" w:type="dxa"/>
            <w:tcBorders>
              <w:top w:val="single" w:color="auto" w:sz="10" w:space="0"/>
              <w:left w:val="single" w:color="auto" w:sz="10" w:space="0"/>
              <w:bottom w:val="single" w:color="auto" w:sz="10" w:space="0"/>
              <w:right w:val="single" w:color="auto" w:sz="10" w:space="0"/>
              <w:insideV w:val="single" w:sz="10" w:space="0"/>
            </w:tcBorders>
            <w:vAlign w:val="center"/>
          </w:tcPr>
          <w:p w14:paraId="1F3CF127">
            <w:pPr>
              <w:jc w:val="center"/>
            </w:pPr>
            <w:r>
              <w:rPr>
                <w:rFonts w:ascii="宋体" w:hAnsi="宋体" w:eastAsia="宋体"/>
                <w:sz w:val="16"/>
              </w:rPr>
              <w:t>主管部门</w:t>
            </w:r>
          </w:p>
        </w:tc>
        <w:tc>
          <w:tcPr>
            <w:tcW w:w="33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36844A">
            <w:pPr>
              <w:jc w:val="center"/>
            </w:pPr>
            <w:r>
              <w:rPr>
                <w:rFonts w:ascii="宋体" w:hAnsi="宋体" w:eastAsia="宋体"/>
                <w:sz w:val="16"/>
              </w:rPr>
              <w:t>新疆和田行政公署驻乌鲁木齐办事处</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43017F0B">
            <w:pPr>
              <w:jc w:val="center"/>
            </w:pPr>
            <w:r>
              <w:rPr>
                <w:rFonts w:ascii="宋体" w:hAnsi="宋体" w:eastAsia="宋体"/>
                <w:sz w:val="16"/>
              </w:rPr>
              <w:t>实施单位</w:t>
            </w:r>
          </w:p>
        </w:tc>
        <w:tc>
          <w:tcPr>
            <w:tcW w:w="39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2CBEE9">
            <w:pPr>
              <w:jc w:val="center"/>
            </w:pPr>
            <w:r>
              <w:rPr>
                <w:rFonts w:ascii="宋体" w:hAnsi="宋体" w:eastAsia="宋体"/>
                <w:sz w:val="16"/>
              </w:rPr>
              <w:t>新疆和田行政公署驻乌鲁木齐办事处</w:t>
            </w:r>
          </w:p>
        </w:tc>
      </w:tr>
      <w:tr w14:paraId="3DBEBDE4">
        <w:tblPrEx>
          <w:tblCellMar>
            <w:top w:w="0" w:type="dxa"/>
            <w:left w:w="108" w:type="dxa"/>
            <w:bottom w:w="0" w:type="dxa"/>
            <w:right w:w="108" w:type="dxa"/>
          </w:tblCellMar>
        </w:tblPrEx>
        <w:trPr>
          <w:trHeight w:val="90" w:hRule="atLeast"/>
        </w:trPr>
        <w:tc>
          <w:tcPr>
            <w:tcW w:w="8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E8C51">
            <w:pPr>
              <w:jc w:val="center"/>
            </w:pPr>
            <w:r>
              <w:rPr>
                <w:rFonts w:ascii="宋体" w:hAnsi="宋体" w:eastAsia="宋体"/>
                <w:sz w:val="16"/>
              </w:rPr>
              <w:t>项目资金 （万元）</w:t>
            </w:r>
          </w:p>
        </w:tc>
        <w:tc>
          <w:tcPr>
            <w:tcW w:w="2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4FE14">
            <w:pPr>
              <w:jc w:val="center"/>
            </w:pP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3ABEFF83">
            <w:pPr>
              <w:jc w:val="center"/>
            </w:pPr>
            <w:r>
              <w:rPr>
                <w:rFonts w:ascii="宋体" w:hAnsi="宋体" w:eastAsia="宋体"/>
                <w:sz w:val="16"/>
              </w:rPr>
              <w:t>年初预算数</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4F6187D1">
            <w:pPr>
              <w:jc w:val="center"/>
            </w:pPr>
            <w:r>
              <w:rPr>
                <w:rFonts w:ascii="宋体" w:hAnsi="宋体" w:eastAsia="宋体"/>
                <w:sz w:val="16"/>
              </w:rPr>
              <w:t>全年预算数</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6E6076E">
            <w:pPr>
              <w:jc w:val="center"/>
            </w:pPr>
            <w:r>
              <w:rPr>
                <w:rFonts w:ascii="宋体" w:hAnsi="宋体" w:eastAsia="宋体"/>
                <w:sz w:val="16"/>
              </w:rPr>
              <w:t>全年执行数</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770BCCF">
            <w:pPr>
              <w:jc w:val="center"/>
            </w:pPr>
            <w:r>
              <w:rPr>
                <w:rFonts w:ascii="宋体" w:hAnsi="宋体" w:eastAsia="宋体"/>
                <w:sz w:val="16"/>
              </w:rPr>
              <w:t>分值</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47B8226D">
            <w:pPr>
              <w:jc w:val="center"/>
            </w:pPr>
            <w:r>
              <w:rPr>
                <w:rFonts w:ascii="宋体" w:hAnsi="宋体" w:eastAsia="宋体"/>
                <w:sz w:val="16"/>
              </w:rPr>
              <w:t>执行率</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20F70582">
            <w:pPr>
              <w:jc w:val="center"/>
            </w:pPr>
            <w:r>
              <w:rPr>
                <w:rFonts w:ascii="宋体" w:hAnsi="宋体" w:eastAsia="宋体"/>
                <w:sz w:val="16"/>
              </w:rPr>
              <w:t>得分</w:t>
            </w:r>
          </w:p>
        </w:tc>
      </w:tr>
      <w:tr w14:paraId="3D1557B1">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5157E482"/>
        </w:tc>
        <w:tc>
          <w:tcPr>
            <w:tcW w:w="2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D3CB3">
            <w:pPr>
              <w:jc w:val="center"/>
            </w:pPr>
            <w:r>
              <w:rPr>
                <w:rFonts w:ascii="宋体" w:hAnsi="宋体" w:eastAsia="宋体"/>
                <w:sz w:val="16"/>
              </w:rPr>
              <w:t>年度资金总额</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513AA0BD">
            <w:pPr>
              <w:jc w:val="center"/>
            </w:pPr>
            <w:r>
              <w:rPr>
                <w:rFonts w:ascii="宋体" w:hAnsi="宋体" w:eastAsia="宋体"/>
                <w:sz w:val="16"/>
              </w:rPr>
              <w:t>50.00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7D0CD15D">
            <w:pPr>
              <w:jc w:val="center"/>
            </w:pPr>
            <w:r>
              <w:rPr>
                <w:rFonts w:ascii="宋体" w:hAnsi="宋体" w:eastAsia="宋体"/>
                <w:sz w:val="16"/>
              </w:rPr>
              <w:t>50.00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98F7BF3">
            <w:pPr>
              <w:jc w:val="center"/>
            </w:pPr>
            <w:r>
              <w:rPr>
                <w:rFonts w:ascii="宋体" w:hAnsi="宋体" w:eastAsia="宋体"/>
                <w:sz w:val="16"/>
              </w:rPr>
              <w:t>50.00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90F1F50">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6E543C7C">
            <w:pPr>
              <w:jc w:val="center"/>
            </w:pPr>
            <w:r>
              <w:rPr>
                <w:rFonts w:ascii="宋体" w:hAnsi="宋体" w:eastAsia="宋体"/>
                <w:sz w:val="16"/>
              </w:rPr>
              <w:t xml:space="preserve">100.00% </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6E03C3CA">
            <w:pPr>
              <w:jc w:val="center"/>
            </w:pPr>
            <w:r>
              <w:rPr>
                <w:rFonts w:ascii="宋体" w:hAnsi="宋体" w:eastAsia="宋体"/>
                <w:sz w:val="16"/>
              </w:rPr>
              <w:t>10.00分</w:t>
            </w:r>
          </w:p>
        </w:tc>
      </w:tr>
      <w:tr w14:paraId="387E3EE5">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1C8F5B31"/>
        </w:tc>
        <w:tc>
          <w:tcPr>
            <w:tcW w:w="2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69D6">
            <w:pPr>
              <w:jc w:val="center"/>
            </w:pPr>
            <w:r>
              <w:rPr>
                <w:rFonts w:ascii="宋体" w:hAnsi="宋体" w:eastAsia="宋体"/>
                <w:sz w:val="16"/>
              </w:rPr>
              <w:t>其中：当年财政拨款</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20B59EC4">
            <w:pPr>
              <w:jc w:val="center"/>
            </w:pPr>
            <w:r>
              <w:rPr>
                <w:rFonts w:ascii="宋体" w:hAnsi="宋体" w:eastAsia="宋体"/>
                <w:sz w:val="16"/>
              </w:rPr>
              <w:t>50.00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0DC5A1A0">
            <w:pPr>
              <w:jc w:val="center"/>
            </w:pPr>
            <w:r>
              <w:rPr>
                <w:rFonts w:ascii="宋体" w:hAnsi="宋体" w:eastAsia="宋体"/>
                <w:sz w:val="16"/>
              </w:rPr>
              <w:t>50.00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49DEF41">
            <w:pPr>
              <w:jc w:val="center"/>
            </w:pPr>
            <w:r>
              <w:rPr>
                <w:rFonts w:ascii="宋体" w:hAnsi="宋体" w:eastAsia="宋体"/>
                <w:sz w:val="16"/>
              </w:rPr>
              <w:t>50.00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3509E60">
            <w:pPr>
              <w:jc w:val="center"/>
            </w:pPr>
            <w:r>
              <w:rPr>
                <w:rFonts w:ascii="宋体" w:hAnsi="宋体" w:eastAsia="宋体"/>
                <w:sz w:val="16"/>
              </w:rPr>
              <w:t>—</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EDB9D16">
            <w:pPr>
              <w:jc w:val="center"/>
            </w:pPr>
            <w:r>
              <w:rPr>
                <w:rFonts w:ascii="宋体" w:hAnsi="宋体" w:eastAsia="宋体"/>
                <w:sz w:val="16"/>
              </w:rPr>
              <w:t>—</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7815A720">
            <w:pPr>
              <w:jc w:val="center"/>
            </w:pPr>
            <w:r>
              <w:rPr>
                <w:rFonts w:ascii="宋体" w:hAnsi="宋体" w:eastAsia="宋体"/>
                <w:sz w:val="16"/>
              </w:rPr>
              <w:t>—</w:t>
            </w:r>
          </w:p>
        </w:tc>
      </w:tr>
      <w:tr w14:paraId="59D6CA84">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0223E1B3"/>
        </w:tc>
        <w:tc>
          <w:tcPr>
            <w:tcW w:w="2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BBED">
            <w:pPr>
              <w:jc w:val="center"/>
            </w:pPr>
            <w:r>
              <w:rPr>
                <w:rFonts w:ascii="宋体" w:hAnsi="宋体" w:eastAsia="宋体"/>
                <w:sz w:val="16"/>
              </w:rPr>
              <w:t xml:space="preserve">      上年结转资金</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3B58EE52">
            <w:pPr>
              <w:jc w:val="center"/>
            </w:pPr>
            <w:r>
              <w:rPr>
                <w:rFonts w:ascii="宋体" w:hAnsi="宋体" w:eastAsia="宋体"/>
                <w:sz w:val="16"/>
              </w:rPr>
              <w:t>0.00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7109F74F">
            <w:pPr>
              <w:jc w:val="center"/>
            </w:pPr>
            <w:r>
              <w:rPr>
                <w:rFonts w:ascii="宋体" w:hAnsi="宋体" w:eastAsia="宋体"/>
                <w:sz w:val="16"/>
              </w:rPr>
              <w:t>0.00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3019083A">
            <w:pPr>
              <w:jc w:val="center"/>
            </w:pPr>
            <w:r>
              <w:rPr>
                <w:rFonts w:ascii="宋体" w:hAnsi="宋体" w:eastAsia="宋体"/>
                <w:sz w:val="16"/>
              </w:rPr>
              <w:t>0.00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D201777">
            <w:pPr>
              <w:jc w:val="center"/>
            </w:pPr>
            <w:r>
              <w:rPr>
                <w:rFonts w:ascii="宋体" w:hAnsi="宋体" w:eastAsia="宋体"/>
                <w:sz w:val="16"/>
              </w:rPr>
              <w:t>—</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69924C47">
            <w:pPr>
              <w:jc w:val="center"/>
            </w:pPr>
            <w:r>
              <w:rPr>
                <w:rFonts w:ascii="宋体" w:hAnsi="宋体" w:eastAsia="宋体"/>
                <w:sz w:val="16"/>
              </w:rPr>
              <w:t>—</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79CDEFBF">
            <w:pPr>
              <w:jc w:val="center"/>
            </w:pPr>
            <w:r>
              <w:rPr>
                <w:rFonts w:ascii="宋体" w:hAnsi="宋体" w:eastAsia="宋体"/>
                <w:sz w:val="16"/>
              </w:rPr>
              <w:t>—</w:t>
            </w:r>
          </w:p>
        </w:tc>
      </w:tr>
      <w:tr w14:paraId="76444023">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7286F44D"/>
        </w:tc>
        <w:tc>
          <w:tcPr>
            <w:tcW w:w="21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C572B">
            <w:pPr>
              <w:jc w:val="center"/>
            </w:pPr>
            <w:r>
              <w:rPr>
                <w:rFonts w:ascii="宋体" w:hAnsi="宋体" w:eastAsia="宋体"/>
                <w:sz w:val="16"/>
              </w:rPr>
              <w:t xml:space="preserve">  其他资金</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450B1E19">
            <w:pPr>
              <w:jc w:val="center"/>
            </w:pPr>
            <w:r>
              <w:rPr>
                <w:rFonts w:ascii="宋体" w:hAnsi="宋体" w:eastAsia="宋体"/>
                <w:sz w:val="16"/>
              </w:rPr>
              <w:t>0.00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4E68456D">
            <w:pPr>
              <w:jc w:val="center"/>
            </w:pPr>
            <w:r>
              <w:rPr>
                <w:rFonts w:ascii="宋体" w:hAnsi="宋体" w:eastAsia="宋体"/>
                <w:sz w:val="16"/>
              </w:rPr>
              <w:t>0.00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108F4B7F">
            <w:pPr>
              <w:jc w:val="center"/>
            </w:pPr>
            <w:r>
              <w:rPr>
                <w:rFonts w:ascii="宋体" w:hAnsi="宋体" w:eastAsia="宋体"/>
                <w:sz w:val="16"/>
              </w:rPr>
              <w:t>0.00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3CE4B96">
            <w:pPr>
              <w:jc w:val="center"/>
            </w:pPr>
            <w:r>
              <w:rPr>
                <w:rFonts w:ascii="宋体" w:hAnsi="宋体" w:eastAsia="宋体"/>
                <w:sz w:val="16"/>
              </w:rPr>
              <w:t>—</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3E4945C3">
            <w:pPr>
              <w:jc w:val="center"/>
            </w:pPr>
            <w:r>
              <w:rPr>
                <w:rFonts w:ascii="宋体" w:hAnsi="宋体" w:eastAsia="宋体"/>
                <w:sz w:val="16"/>
              </w:rPr>
              <w:t>—</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414B7A9D">
            <w:pPr>
              <w:jc w:val="center"/>
            </w:pPr>
            <w:r>
              <w:rPr>
                <w:rFonts w:ascii="宋体" w:hAnsi="宋体" w:eastAsia="宋体"/>
                <w:sz w:val="16"/>
              </w:rPr>
              <w:t>—</w:t>
            </w:r>
          </w:p>
        </w:tc>
      </w:tr>
      <w:tr w14:paraId="08A003BA">
        <w:tblPrEx>
          <w:tblCellMar>
            <w:top w:w="0" w:type="dxa"/>
            <w:left w:w="108" w:type="dxa"/>
            <w:bottom w:w="0" w:type="dxa"/>
            <w:right w:w="108" w:type="dxa"/>
          </w:tblCellMar>
        </w:tblPrEx>
        <w:trPr>
          <w:trHeight w:val="90" w:hRule="atLeast"/>
        </w:trPr>
        <w:tc>
          <w:tcPr>
            <w:tcW w:w="8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7579F">
            <w:pPr>
              <w:jc w:val="center"/>
            </w:pPr>
            <w:r>
              <w:rPr>
                <w:rFonts w:ascii="宋体" w:hAnsi="宋体" w:eastAsia="宋体"/>
                <w:sz w:val="16"/>
              </w:rPr>
              <w:t>年度总体目标</w:t>
            </w:r>
          </w:p>
        </w:tc>
        <w:tc>
          <w:tcPr>
            <w:tcW w:w="33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CF0794">
            <w:pPr>
              <w:jc w:val="center"/>
            </w:pPr>
            <w:r>
              <w:rPr>
                <w:rFonts w:ascii="宋体" w:hAnsi="宋体" w:eastAsia="宋体"/>
                <w:sz w:val="16"/>
              </w:rPr>
              <w:t>预期目标</w:t>
            </w:r>
          </w:p>
        </w:tc>
        <w:tc>
          <w:tcPr>
            <w:tcW w:w="49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5E3B60">
            <w:pPr>
              <w:jc w:val="center"/>
            </w:pPr>
            <w:r>
              <w:rPr>
                <w:rFonts w:ascii="宋体" w:hAnsi="宋体" w:eastAsia="宋体"/>
                <w:sz w:val="16"/>
              </w:rPr>
              <w:t>实际完成情况</w:t>
            </w:r>
          </w:p>
        </w:tc>
      </w:tr>
      <w:tr w14:paraId="1273391B">
        <w:tblPrEx>
          <w:tblCellMar>
            <w:top w:w="0" w:type="dxa"/>
            <w:left w:w="108" w:type="dxa"/>
            <w:bottom w:w="0" w:type="dxa"/>
            <w:right w:w="108" w:type="dxa"/>
          </w:tblCellMar>
        </w:tblPrEx>
        <w:trPr>
          <w:trHeight w:val="734"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63CB64D3"/>
        </w:tc>
        <w:tc>
          <w:tcPr>
            <w:tcW w:w="33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882195">
            <w:pPr>
              <w:jc w:val="both"/>
            </w:pPr>
            <w:r>
              <w:rPr>
                <w:rFonts w:hint="eastAsia" w:ascii="宋体" w:hAnsi="宋体"/>
                <w:w w:val="66"/>
                <w:sz w:val="16"/>
                <w:lang w:eastAsia="zh-CN"/>
              </w:rPr>
              <w:t>干部</w:t>
            </w:r>
            <w:r>
              <w:rPr>
                <w:rFonts w:ascii="宋体" w:hAnsi="宋体" w:eastAsia="宋体"/>
                <w:w w:val="66"/>
                <w:sz w:val="16"/>
              </w:rPr>
              <w:t>在乌市的接待保障工作，做好援和及各省市在乌市的接待工作，</w:t>
            </w:r>
            <w:r>
              <w:rPr>
                <w:rFonts w:hint="eastAsia" w:ascii="宋体" w:hAnsi="宋体"/>
                <w:w w:val="66"/>
                <w:sz w:val="16"/>
                <w:lang w:eastAsia="zh-CN"/>
              </w:rPr>
              <w:t>干部</w:t>
            </w:r>
            <w:r>
              <w:rPr>
                <w:rFonts w:ascii="宋体" w:hAnsi="宋体" w:eastAsia="宋体"/>
                <w:w w:val="66"/>
                <w:sz w:val="16"/>
              </w:rPr>
              <w:t>来乌市就医期间的接待工</w:t>
            </w:r>
            <w:r>
              <w:rPr>
                <w:rFonts w:ascii="宋体" w:hAnsi="宋体" w:eastAsia="宋体"/>
                <w:w w:val="80"/>
                <w:sz w:val="16"/>
              </w:rPr>
              <w:t>作</w:t>
            </w:r>
          </w:p>
        </w:tc>
        <w:tc>
          <w:tcPr>
            <w:tcW w:w="492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B85887">
            <w:pPr>
              <w:jc w:val="both"/>
            </w:pPr>
            <w:r>
              <w:rPr>
                <w:rFonts w:hint="eastAsia" w:ascii="宋体" w:hAnsi="宋体"/>
                <w:w w:val="66"/>
                <w:sz w:val="16"/>
                <w:lang w:eastAsia="zh-CN"/>
              </w:rPr>
              <w:t>截至2024年12月31日，本项目实际形成支出50万元，已完成接待和田来乌出差、开会3000人保障临聘人员14人，达到了提高工作效率的效益，受益接待人员满意度达到95%。</w:t>
            </w:r>
          </w:p>
        </w:tc>
      </w:tr>
      <w:tr w14:paraId="46788E40">
        <w:tblPrEx>
          <w:tblCellMar>
            <w:top w:w="0" w:type="dxa"/>
            <w:left w:w="108" w:type="dxa"/>
            <w:bottom w:w="0" w:type="dxa"/>
            <w:right w:w="108" w:type="dxa"/>
          </w:tblCellMar>
        </w:tblPrEx>
        <w:trPr>
          <w:trHeight w:val="578" w:hRule="atLeast"/>
        </w:trPr>
        <w:tc>
          <w:tcPr>
            <w:tcW w:w="890" w:type="dxa"/>
            <w:tcBorders>
              <w:top w:val="single" w:color="auto" w:sz="10" w:space="0"/>
              <w:left w:val="single" w:color="auto" w:sz="10" w:space="0"/>
              <w:bottom w:val="single" w:color="auto" w:sz="10" w:space="0"/>
              <w:right w:val="single" w:color="auto" w:sz="10" w:space="0"/>
              <w:insideV w:val="single" w:sz="10" w:space="0"/>
            </w:tcBorders>
          </w:tcPr>
          <w:p w14:paraId="2521080A"/>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56C4B473">
            <w:pPr>
              <w:jc w:val="center"/>
            </w:pPr>
            <w:r>
              <w:rPr>
                <w:rFonts w:ascii="宋体" w:hAnsi="宋体" w:eastAsia="宋体"/>
                <w:sz w:val="16"/>
              </w:rPr>
              <w:t>一级指标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D459072">
            <w:pPr>
              <w:jc w:val="center"/>
            </w:pPr>
            <w:r>
              <w:rPr>
                <w:rFonts w:ascii="宋体" w:hAnsi="宋体" w:eastAsia="宋体"/>
                <w:sz w:val="16"/>
              </w:rPr>
              <w:t>二级指标</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464D946E">
            <w:pPr>
              <w:jc w:val="center"/>
            </w:pPr>
            <w:r>
              <w:rPr>
                <w:rFonts w:ascii="宋体" w:hAnsi="宋体" w:eastAsia="宋体"/>
                <w:sz w:val="16"/>
              </w:rPr>
              <w:t>三级指标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78441CDC">
            <w:pPr>
              <w:jc w:val="center"/>
            </w:pPr>
            <w:r>
              <w:rPr>
                <w:rFonts w:ascii="宋体" w:hAnsi="宋体" w:eastAsia="宋体"/>
                <w:sz w:val="16"/>
              </w:rPr>
              <w:t>年度指标值</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496BEB0">
            <w:pPr>
              <w:jc w:val="center"/>
            </w:pPr>
            <w:r>
              <w:rPr>
                <w:rFonts w:ascii="宋体" w:hAnsi="宋体" w:eastAsia="宋体"/>
                <w:sz w:val="16"/>
              </w:rPr>
              <w:t>实际完成值</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556596C">
            <w:pPr>
              <w:jc w:val="center"/>
            </w:pPr>
            <w:r>
              <w:rPr>
                <w:rFonts w:ascii="宋体" w:hAnsi="宋体" w:eastAsia="宋体"/>
                <w:sz w:val="16"/>
              </w:rPr>
              <w:t>分值</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9A8E2C4">
            <w:pPr>
              <w:jc w:val="center"/>
            </w:pPr>
            <w:r>
              <w:rPr>
                <w:rFonts w:ascii="宋体" w:hAnsi="宋体" w:eastAsia="宋体"/>
                <w:sz w:val="16"/>
              </w:rPr>
              <w:t>得分</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60CF3CB7">
            <w:pPr>
              <w:jc w:val="center"/>
            </w:pPr>
            <w:r>
              <w:rPr>
                <w:rFonts w:ascii="宋体" w:hAnsi="宋体" w:eastAsia="宋体"/>
                <w:sz w:val="16"/>
              </w:rPr>
              <w:t>偏差原因分析及改进措施</w:t>
            </w:r>
          </w:p>
        </w:tc>
      </w:tr>
      <w:tr w14:paraId="66D798F0">
        <w:tblPrEx>
          <w:tblCellMar>
            <w:top w:w="0" w:type="dxa"/>
            <w:left w:w="108" w:type="dxa"/>
            <w:bottom w:w="0" w:type="dxa"/>
            <w:right w:w="108" w:type="dxa"/>
          </w:tblCellMar>
        </w:tblPrEx>
        <w:trPr>
          <w:trHeight w:val="746" w:hRule="atLeast"/>
        </w:trPr>
        <w:tc>
          <w:tcPr>
            <w:tcW w:w="89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C2CEB">
            <w:pPr>
              <w:jc w:val="center"/>
            </w:pPr>
            <w:r>
              <w:rPr>
                <w:rFonts w:ascii="宋体" w:hAnsi="宋体" w:eastAsia="宋体"/>
                <w:sz w:val="16"/>
              </w:rPr>
              <w:t>年度绩效指标完成情况</w:t>
            </w:r>
          </w:p>
        </w:tc>
        <w:tc>
          <w:tcPr>
            <w:tcW w:w="11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9F578">
            <w:pPr>
              <w:jc w:val="center"/>
            </w:pPr>
            <w:r>
              <w:rPr>
                <w:rFonts w:ascii="宋体" w:hAnsi="宋体" w:eastAsia="宋体"/>
                <w:sz w:val="16"/>
              </w:rPr>
              <w:t>产出指标</w:t>
            </w:r>
          </w:p>
        </w:tc>
        <w:tc>
          <w:tcPr>
            <w:tcW w:w="10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BE8BD">
            <w:pPr>
              <w:jc w:val="center"/>
            </w:pPr>
            <w:r>
              <w:rPr>
                <w:rFonts w:ascii="宋体" w:hAnsi="宋体" w:eastAsia="宋体"/>
                <w:sz w:val="16"/>
              </w:rPr>
              <w:t>数量指标</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1A0B039C">
            <w:pPr>
              <w:jc w:val="center"/>
            </w:pPr>
            <w:r>
              <w:rPr>
                <w:rFonts w:ascii="宋体" w:hAnsi="宋体" w:eastAsia="宋体"/>
                <w:w w:val="80"/>
                <w:sz w:val="16"/>
              </w:rPr>
              <w:t>接待和田来乌出差、开会人数（人）</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A0303A4">
            <w:pPr>
              <w:jc w:val="center"/>
            </w:pPr>
            <w:r>
              <w:rPr>
                <w:rFonts w:ascii="宋体" w:hAnsi="宋体" w:eastAsia="宋体"/>
                <w:sz w:val="16"/>
              </w:rPr>
              <w:t>≥3000人</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2D5B50C">
            <w:pPr>
              <w:jc w:val="center"/>
            </w:pPr>
            <w:r>
              <w:rPr>
                <w:rFonts w:ascii="宋体" w:hAnsi="宋体" w:eastAsia="宋体"/>
                <w:sz w:val="16"/>
              </w:rPr>
              <w:t>=3000人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B4B68B5">
            <w:pPr>
              <w:jc w:val="center"/>
            </w:pPr>
            <w:r>
              <w:rPr>
                <w:rFonts w:ascii="宋体" w:hAnsi="宋体" w:eastAsia="宋体"/>
                <w:sz w:val="16"/>
              </w:rPr>
              <w:t>8</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DAD5352">
            <w:pPr>
              <w:jc w:val="center"/>
            </w:pPr>
            <w:r>
              <w:rPr>
                <w:rFonts w:ascii="宋体" w:hAnsi="宋体" w:eastAsia="宋体"/>
                <w:sz w:val="16"/>
              </w:rPr>
              <w:t>8</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681C405B">
            <w:pPr>
              <w:jc w:val="center"/>
            </w:pPr>
          </w:p>
        </w:tc>
      </w:tr>
      <w:tr w14:paraId="5D9F0C31">
        <w:tblPrEx>
          <w:tblCellMar>
            <w:top w:w="0" w:type="dxa"/>
            <w:left w:w="108" w:type="dxa"/>
            <w:bottom w:w="0" w:type="dxa"/>
            <w:right w:w="108" w:type="dxa"/>
          </w:tblCellMar>
        </w:tblPrEx>
        <w:trPr>
          <w:trHeight w:val="554"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336D4A8D"/>
        </w:tc>
        <w:tc>
          <w:tcPr>
            <w:tcW w:w="1140" w:type="dxa"/>
            <w:vMerge w:val="continue"/>
            <w:tcBorders>
              <w:top w:val="single" w:color="auto" w:sz="10" w:space="0"/>
              <w:left w:val="single" w:color="auto" w:sz="10" w:space="0"/>
              <w:bottom w:val="single" w:color="auto" w:sz="10" w:space="0"/>
              <w:right w:val="single" w:color="auto" w:sz="10" w:space="0"/>
              <w:insideV w:val="single" w:sz="10" w:space="0"/>
            </w:tcBorders>
          </w:tcPr>
          <w:p w14:paraId="02C18C6A"/>
        </w:tc>
        <w:tc>
          <w:tcPr>
            <w:tcW w:w="1016" w:type="dxa"/>
            <w:vMerge w:val="continue"/>
            <w:tcBorders>
              <w:top w:val="single" w:color="auto" w:sz="10" w:space="0"/>
              <w:left w:val="single" w:color="auto" w:sz="10" w:space="0"/>
              <w:bottom w:val="single" w:color="auto" w:sz="10" w:space="0"/>
              <w:right w:val="single" w:color="auto" w:sz="10" w:space="0"/>
              <w:insideV w:val="single" w:sz="10" w:space="0"/>
            </w:tcBorders>
          </w:tcPr>
          <w:p w14:paraId="2D3DF256"/>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62020D4A">
            <w:pPr>
              <w:jc w:val="center"/>
            </w:pPr>
            <w:r>
              <w:rPr>
                <w:rFonts w:ascii="宋体" w:hAnsi="宋体" w:eastAsia="宋体"/>
                <w:w w:val="80"/>
                <w:sz w:val="16"/>
              </w:rPr>
              <w:t>保障临聘人员数（人）</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57054C4E">
            <w:pPr>
              <w:jc w:val="center"/>
            </w:pPr>
            <w:r>
              <w:rPr>
                <w:rFonts w:ascii="宋体" w:hAnsi="宋体" w:eastAsia="宋体"/>
                <w:sz w:val="16"/>
              </w:rPr>
              <w:t>≥14人</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9F86183">
            <w:pPr>
              <w:jc w:val="center"/>
            </w:pPr>
            <w:r>
              <w:rPr>
                <w:rFonts w:ascii="宋体" w:hAnsi="宋体" w:eastAsia="宋体"/>
                <w:sz w:val="16"/>
              </w:rPr>
              <w:t>=14人</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F7B1F69">
            <w:pPr>
              <w:jc w:val="center"/>
            </w:pPr>
            <w:r>
              <w:rPr>
                <w:rFonts w:ascii="宋体" w:hAnsi="宋体" w:eastAsia="宋体"/>
                <w:sz w:val="16"/>
              </w:rPr>
              <w:t>8</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5FF32BF">
            <w:pPr>
              <w:jc w:val="center"/>
            </w:pPr>
            <w:r>
              <w:rPr>
                <w:rFonts w:ascii="宋体" w:hAnsi="宋体" w:eastAsia="宋体"/>
                <w:sz w:val="16"/>
              </w:rPr>
              <w:t>8</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01DBF806">
            <w:pPr>
              <w:jc w:val="center"/>
            </w:pPr>
          </w:p>
        </w:tc>
      </w:tr>
      <w:tr w14:paraId="348AFE58">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5FA67338"/>
        </w:tc>
        <w:tc>
          <w:tcPr>
            <w:tcW w:w="1140" w:type="dxa"/>
            <w:vMerge w:val="continue"/>
            <w:tcBorders>
              <w:top w:val="single" w:color="auto" w:sz="10" w:space="0"/>
              <w:left w:val="single" w:color="auto" w:sz="10" w:space="0"/>
              <w:bottom w:val="single" w:color="auto" w:sz="10" w:space="0"/>
              <w:right w:val="single" w:color="auto" w:sz="10" w:space="0"/>
              <w:insideV w:val="single" w:sz="10" w:space="0"/>
            </w:tcBorders>
          </w:tcPr>
          <w:p w14:paraId="4B27EC59"/>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63AF3065">
            <w:pPr>
              <w:jc w:val="center"/>
            </w:pPr>
            <w:r>
              <w:rPr>
                <w:rFonts w:ascii="宋体" w:hAnsi="宋体" w:eastAsia="宋体"/>
                <w:sz w:val="16"/>
              </w:rPr>
              <w:t>质量指标</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15468A11">
            <w:pPr>
              <w:jc w:val="center"/>
            </w:pPr>
            <w:r>
              <w:rPr>
                <w:rFonts w:ascii="宋体" w:hAnsi="宋体" w:eastAsia="宋体"/>
                <w:sz w:val="16"/>
              </w:rPr>
              <w:t>工作人员上岗率（%）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5DF57441">
            <w:pPr>
              <w:jc w:val="center"/>
            </w:pPr>
            <w:r>
              <w:rPr>
                <w:rFonts w:ascii="宋体" w:hAnsi="宋体" w:eastAsia="宋体"/>
                <w:sz w:val="16"/>
              </w:rPr>
              <w:t>=100%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66FDC68">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1A107BC">
            <w:pPr>
              <w:jc w:val="center"/>
            </w:pPr>
            <w:r>
              <w:rPr>
                <w:rFonts w:ascii="宋体" w:hAnsi="宋体" w:eastAsia="宋体"/>
                <w:sz w:val="16"/>
              </w:rPr>
              <w:t>8</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6B665717">
            <w:pPr>
              <w:jc w:val="center"/>
            </w:pPr>
            <w:r>
              <w:rPr>
                <w:rFonts w:ascii="宋体" w:hAnsi="宋体" w:eastAsia="宋体"/>
                <w:sz w:val="16"/>
              </w:rPr>
              <w:t>8</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73AFF0CE">
            <w:pPr>
              <w:jc w:val="center"/>
            </w:pPr>
          </w:p>
        </w:tc>
      </w:tr>
      <w:tr w14:paraId="62628933">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74D8E0F6"/>
        </w:tc>
        <w:tc>
          <w:tcPr>
            <w:tcW w:w="1140" w:type="dxa"/>
            <w:vMerge w:val="continue"/>
            <w:tcBorders>
              <w:top w:val="single" w:color="auto" w:sz="10" w:space="0"/>
              <w:left w:val="single" w:color="auto" w:sz="10" w:space="0"/>
              <w:bottom w:val="single" w:color="auto" w:sz="10" w:space="0"/>
              <w:right w:val="single" w:color="auto" w:sz="10" w:space="0"/>
              <w:insideV w:val="single" w:sz="10" w:space="0"/>
            </w:tcBorders>
          </w:tcPr>
          <w:p w14:paraId="5AEB70F9"/>
        </w:tc>
        <w:tc>
          <w:tcPr>
            <w:tcW w:w="10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22E8B">
            <w:pPr>
              <w:jc w:val="center"/>
            </w:pPr>
            <w:r>
              <w:rPr>
                <w:rFonts w:ascii="宋体" w:hAnsi="宋体" w:eastAsia="宋体"/>
                <w:sz w:val="16"/>
              </w:rPr>
              <w:t>时效指标</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6DF5160A">
            <w:pPr>
              <w:jc w:val="center"/>
            </w:pPr>
            <w:r>
              <w:rPr>
                <w:rFonts w:ascii="宋体" w:hAnsi="宋体" w:eastAsia="宋体"/>
                <w:sz w:val="16"/>
              </w:rPr>
              <w:t>人员接待及时率（%）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4492A3D5">
            <w:pPr>
              <w:jc w:val="center"/>
            </w:pPr>
            <w:r>
              <w:rPr>
                <w:rFonts w:ascii="宋体" w:hAnsi="宋体" w:eastAsia="宋体"/>
                <w:sz w:val="16"/>
              </w:rPr>
              <w:t>=100%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27D97FA">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A18321A">
            <w:pPr>
              <w:jc w:val="center"/>
            </w:pPr>
            <w:r>
              <w:rPr>
                <w:rFonts w:ascii="宋体" w:hAnsi="宋体" w:eastAsia="宋体"/>
                <w:sz w:val="16"/>
              </w:rPr>
              <w:t>8</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F4F8E07">
            <w:pPr>
              <w:jc w:val="center"/>
            </w:pPr>
            <w:r>
              <w:rPr>
                <w:rFonts w:ascii="宋体" w:hAnsi="宋体" w:eastAsia="宋体"/>
                <w:sz w:val="16"/>
              </w:rPr>
              <w:t>8</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60CC31D2">
            <w:pPr>
              <w:jc w:val="center"/>
            </w:pPr>
          </w:p>
        </w:tc>
      </w:tr>
      <w:tr w14:paraId="67F04C93">
        <w:tblPrEx>
          <w:tblCellMar>
            <w:top w:w="0" w:type="dxa"/>
            <w:left w:w="108" w:type="dxa"/>
            <w:bottom w:w="0" w:type="dxa"/>
            <w:right w:w="108" w:type="dxa"/>
          </w:tblCellMar>
        </w:tblPrEx>
        <w:trPr>
          <w:trHeight w:val="539"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0193FE6B"/>
        </w:tc>
        <w:tc>
          <w:tcPr>
            <w:tcW w:w="1140" w:type="dxa"/>
            <w:vMerge w:val="continue"/>
            <w:tcBorders>
              <w:top w:val="single" w:color="auto" w:sz="10" w:space="0"/>
              <w:left w:val="single" w:color="auto" w:sz="10" w:space="0"/>
              <w:bottom w:val="single" w:color="auto" w:sz="10" w:space="0"/>
              <w:right w:val="single" w:color="auto" w:sz="10" w:space="0"/>
              <w:insideV w:val="single" w:sz="10" w:space="0"/>
            </w:tcBorders>
          </w:tcPr>
          <w:p w14:paraId="22BD7A71"/>
        </w:tc>
        <w:tc>
          <w:tcPr>
            <w:tcW w:w="1016" w:type="dxa"/>
            <w:vMerge w:val="continue"/>
            <w:tcBorders>
              <w:top w:val="single" w:color="auto" w:sz="10" w:space="0"/>
              <w:left w:val="single" w:color="auto" w:sz="10" w:space="0"/>
              <w:bottom w:val="single" w:color="auto" w:sz="10" w:space="0"/>
              <w:right w:val="single" w:color="auto" w:sz="10" w:space="0"/>
              <w:insideV w:val="single" w:sz="10" w:space="0"/>
            </w:tcBorders>
          </w:tcPr>
          <w:p w14:paraId="7ACD41A6"/>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4077D173">
            <w:pPr>
              <w:jc w:val="center"/>
            </w:pPr>
            <w:r>
              <w:rPr>
                <w:rFonts w:ascii="宋体" w:hAnsi="宋体" w:eastAsia="宋体"/>
                <w:w w:val="66"/>
                <w:sz w:val="16"/>
              </w:rPr>
              <w:t>聘用人员工资发放及时率（%）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BFD4F07">
            <w:pPr>
              <w:jc w:val="center"/>
            </w:pPr>
            <w:r>
              <w:rPr>
                <w:rFonts w:ascii="宋体" w:hAnsi="宋体" w:eastAsia="宋体"/>
                <w:sz w:val="16"/>
              </w:rPr>
              <w:t>=100%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C777418">
            <w:pPr>
              <w:jc w:val="center"/>
            </w:pPr>
            <w:r>
              <w:rPr>
                <w:rFonts w:ascii="宋体" w:hAnsi="宋体" w:eastAsia="宋体"/>
                <w:sz w:val="16"/>
              </w:rPr>
              <w:t>=100%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FA8D316">
            <w:pPr>
              <w:jc w:val="center"/>
            </w:pPr>
            <w:r>
              <w:rPr>
                <w:rFonts w:ascii="宋体" w:hAnsi="宋体" w:eastAsia="宋体"/>
                <w:sz w:val="16"/>
              </w:rPr>
              <w:t>8</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4A1E0827">
            <w:pPr>
              <w:jc w:val="center"/>
            </w:pPr>
            <w:r>
              <w:rPr>
                <w:rFonts w:ascii="宋体" w:hAnsi="宋体" w:eastAsia="宋体"/>
                <w:sz w:val="16"/>
              </w:rPr>
              <w:t>8</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635DFDCA">
            <w:pPr>
              <w:jc w:val="center"/>
            </w:pPr>
          </w:p>
        </w:tc>
      </w:tr>
      <w:tr w14:paraId="215C8381">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349AAB38"/>
        </w:tc>
        <w:tc>
          <w:tcPr>
            <w:tcW w:w="114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324AD">
            <w:pPr>
              <w:jc w:val="center"/>
            </w:pPr>
            <w:r>
              <w:rPr>
                <w:rFonts w:ascii="宋体" w:hAnsi="宋体" w:eastAsia="宋体"/>
                <w:sz w:val="16"/>
              </w:rPr>
              <w:t>成本指标</w:t>
            </w:r>
          </w:p>
        </w:tc>
        <w:tc>
          <w:tcPr>
            <w:tcW w:w="101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263A4">
            <w:pPr>
              <w:jc w:val="center"/>
            </w:pPr>
            <w:r>
              <w:rPr>
                <w:rFonts w:ascii="宋体" w:hAnsi="宋体" w:eastAsia="宋体"/>
                <w:sz w:val="16"/>
              </w:rPr>
              <w:t>经济成本指标</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1AF0DA27">
            <w:pPr>
              <w:jc w:val="center"/>
            </w:pPr>
            <w:r>
              <w:rPr>
                <w:rFonts w:ascii="宋体" w:hAnsi="宋体" w:eastAsia="宋体"/>
                <w:sz w:val="16"/>
              </w:rPr>
              <w:t>接待餐费（万元)</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197CE118">
            <w:pPr>
              <w:jc w:val="center"/>
            </w:pPr>
            <w:r>
              <w:rPr>
                <w:rFonts w:ascii="宋体" w:hAnsi="宋体" w:eastAsia="宋体"/>
                <w:sz w:val="16"/>
              </w:rPr>
              <w:t>≤25万元</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F503E08">
            <w:pPr>
              <w:jc w:val="center"/>
            </w:pPr>
            <w:r>
              <w:rPr>
                <w:rFonts w:ascii="宋体" w:hAnsi="宋体" w:eastAsia="宋体"/>
                <w:sz w:val="16"/>
              </w:rPr>
              <w:t>=25万元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DDC2458">
            <w:pPr>
              <w:jc w:val="center"/>
            </w:pPr>
            <w:r>
              <w:rPr>
                <w:rFonts w:ascii="宋体" w:hAnsi="宋体" w:eastAsia="宋体"/>
                <w:sz w:val="16"/>
              </w:rPr>
              <w:t>8</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B409ABC">
            <w:pPr>
              <w:jc w:val="center"/>
            </w:pPr>
            <w:r>
              <w:rPr>
                <w:rFonts w:ascii="宋体" w:hAnsi="宋体" w:eastAsia="宋体"/>
                <w:sz w:val="16"/>
              </w:rPr>
              <w:t>8</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7BCA61FD">
            <w:pPr>
              <w:jc w:val="center"/>
            </w:pPr>
          </w:p>
        </w:tc>
      </w:tr>
      <w:tr w14:paraId="477CFA6C">
        <w:tblPrEx>
          <w:tblCellMar>
            <w:top w:w="0" w:type="dxa"/>
            <w:left w:w="108" w:type="dxa"/>
            <w:bottom w:w="0" w:type="dxa"/>
            <w:right w:w="108" w:type="dxa"/>
          </w:tblCellMar>
        </w:tblPrEx>
        <w:trPr>
          <w:trHeight w:val="90"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0FA6D87A"/>
        </w:tc>
        <w:tc>
          <w:tcPr>
            <w:tcW w:w="1140" w:type="dxa"/>
            <w:vMerge w:val="continue"/>
            <w:tcBorders>
              <w:top w:val="single" w:color="auto" w:sz="10" w:space="0"/>
              <w:left w:val="single" w:color="auto" w:sz="10" w:space="0"/>
              <w:bottom w:val="single" w:color="auto" w:sz="10" w:space="0"/>
              <w:right w:val="single" w:color="auto" w:sz="10" w:space="0"/>
              <w:insideV w:val="single" w:sz="10" w:space="0"/>
            </w:tcBorders>
          </w:tcPr>
          <w:p w14:paraId="3D7EE194"/>
        </w:tc>
        <w:tc>
          <w:tcPr>
            <w:tcW w:w="1016" w:type="dxa"/>
            <w:vMerge w:val="continue"/>
            <w:tcBorders>
              <w:top w:val="single" w:color="auto" w:sz="10" w:space="0"/>
              <w:left w:val="single" w:color="auto" w:sz="10" w:space="0"/>
              <w:bottom w:val="single" w:color="auto" w:sz="10" w:space="0"/>
              <w:right w:val="single" w:color="auto" w:sz="10" w:space="0"/>
              <w:insideV w:val="single" w:sz="10" w:space="0"/>
            </w:tcBorders>
          </w:tcPr>
          <w:p w14:paraId="09FE1BDA"/>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43D0A6EB">
            <w:pPr>
              <w:jc w:val="center"/>
            </w:pPr>
            <w:r>
              <w:rPr>
                <w:rFonts w:ascii="宋体" w:hAnsi="宋体" w:eastAsia="宋体"/>
                <w:sz w:val="16"/>
              </w:rPr>
              <w:t>接待服务费（万元）</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4AEF43BC">
            <w:pPr>
              <w:jc w:val="center"/>
            </w:pPr>
            <w:r>
              <w:rPr>
                <w:rFonts w:ascii="宋体" w:hAnsi="宋体" w:eastAsia="宋体"/>
                <w:sz w:val="16"/>
              </w:rPr>
              <w:t>≤10万元</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D04EDD7">
            <w:pPr>
              <w:jc w:val="center"/>
            </w:pPr>
            <w:r>
              <w:rPr>
                <w:rFonts w:ascii="宋体" w:hAnsi="宋体" w:eastAsia="宋体"/>
                <w:sz w:val="16"/>
              </w:rPr>
              <w:t>=10万元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EA5B673">
            <w:pPr>
              <w:jc w:val="center"/>
            </w:pPr>
            <w:r>
              <w:rPr>
                <w:rFonts w:ascii="宋体" w:hAnsi="宋体" w:eastAsia="宋体"/>
                <w:sz w:val="16"/>
              </w:rPr>
              <w:t>6</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560C1C0">
            <w:pPr>
              <w:jc w:val="center"/>
            </w:pPr>
            <w:r>
              <w:rPr>
                <w:rFonts w:ascii="宋体" w:hAnsi="宋体" w:eastAsia="宋体"/>
                <w:sz w:val="16"/>
              </w:rPr>
              <w:t>6</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0C541B7D">
            <w:pPr>
              <w:jc w:val="center"/>
            </w:pPr>
          </w:p>
        </w:tc>
      </w:tr>
      <w:tr w14:paraId="2EFD417B">
        <w:tblPrEx>
          <w:tblCellMar>
            <w:top w:w="0" w:type="dxa"/>
            <w:left w:w="108" w:type="dxa"/>
            <w:bottom w:w="0" w:type="dxa"/>
            <w:right w:w="108" w:type="dxa"/>
          </w:tblCellMar>
        </w:tblPrEx>
        <w:trPr>
          <w:trHeight w:val="465"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7BF98934"/>
        </w:tc>
        <w:tc>
          <w:tcPr>
            <w:tcW w:w="1140" w:type="dxa"/>
            <w:vMerge w:val="continue"/>
            <w:tcBorders>
              <w:top w:val="single" w:color="auto" w:sz="10" w:space="0"/>
              <w:left w:val="single" w:color="auto" w:sz="10" w:space="0"/>
              <w:bottom w:val="single" w:color="auto" w:sz="10" w:space="0"/>
              <w:right w:val="single" w:color="auto" w:sz="10" w:space="0"/>
              <w:insideV w:val="single" w:sz="10" w:space="0"/>
            </w:tcBorders>
          </w:tcPr>
          <w:p w14:paraId="7434491F"/>
        </w:tc>
        <w:tc>
          <w:tcPr>
            <w:tcW w:w="1016" w:type="dxa"/>
            <w:vMerge w:val="continue"/>
            <w:tcBorders>
              <w:top w:val="single" w:color="auto" w:sz="10" w:space="0"/>
              <w:left w:val="single" w:color="auto" w:sz="10" w:space="0"/>
              <w:bottom w:val="single" w:color="auto" w:sz="10" w:space="0"/>
              <w:right w:val="single" w:color="auto" w:sz="10" w:space="0"/>
              <w:insideV w:val="single" w:sz="10" w:space="0"/>
            </w:tcBorders>
          </w:tcPr>
          <w:p w14:paraId="2F7EAE96"/>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7D26C3F3">
            <w:pPr>
              <w:jc w:val="center"/>
            </w:pPr>
            <w:r>
              <w:rPr>
                <w:rFonts w:ascii="宋体" w:hAnsi="宋体" w:eastAsia="宋体"/>
                <w:w w:val="80"/>
                <w:sz w:val="16"/>
              </w:rPr>
              <w:t>临聘人员工资（万元）</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047A9D7">
            <w:pPr>
              <w:jc w:val="center"/>
            </w:pPr>
            <w:r>
              <w:rPr>
                <w:rFonts w:ascii="宋体" w:hAnsi="宋体" w:eastAsia="宋体"/>
                <w:sz w:val="16"/>
              </w:rPr>
              <w:t>≤15万元</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DAB0EA8">
            <w:pPr>
              <w:jc w:val="center"/>
            </w:pPr>
            <w:r>
              <w:rPr>
                <w:rFonts w:ascii="宋体" w:hAnsi="宋体" w:eastAsia="宋体"/>
                <w:sz w:val="16"/>
              </w:rPr>
              <w:t>=15万元</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1EEF9578">
            <w:pPr>
              <w:jc w:val="center"/>
            </w:pPr>
            <w:r>
              <w:rPr>
                <w:rFonts w:ascii="宋体" w:hAnsi="宋体" w:eastAsia="宋体"/>
                <w:sz w:val="16"/>
              </w:rPr>
              <w:t>6</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72A1C465">
            <w:pPr>
              <w:jc w:val="center"/>
            </w:pPr>
            <w:r>
              <w:rPr>
                <w:rFonts w:ascii="宋体" w:hAnsi="宋体" w:eastAsia="宋体"/>
                <w:sz w:val="16"/>
              </w:rPr>
              <w:t>6</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1BE5B5E8">
            <w:pPr>
              <w:jc w:val="center"/>
            </w:pPr>
          </w:p>
        </w:tc>
      </w:tr>
      <w:tr w14:paraId="0920F2DD">
        <w:tblPrEx>
          <w:tblCellMar>
            <w:top w:w="0" w:type="dxa"/>
            <w:left w:w="108" w:type="dxa"/>
            <w:bottom w:w="0" w:type="dxa"/>
            <w:right w:w="108" w:type="dxa"/>
          </w:tblCellMar>
        </w:tblPrEx>
        <w:trPr>
          <w:trHeight w:val="569"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1504827A"/>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5539243B">
            <w:pPr>
              <w:jc w:val="center"/>
            </w:pPr>
            <w:r>
              <w:rPr>
                <w:rFonts w:ascii="宋体" w:hAnsi="宋体" w:eastAsia="宋体"/>
                <w:sz w:val="16"/>
              </w:rPr>
              <w:t>效益指标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CD2581B">
            <w:pPr>
              <w:jc w:val="center"/>
            </w:pPr>
            <w:r>
              <w:rPr>
                <w:rFonts w:ascii="宋体" w:hAnsi="宋体" w:eastAsia="宋体"/>
                <w:sz w:val="16"/>
              </w:rPr>
              <w:t>社会效益指标</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56807BB9">
            <w:pPr>
              <w:jc w:val="center"/>
            </w:pPr>
            <w:r>
              <w:rPr>
                <w:rFonts w:ascii="宋体" w:hAnsi="宋体" w:eastAsia="宋体"/>
                <w:sz w:val="16"/>
              </w:rPr>
              <w:t>工作效率提高情况</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37D43B76">
            <w:pPr>
              <w:jc w:val="center"/>
            </w:pPr>
            <w:r>
              <w:rPr>
                <w:rFonts w:ascii="宋体" w:hAnsi="宋体" w:eastAsia="宋体"/>
                <w:sz w:val="16"/>
              </w:rPr>
              <w:t>有效提高</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2E16D1C">
            <w:pPr>
              <w:jc w:val="center"/>
            </w:pPr>
            <w:r>
              <w:rPr>
                <w:rFonts w:ascii="宋体" w:hAnsi="宋体" w:eastAsia="宋体"/>
                <w:sz w:val="16"/>
              </w:rPr>
              <w:t>基本达成目标</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92E17D3">
            <w:pPr>
              <w:jc w:val="center"/>
            </w:pPr>
            <w:r>
              <w:rPr>
                <w:rFonts w:ascii="宋体" w:hAnsi="宋体" w:eastAsia="宋体"/>
                <w:sz w:val="16"/>
              </w:rPr>
              <w:t>20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0934A5E8">
            <w:pPr>
              <w:jc w:val="center"/>
            </w:pPr>
            <w:r>
              <w:rPr>
                <w:rFonts w:ascii="宋体" w:hAnsi="宋体" w:eastAsia="宋体"/>
                <w:sz w:val="16"/>
              </w:rPr>
              <w:t>20</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56A94AC0">
            <w:pPr>
              <w:jc w:val="center"/>
            </w:pPr>
          </w:p>
        </w:tc>
      </w:tr>
      <w:tr w14:paraId="701E582C">
        <w:tblPrEx>
          <w:tblCellMar>
            <w:top w:w="0" w:type="dxa"/>
            <w:left w:w="108" w:type="dxa"/>
            <w:bottom w:w="0" w:type="dxa"/>
            <w:right w:w="108" w:type="dxa"/>
          </w:tblCellMar>
        </w:tblPrEx>
        <w:trPr>
          <w:trHeight w:val="554" w:hRule="atLeast"/>
        </w:trPr>
        <w:tc>
          <w:tcPr>
            <w:tcW w:w="890" w:type="dxa"/>
            <w:vMerge w:val="continue"/>
            <w:tcBorders>
              <w:top w:val="single" w:color="auto" w:sz="10" w:space="0"/>
              <w:left w:val="single" w:color="auto" w:sz="10" w:space="0"/>
              <w:bottom w:val="single" w:color="auto" w:sz="10" w:space="0"/>
              <w:right w:val="single" w:color="auto" w:sz="10" w:space="0"/>
              <w:insideV w:val="single" w:sz="10" w:space="0"/>
            </w:tcBorders>
          </w:tcPr>
          <w:p w14:paraId="1A3CF1F6"/>
        </w:tc>
        <w:tc>
          <w:tcPr>
            <w:tcW w:w="1140" w:type="dxa"/>
            <w:tcBorders>
              <w:top w:val="single" w:color="auto" w:sz="10" w:space="0"/>
              <w:left w:val="single" w:color="auto" w:sz="10" w:space="0"/>
              <w:bottom w:val="single" w:color="auto" w:sz="10" w:space="0"/>
              <w:right w:val="single" w:color="auto" w:sz="10" w:space="0"/>
              <w:insideV w:val="single" w:sz="10" w:space="0"/>
            </w:tcBorders>
            <w:vAlign w:val="center"/>
          </w:tcPr>
          <w:p w14:paraId="46D98F6C">
            <w:pPr>
              <w:jc w:val="center"/>
            </w:pPr>
            <w:r>
              <w:rPr>
                <w:rFonts w:ascii="宋体" w:hAnsi="宋体" w:eastAsia="宋体"/>
                <w:sz w:val="16"/>
              </w:rPr>
              <w:t>满意度指标</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0471EC9">
            <w:pPr>
              <w:jc w:val="center"/>
            </w:pPr>
            <w:r>
              <w:rPr>
                <w:rFonts w:ascii="宋体" w:hAnsi="宋体" w:eastAsia="宋体"/>
                <w:sz w:val="16"/>
              </w:rPr>
              <w:t>满意度指标</w:t>
            </w:r>
          </w:p>
        </w:tc>
        <w:tc>
          <w:tcPr>
            <w:tcW w:w="1174" w:type="dxa"/>
            <w:tcBorders>
              <w:top w:val="single" w:color="auto" w:sz="10" w:space="0"/>
              <w:left w:val="single" w:color="auto" w:sz="10" w:space="0"/>
              <w:bottom w:val="single" w:color="auto" w:sz="10" w:space="0"/>
              <w:right w:val="single" w:color="auto" w:sz="10" w:space="0"/>
              <w:insideV w:val="single" w:sz="10" w:space="0"/>
            </w:tcBorders>
            <w:vAlign w:val="center"/>
          </w:tcPr>
          <w:p w14:paraId="3D920279">
            <w:pPr>
              <w:jc w:val="center"/>
            </w:pPr>
            <w:r>
              <w:rPr>
                <w:rFonts w:ascii="宋体" w:hAnsi="宋体" w:eastAsia="宋体"/>
                <w:sz w:val="16"/>
              </w:rPr>
              <w:t>接待人员满意度（%）</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6C4DC016">
            <w:pPr>
              <w:jc w:val="center"/>
            </w:pPr>
            <w:r>
              <w:rPr>
                <w:rFonts w:ascii="宋体" w:hAnsi="宋体" w:eastAsia="宋体"/>
                <w:sz w:val="16"/>
              </w:rPr>
              <w:t>≥95%</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53711AE">
            <w:pPr>
              <w:jc w:val="center"/>
            </w:pPr>
            <w:r>
              <w:rPr>
                <w:rFonts w:ascii="宋体" w:hAnsi="宋体" w:eastAsia="宋体"/>
                <w:sz w:val="16"/>
              </w:rPr>
              <w:t>=95%</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A5DE568">
            <w:pPr>
              <w:jc w:val="center"/>
            </w:pPr>
            <w:r>
              <w:rPr>
                <w:rFonts w:ascii="宋体" w:hAnsi="宋体" w:eastAsia="宋体"/>
                <w:sz w:val="16"/>
              </w:rPr>
              <w:t>10</w:t>
            </w:r>
          </w:p>
        </w:tc>
        <w:tc>
          <w:tcPr>
            <w:tcW w:w="885" w:type="dxa"/>
            <w:tcBorders>
              <w:top w:val="single" w:color="auto" w:sz="10" w:space="0"/>
              <w:left w:val="single" w:color="auto" w:sz="10" w:space="0"/>
              <w:bottom w:val="single" w:color="auto" w:sz="10" w:space="0"/>
              <w:right w:val="single" w:color="auto" w:sz="10" w:space="0"/>
              <w:insideV w:val="single" w:sz="10" w:space="0"/>
            </w:tcBorders>
            <w:vAlign w:val="center"/>
          </w:tcPr>
          <w:p w14:paraId="56992FF5">
            <w:pPr>
              <w:jc w:val="center"/>
            </w:pPr>
            <w:r>
              <w:rPr>
                <w:rFonts w:ascii="宋体" w:hAnsi="宋体" w:eastAsia="宋体"/>
                <w:sz w:val="16"/>
              </w:rPr>
              <w:t>10</w:t>
            </w:r>
          </w:p>
        </w:tc>
        <w:tc>
          <w:tcPr>
            <w:tcW w:w="1425" w:type="dxa"/>
            <w:tcBorders>
              <w:top w:val="single" w:color="auto" w:sz="10" w:space="0"/>
              <w:left w:val="single" w:color="auto" w:sz="10" w:space="0"/>
              <w:bottom w:val="single" w:color="auto" w:sz="10" w:space="0"/>
              <w:right w:val="single" w:color="auto" w:sz="10" w:space="0"/>
              <w:insideV w:val="single" w:sz="10" w:space="0"/>
            </w:tcBorders>
            <w:vAlign w:val="center"/>
          </w:tcPr>
          <w:p w14:paraId="49E569D0">
            <w:pPr>
              <w:jc w:val="center"/>
            </w:pPr>
          </w:p>
        </w:tc>
      </w:tr>
      <w:tr w14:paraId="25A17535">
        <w:tblPrEx>
          <w:tblCellMar>
            <w:top w:w="0" w:type="dxa"/>
            <w:left w:w="108" w:type="dxa"/>
            <w:bottom w:w="0" w:type="dxa"/>
            <w:right w:w="108" w:type="dxa"/>
          </w:tblCellMar>
        </w:tblPrEx>
        <w:trPr>
          <w:trHeight w:val="90" w:hRule="atLeast"/>
        </w:trPr>
        <w:tc>
          <w:tcPr>
            <w:tcW w:w="890" w:type="dxa"/>
            <w:tcBorders>
              <w:top w:val="single" w:color="auto" w:sz="10" w:space="0"/>
              <w:left w:val="single" w:color="auto" w:sz="10" w:space="0"/>
              <w:bottom w:val="single" w:color="auto" w:sz="10" w:space="0"/>
              <w:right w:val="single" w:color="auto" w:sz="10" w:space="0"/>
              <w:insideV w:val="single" w:sz="10" w:space="0"/>
            </w:tcBorders>
            <w:vAlign w:val="center"/>
          </w:tcPr>
          <w:p w14:paraId="4C339B1A">
            <w:pPr>
              <w:jc w:val="center"/>
            </w:pPr>
            <w:r>
              <w:rPr>
                <w:rFonts w:ascii="宋体" w:hAnsi="宋体" w:eastAsia="宋体"/>
                <w:sz w:val="16"/>
              </w:rPr>
              <w:t>总分</w:t>
            </w:r>
          </w:p>
        </w:tc>
        <w:tc>
          <w:tcPr>
            <w:tcW w:w="333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AE84B4">
            <w:pPr>
              <w:jc w:val="center"/>
            </w:pPr>
            <w:r>
              <w:rPr>
                <w:rFonts w:ascii="宋体" w:hAnsi="宋体" w:eastAsia="宋体"/>
                <w:sz w:val="16"/>
              </w:rPr>
              <w:t>100</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47A023BB">
            <w:pPr>
              <w:jc w:val="center"/>
            </w:pPr>
            <w:r>
              <w:rPr>
                <w:rFonts w:ascii="宋体" w:hAnsi="宋体" w:eastAsia="宋体"/>
                <w:sz w:val="16"/>
              </w:rPr>
              <w:t>得分</w:t>
            </w:r>
          </w:p>
        </w:tc>
        <w:tc>
          <w:tcPr>
            <w:tcW w:w="394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91BFD9">
            <w:pPr>
              <w:jc w:val="center"/>
            </w:pPr>
            <w:r>
              <w:rPr>
                <w:rFonts w:ascii="宋体" w:hAnsi="宋体" w:eastAsia="宋体"/>
                <w:sz w:val="16"/>
              </w:rPr>
              <w:t>100分</w:t>
            </w:r>
          </w:p>
        </w:tc>
      </w:tr>
    </w:tbl>
    <w:p w14:paraId="32E2A1DD">
      <w:r>
        <w:br w:type="page"/>
      </w:r>
    </w:p>
    <w:tbl>
      <w:tblPr>
        <w:tblStyle w:val="9"/>
        <w:tblW w:w="0" w:type="auto"/>
        <w:tblInd w:w="0" w:type="dxa"/>
        <w:tblLayout w:type="fixed"/>
        <w:tblCellMar>
          <w:top w:w="0" w:type="dxa"/>
          <w:left w:w="108" w:type="dxa"/>
          <w:bottom w:w="0" w:type="dxa"/>
          <w:right w:w="108" w:type="dxa"/>
        </w:tblCellMar>
      </w:tblPr>
      <w:tblGrid>
        <w:gridCol w:w="983"/>
        <w:gridCol w:w="888"/>
        <w:gridCol w:w="975"/>
        <w:gridCol w:w="1350"/>
        <w:gridCol w:w="1005"/>
        <w:gridCol w:w="1065"/>
        <w:gridCol w:w="615"/>
        <w:gridCol w:w="795"/>
        <w:gridCol w:w="1171"/>
      </w:tblGrid>
      <w:tr w14:paraId="7550E5C1">
        <w:tblPrEx>
          <w:tblCellMar>
            <w:top w:w="0" w:type="dxa"/>
            <w:left w:w="108" w:type="dxa"/>
            <w:bottom w:w="0" w:type="dxa"/>
            <w:right w:w="108" w:type="dxa"/>
          </w:tblCellMar>
        </w:tblPrEx>
        <w:tc>
          <w:tcPr>
            <w:tcW w:w="8847" w:type="dxa"/>
            <w:gridSpan w:val="9"/>
            <w:vAlign w:val="center"/>
          </w:tcPr>
          <w:p w14:paraId="7F181BB8">
            <w:pPr>
              <w:jc w:val="center"/>
            </w:pPr>
            <w:r>
              <w:rPr>
                <w:rFonts w:ascii="宋体" w:hAnsi="宋体" w:eastAsia="宋体"/>
                <w:sz w:val="24"/>
              </w:rPr>
              <w:t>项目支出绩效自评表</w:t>
            </w:r>
          </w:p>
        </w:tc>
      </w:tr>
      <w:tr w14:paraId="1DFF92A5">
        <w:tblPrEx>
          <w:tblCellMar>
            <w:top w:w="0" w:type="dxa"/>
            <w:left w:w="108" w:type="dxa"/>
            <w:bottom w:w="0" w:type="dxa"/>
            <w:right w:w="108" w:type="dxa"/>
          </w:tblCellMar>
        </w:tblPrEx>
        <w:tc>
          <w:tcPr>
            <w:tcW w:w="8847" w:type="dxa"/>
            <w:gridSpan w:val="9"/>
            <w:vAlign w:val="center"/>
          </w:tcPr>
          <w:p w14:paraId="09A237A7">
            <w:pPr>
              <w:jc w:val="center"/>
            </w:pPr>
            <w:r>
              <w:rPr>
                <w:rFonts w:ascii="宋体" w:hAnsi="宋体" w:eastAsia="宋体"/>
                <w:sz w:val="24"/>
              </w:rPr>
              <w:t>(2024年度)</w:t>
            </w:r>
          </w:p>
        </w:tc>
      </w:tr>
      <w:tr w14:paraId="7F34B6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F54AB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1B50E1E">
            <w:pPr>
              <w:jc w:val="center"/>
            </w:pPr>
            <w:r>
              <w:rPr>
                <w:rFonts w:ascii="宋体" w:hAnsi="宋体" w:eastAsia="宋体"/>
                <w:sz w:val="16"/>
              </w:rPr>
              <w:t>车辆运行维护费</w:t>
            </w:r>
          </w:p>
        </w:tc>
      </w:tr>
      <w:tr w14:paraId="22956F33">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D64C8">
            <w:pPr>
              <w:jc w:val="center"/>
            </w:pPr>
            <w:r>
              <w:rPr>
                <w:rFonts w:ascii="宋体" w:hAnsi="宋体" w:eastAsia="宋体"/>
                <w:sz w:val="16"/>
              </w:rPr>
              <w:t>主管部门</w:t>
            </w:r>
          </w:p>
        </w:tc>
        <w:tc>
          <w:tcPr>
            <w:tcW w:w="321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297480">
            <w:pPr>
              <w:jc w:val="center"/>
            </w:pPr>
            <w:r>
              <w:rPr>
                <w:rFonts w:ascii="宋体" w:hAnsi="宋体" w:eastAsia="宋体"/>
                <w:sz w:val="16"/>
              </w:rPr>
              <w:t>新疆和田行政公署驻乌鲁木齐办事处</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F1D4C0A">
            <w:pPr>
              <w:jc w:val="center"/>
            </w:pPr>
            <w:r>
              <w:rPr>
                <w:rFonts w:ascii="宋体" w:hAnsi="宋体" w:eastAsia="宋体"/>
                <w:sz w:val="16"/>
              </w:rPr>
              <w:t>实施单位</w:t>
            </w:r>
          </w:p>
        </w:tc>
        <w:tc>
          <w:tcPr>
            <w:tcW w:w="364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F4E260">
            <w:pPr>
              <w:jc w:val="center"/>
            </w:pPr>
            <w:r>
              <w:rPr>
                <w:rFonts w:ascii="宋体" w:hAnsi="宋体" w:eastAsia="宋体"/>
                <w:sz w:val="16"/>
              </w:rPr>
              <w:t>新疆和田行政公署驻乌鲁木齐办事处</w:t>
            </w:r>
          </w:p>
        </w:tc>
      </w:tr>
      <w:tr w14:paraId="64F599E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50BFE">
            <w:pPr>
              <w:jc w:val="center"/>
            </w:pPr>
            <w:r>
              <w:rPr>
                <w:rFonts w:ascii="宋体" w:hAnsi="宋体" w:eastAsia="宋体"/>
                <w:sz w:val="16"/>
              </w:rPr>
              <w:t>项目资金 （万元）</w:t>
            </w:r>
          </w:p>
        </w:tc>
        <w:tc>
          <w:tcPr>
            <w:tcW w:w="18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887A0">
            <w:pPr>
              <w:jc w:val="center"/>
            </w:pP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1D6FBF48">
            <w:pPr>
              <w:jc w:val="center"/>
            </w:pPr>
            <w:r>
              <w:rPr>
                <w:rFonts w:ascii="宋体" w:hAnsi="宋体" w:eastAsia="宋体"/>
                <w:sz w:val="16"/>
              </w:rPr>
              <w:t>年初预算数</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809E31C">
            <w:pPr>
              <w:jc w:val="center"/>
            </w:pPr>
            <w:r>
              <w:rPr>
                <w:rFonts w:ascii="宋体" w:hAnsi="宋体" w:eastAsia="宋体"/>
                <w:sz w:val="16"/>
              </w:rPr>
              <w:t>全年预算数</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A1C4E42">
            <w:pPr>
              <w:jc w:val="center"/>
            </w:pPr>
            <w:r>
              <w:rPr>
                <w:rFonts w:ascii="宋体" w:hAnsi="宋体" w:eastAsia="宋体"/>
                <w:sz w:val="16"/>
              </w:rPr>
              <w:t>全年执行数</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56300B1">
            <w:pPr>
              <w:jc w:val="center"/>
            </w:pPr>
            <w:r>
              <w:rPr>
                <w:rFonts w:ascii="宋体" w:hAnsi="宋体" w:eastAsia="宋体"/>
                <w:sz w:val="16"/>
              </w:rPr>
              <w:t>分值</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DF1C274">
            <w:pPr>
              <w:jc w:val="center"/>
            </w:pPr>
            <w:r>
              <w:rPr>
                <w:rFonts w:ascii="宋体" w:hAnsi="宋体" w:eastAsia="宋体"/>
                <w:sz w:val="16"/>
              </w:rPr>
              <w:t>执行率</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6EAC7B93">
            <w:pPr>
              <w:jc w:val="center"/>
            </w:pPr>
            <w:r>
              <w:rPr>
                <w:rFonts w:ascii="宋体" w:hAnsi="宋体" w:eastAsia="宋体"/>
                <w:sz w:val="16"/>
              </w:rPr>
              <w:t>得分</w:t>
            </w:r>
          </w:p>
        </w:tc>
      </w:tr>
      <w:tr w14:paraId="31FDB6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867B13"/>
        </w:tc>
        <w:tc>
          <w:tcPr>
            <w:tcW w:w="18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6B081">
            <w:pPr>
              <w:jc w:val="center"/>
            </w:pPr>
            <w:r>
              <w:rPr>
                <w:rFonts w:ascii="宋体" w:hAnsi="宋体" w:eastAsia="宋体"/>
                <w:sz w:val="16"/>
              </w:rPr>
              <w:t>年度资金总额</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44BA8C6C">
            <w:pPr>
              <w:jc w:val="center"/>
            </w:pPr>
            <w:r>
              <w:rPr>
                <w:rFonts w:ascii="宋体" w:hAnsi="宋体" w:eastAsia="宋体"/>
                <w:sz w:val="16"/>
              </w:rPr>
              <w:t>25.00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D1BC1F4">
            <w:pPr>
              <w:jc w:val="center"/>
            </w:pPr>
            <w:r>
              <w:rPr>
                <w:rFonts w:ascii="宋体" w:hAnsi="宋体" w:eastAsia="宋体"/>
                <w:sz w:val="16"/>
              </w:rPr>
              <w:t>77.51</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2FA303C">
            <w:pPr>
              <w:jc w:val="center"/>
            </w:pPr>
            <w:r>
              <w:rPr>
                <w:rFonts w:ascii="宋体" w:hAnsi="宋体" w:eastAsia="宋体"/>
                <w:sz w:val="16"/>
              </w:rPr>
              <w:t>77.51</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C955D31">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E5FFCDF">
            <w:pPr>
              <w:jc w:val="center"/>
            </w:pPr>
            <w:r>
              <w:rPr>
                <w:rFonts w:ascii="宋体" w:hAnsi="宋体" w:eastAsia="宋体"/>
                <w:sz w:val="16"/>
              </w:rPr>
              <w:t xml:space="preserve">100.00% </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2AB3A4DA">
            <w:pPr>
              <w:jc w:val="center"/>
            </w:pPr>
            <w:r>
              <w:rPr>
                <w:rFonts w:ascii="宋体" w:hAnsi="宋体" w:eastAsia="宋体"/>
                <w:sz w:val="16"/>
              </w:rPr>
              <w:t>10.00分</w:t>
            </w:r>
          </w:p>
        </w:tc>
      </w:tr>
      <w:tr w14:paraId="36246D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8B68E"/>
        </w:tc>
        <w:tc>
          <w:tcPr>
            <w:tcW w:w="18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31F1">
            <w:pPr>
              <w:jc w:val="center"/>
            </w:pPr>
            <w:r>
              <w:rPr>
                <w:rFonts w:ascii="宋体" w:hAnsi="宋体" w:eastAsia="宋体"/>
                <w:sz w:val="16"/>
              </w:rPr>
              <w:t>其中：当年财政拨款</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78B74951">
            <w:pPr>
              <w:jc w:val="center"/>
            </w:pPr>
            <w:r>
              <w:rPr>
                <w:rFonts w:ascii="宋体" w:hAnsi="宋体" w:eastAsia="宋体"/>
                <w:sz w:val="16"/>
              </w:rPr>
              <w:t>25.00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D97672B">
            <w:pPr>
              <w:jc w:val="center"/>
            </w:pPr>
            <w:r>
              <w:rPr>
                <w:rFonts w:ascii="宋体" w:hAnsi="宋体" w:eastAsia="宋体"/>
                <w:sz w:val="16"/>
              </w:rPr>
              <w:t>77.51</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7FB87B6">
            <w:pPr>
              <w:jc w:val="center"/>
            </w:pPr>
            <w:r>
              <w:rPr>
                <w:rFonts w:ascii="宋体" w:hAnsi="宋体" w:eastAsia="宋体"/>
                <w:sz w:val="16"/>
              </w:rPr>
              <w:t>77.51</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E233988">
            <w:pPr>
              <w:jc w:val="center"/>
            </w:pPr>
            <w:r>
              <w:rPr>
                <w:rFonts w:ascii="宋体" w:hAnsi="宋体" w:eastAsia="宋体"/>
                <w:sz w:val="16"/>
              </w:rPr>
              <w:t>—</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356A148A">
            <w:pPr>
              <w:jc w:val="center"/>
            </w:pPr>
            <w:r>
              <w:rPr>
                <w:rFonts w:ascii="宋体" w:hAnsi="宋体" w:eastAsia="宋体"/>
                <w:sz w:val="16"/>
              </w:rPr>
              <w:t>—</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3D062DC9">
            <w:pPr>
              <w:jc w:val="center"/>
            </w:pPr>
            <w:r>
              <w:rPr>
                <w:rFonts w:ascii="宋体" w:hAnsi="宋体" w:eastAsia="宋体"/>
                <w:sz w:val="16"/>
              </w:rPr>
              <w:t>—</w:t>
            </w:r>
          </w:p>
        </w:tc>
      </w:tr>
      <w:tr w14:paraId="25DD8A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F7B8AE"/>
        </w:tc>
        <w:tc>
          <w:tcPr>
            <w:tcW w:w="18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68B93">
            <w:pPr>
              <w:jc w:val="center"/>
            </w:pPr>
            <w:r>
              <w:rPr>
                <w:rFonts w:ascii="宋体" w:hAnsi="宋体" w:eastAsia="宋体"/>
                <w:sz w:val="16"/>
              </w:rPr>
              <w:t xml:space="preserve">      上年结转资金</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0365DAB3">
            <w:pPr>
              <w:jc w:val="center"/>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5294581">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984A236">
            <w:pPr>
              <w:jc w:val="center"/>
            </w:pPr>
            <w:r>
              <w:rPr>
                <w:rFonts w:ascii="宋体" w:hAnsi="宋体" w:eastAsia="宋体"/>
                <w:sz w:val="16"/>
              </w:rPr>
              <w:t>0.00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22D0FC8">
            <w:pPr>
              <w:jc w:val="center"/>
            </w:pPr>
            <w:r>
              <w:rPr>
                <w:rFonts w:ascii="宋体" w:hAnsi="宋体" w:eastAsia="宋体"/>
                <w:sz w:val="16"/>
              </w:rPr>
              <w:t>—</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6D7403F">
            <w:pPr>
              <w:jc w:val="center"/>
            </w:pPr>
            <w:r>
              <w:rPr>
                <w:rFonts w:ascii="宋体" w:hAnsi="宋体" w:eastAsia="宋体"/>
                <w:sz w:val="16"/>
              </w:rPr>
              <w:t>—</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77D4D954">
            <w:pPr>
              <w:jc w:val="center"/>
            </w:pPr>
            <w:r>
              <w:rPr>
                <w:rFonts w:ascii="宋体" w:hAnsi="宋体" w:eastAsia="宋体"/>
                <w:sz w:val="16"/>
              </w:rPr>
              <w:t>—</w:t>
            </w:r>
          </w:p>
        </w:tc>
      </w:tr>
      <w:tr w14:paraId="630E30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E24D9"/>
        </w:tc>
        <w:tc>
          <w:tcPr>
            <w:tcW w:w="186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DC648">
            <w:pPr>
              <w:jc w:val="center"/>
            </w:pPr>
            <w:r>
              <w:rPr>
                <w:rFonts w:ascii="宋体" w:hAnsi="宋体" w:eastAsia="宋体"/>
                <w:sz w:val="16"/>
              </w:rPr>
              <w:t xml:space="preserve">  其他资金</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3CA33AF2">
            <w:pPr>
              <w:jc w:val="center"/>
            </w:pPr>
            <w:r>
              <w:rPr>
                <w:rFonts w:ascii="宋体" w:hAnsi="宋体" w:eastAsia="宋体"/>
                <w:sz w:val="16"/>
              </w:rPr>
              <w:t>0.00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9AB0A13">
            <w:pPr>
              <w:jc w:val="center"/>
            </w:pPr>
            <w:r>
              <w:rPr>
                <w:rFonts w:ascii="宋体" w:hAnsi="宋体" w:eastAsia="宋体"/>
                <w:sz w:val="16"/>
              </w:rPr>
              <w:t>0.00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0202A4C7">
            <w:pPr>
              <w:jc w:val="center"/>
            </w:pPr>
            <w:r>
              <w:rPr>
                <w:rFonts w:ascii="宋体" w:hAnsi="宋体" w:eastAsia="宋体"/>
                <w:sz w:val="16"/>
              </w:rPr>
              <w:t>0.00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5E2AE2">
            <w:pPr>
              <w:jc w:val="center"/>
            </w:pPr>
            <w:r>
              <w:rPr>
                <w:rFonts w:ascii="宋体" w:hAnsi="宋体" w:eastAsia="宋体"/>
                <w:sz w:val="16"/>
              </w:rPr>
              <w:t>—</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AAF8E1C">
            <w:pPr>
              <w:jc w:val="center"/>
            </w:pPr>
            <w:r>
              <w:rPr>
                <w:rFonts w:ascii="宋体" w:hAnsi="宋体" w:eastAsia="宋体"/>
                <w:sz w:val="16"/>
              </w:rPr>
              <w:t>—</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453967D0">
            <w:pPr>
              <w:jc w:val="center"/>
            </w:pPr>
            <w:r>
              <w:rPr>
                <w:rFonts w:ascii="宋体" w:hAnsi="宋体" w:eastAsia="宋体"/>
                <w:sz w:val="16"/>
              </w:rPr>
              <w:t>—</w:t>
            </w:r>
          </w:p>
        </w:tc>
      </w:tr>
      <w:tr w14:paraId="467DA4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25570">
            <w:pPr>
              <w:jc w:val="center"/>
            </w:pPr>
            <w:r>
              <w:rPr>
                <w:rFonts w:ascii="宋体" w:hAnsi="宋体" w:eastAsia="宋体"/>
                <w:sz w:val="16"/>
              </w:rPr>
              <w:t>年度总体目标</w:t>
            </w:r>
          </w:p>
        </w:tc>
        <w:tc>
          <w:tcPr>
            <w:tcW w:w="321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5ECEDA">
            <w:pPr>
              <w:jc w:val="center"/>
            </w:pPr>
            <w:r>
              <w:rPr>
                <w:rFonts w:ascii="宋体" w:hAnsi="宋体" w:eastAsia="宋体"/>
                <w:sz w:val="16"/>
              </w:rPr>
              <w:t>预期目标</w:t>
            </w:r>
          </w:p>
        </w:tc>
        <w:tc>
          <w:tcPr>
            <w:tcW w:w="465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712486">
            <w:pPr>
              <w:jc w:val="center"/>
            </w:pPr>
            <w:r>
              <w:rPr>
                <w:rFonts w:ascii="宋体" w:hAnsi="宋体" w:eastAsia="宋体"/>
                <w:sz w:val="16"/>
              </w:rPr>
              <w:t>实际完成情况</w:t>
            </w:r>
          </w:p>
        </w:tc>
      </w:tr>
      <w:tr w14:paraId="1CAC8DE3">
        <w:tblPrEx>
          <w:tblCellMar>
            <w:top w:w="0" w:type="dxa"/>
            <w:left w:w="108" w:type="dxa"/>
            <w:bottom w:w="0" w:type="dxa"/>
            <w:right w:w="108" w:type="dxa"/>
          </w:tblCellMar>
        </w:tblPrEx>
        <w:trPr>
          <w:trHeight w:val="52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D57BE2"/>
        </w:tc>
        <w:tc>
          <w:tcPr>
            <w:tcW w:w="321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A9DCC5">
            <w:pPr>
              <w:jc w:val="both"/>
              <w:rPr>
                <w:rFonts w:hint="eastAsia" w:ascii="宋体" w:hAnsi="宋体"/>
                <w:w w:val="66"/>
                <w:sz w:val="16"/>
                <w:lang w:eastAsia="zh-CN"/>
              </w:rPr>
            </w:pPr>
            <w:r>
              <w:rPr>
                <w:rFonts w:hint="eastAsia" w:ascii="宋体" w:hAnsi="宋体"/>
                <w:w w:val="66"/>
                <w:sz w:val="16"/>
                <w:lang w:eastAsia="zh-CN"/>
              </w:rPr>
              <w:t>项目总投资77.51万元，保障8辆公务用车的维修及加油费，保障</w:t>
            </w:r>
            <w:r>
              <w:rPr>
                <w:rFonts w:hint="eastAsia" w:ascii="宋体" w:hAnsi="宋体"/>
                <w:w w:val="66"/>
                <w:sz w:val="16"/>
                <w:lang w:val="en-US" w:eastAsia="zh-CN"/>
              </w:rPr>
              <w:t>干部</w:t>
            </w:r>
            <w:r>
              <w:rPr>
                <w:rFonts w:hint="eastAsia" w:ascii="宋体" w:hAnsi="宋体"/>
                <w:w w:val="66"/>
                <w:sz w:val="16"/>
                <w:lang w:eastAsia="zh-CN"/>
              </w:rPr>
              <w:t>在乌期间出行。</w:t>
            </w:r>
          </w:p>
        </w:tc>
        <w:tc>
          <w:tcPr>
            <w:tcW w:w="465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0E3D69">
            <w:pPr>
              <w:jc w:val="both"/>
              <w:rPr>
                <w:rFonts w:hint="eastAsia" w:ascii="宋体" w:hAnsi="宋体"/>
                <w:w w:val="66"/>
                <w:sz w:val="16"/>
                <w:lang w:eastAsia="zh-CN"/>
              </w:rPr>
            </w:pPr>
            <w:r>
              <w:rPr>
                <w:rFonts w:hint="eastAsia" w:ascii="宋体" w:hAnsi="宋体"/>
                <w:w w:val="66"/>
                <w:sz w:val="16"/>
                <w:lang w:eastAsia="zh-CN"/>
              </w:rPr>
              <w:t>截至2024年12月31日，本项目实际形成支出77.51万元，已完成保障8辆公务用车的正常运转，接待工作100%完成，达到了提高接待工作水平的效益，受益服务对象满意度达到100%。</w:t>
            </w:r>
          </w:p>
        </w:tc>
      </w:tr>
      <w:tr w14:paraId="2479E5C8">
        <w:tblPrEx>
          <w:tblCellMar>
            <w:top w:w="0" w:type="dxa"/>
            <w:left w:w="108" w:type="dxa"/>
            <w:bottom w:w="0" w:type="dxa"/>
            <w:right w:w="108" w:type="dxa"/>
          </w:tblCellMar>
        </w:tblPrEx>
        <w:trPr>
          <w:trHeight w:val="525"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4517069A"/>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68324907">
            <w:pPr>
              <w:jc w:val="center"/>
            </w:pPr>
            <w:r>
              <w:rPr>
                <w:rFonts w:ascii="宋体" w:hAnsi="宋体" w:eastAsia="宋体"/>
                <w:sz w:val="16"/>
              </w:rPr>
              <w:t>一级指标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5632CA16">
            <w:pPr>
              <w:jc w:val="center"/>
            </w:pPr>
            <w:r>
              <w:rPr>
                <w:rFonts w:ascii="宋体" w:hAnsi="宋体" w:eastAsia="宋体"/>
                <w:sz w:val="16"/>
              </w:rPr>
              <w:t>二级指标</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46C03EF1">
            <w:pPr>
              <w:jc w:val="center"/>
            </w:pPr>
            <w:r>
              <w:rPr>
                <w:rFonts w:ascii="宋体" w:hAnsi="宋体" w:eastAsia="宋体"/>
                <w:sz w:val="16"/>
              </w:rPr>
              <w:t>三级指标</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134AE0D4">
            <w:pPr>
              <w:jc w:val="center"/>
            </w:pPr>
            <w:r>
              <w:rPr>
                <w:rFonts w:ascii="宋体" w:hAnsi="宋体" w:eastAsia="宋体"/>
                <w:sz w:val="15"/>
                <w:szCs w:val="15"/>
              </w:rPr>
              <w:t>年度指标值</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CE9AAA6">
            <w:pPr>
              <w:jc w:val="center"/>
            </w:pPr>
            <w:r>
              <w:rPr>
                <w:rFonts w:ascii="宋体" w:hAnsi="宋体" w:eastAsia="宋体"/>
                <w:sz w:val="16"/>
              </w:rPr>
              <w:t>实际完成值</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B1B3CB3">
            <w:pPr>
              <w:jc w:val="center"/>
            </w:pPr>
            <w:r>
              <w:rPr>
                <w:rFonts w:ascii="宋体" w:hAnsi="宋体" w:eastAsia="宋体"/>
                <w:sz w:val="16"/>
              </w:rPr>
              <w:t>分值</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F50AD2C">
            <w:pPr>
              <w:jc w:val="center"/>
            </w:pPr>
            <w:r>
              <w:rPr>
                <w:rFonts w:ascii="宋体" w:hAnsi="宋体" w:eastAsia="宋体"/>
                <w:sz w:val="16"/>
              </w:rPr>
              <w:t>得分</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53B47657">
            <w:pPr>
              <w:jc w:val="center"/>
            </w:pPr>
            <w:r>
              <w:rPr>
                <w:rFonts w:hint="eastAsia" w:ascii="宋体" w:hAnsi="宋体"/>
                <w:w w:val="66"/>
                <w:sz w:val="13"/>
                <w:szCs w:val="13"/>
                <w:lang w:eastAsia="zh-CN"/>
              </w:rPr>
              <w:t>偏差原因分析及改进措施</w:t>
            </w:r>
          </w:p>
        </w:tc>
      </w:tr>
      <w:tr w14:paraId="34D7FAFE">
        <w:tblPrEx>
          <w:tblCellMar>
            <w:top w:w="0" w:type="dxa"/>
            <w:left w:w="108" w:type="dxa"/>
            <w:bottom w:w="0" w:type="dxa"/>
            <w:right w:w="108" w:type="dxa"/>
          </w:tblCellMar>
        </w:tblPrEx>
        <w:trPr>
          <w:trHeight w:val="539"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93B8F">
            <w:pPr>
              <w:jc w:val="center"/>
            </w:pPr>
            <w:r>
              <w:rPr>
                <w:rFonts w:ascii="宋体" w:hAnsi="宋体" w:eastAsia="宋体"/>
                <w:sz w:val="16"/>
              </w:rPr>
              <w:t>年度绩效指标完成情况</w:t>
            </w:r>
          </w:p>
        </w:tc>
        <w:tc>
          <w:tcPr>
            <w:tcW w:w="88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B9719">
            <w:pPr>
              <w:jc w:val="center"/>
            </w:pPr>
            <w:r>
              <w:rPr>
                <w:rFonts w:ascii="宋体" w:hAnsi="宋体" w:eastAsia="宋体"/>
                <w:sz w:val="16"/>
              </w:rPr>
              <w:t>产出指标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7178B20">
            <w:pPr>
              <w:jc w:val="center"/>
            </w:pPr>
            <w:r>
              <w:rPr>
                <w:rFonts w:ascii="宋体" w:hAnsi="宋体" w:eastAsia="宋体"/>
                <w:sz w:val="16"/>
              </w:rPr>
              <w:t>数量指标</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5981DC05">
            <w:pPr>
              <w:jc w:val="center"/>
            </w:pPr>
            <w:r>
              <w:rPr>
                <w:rFonts w:ascii="宋体" w:hAnsi="宋体" w:eastAsia="宋体"/>
                <w:sz w:val="16"/>
              </w:rPr>
              <w:t>保障车辆数（辆）</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608E9611">
            <w:pPr>
              <w:jc w:val="center"/>
            </w:pPr>
            <w:r>
              <w:rPr>
                <w:rFonts w:ascii="宋体" w:hAnsi="宋体" w:eastAsia="宋体"/>
                <w:sz w:val="16"/>
              </w:rPr>
              <w:t>≥8辆</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421621C">
            <w:pPr>
              <w:jc w:val="center"/>
            </w:pPr>
            <w:r>
              <w:rPr>
                <w:rFonts w:ascii="宋体" w:hAnsi="宋体" w:eastAsia="宋体"/>
                <w:sz w:val="16"/>
              </w:rPr>
              <w:t>=8辆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CDADEAB">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8C3835B">
            <w:pPr>
              <w:jc w:val="center"/>
            </w:pPr>
            <w:r>
              <w:rPr>
                <w:rFonts w:ascii="宋体" w:hAnsi="宋体" w:eastAsia="宋体"/>
                <w:sz w:val="16"/>
              </w:rPr>
              <w:t>10</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2EB115DD">
            <w:pPr>
              <w:jc w:val="center"/>
            </w:pPr>
          </w:p>
        </w:tc>
      </w:tr>
      <w:tr w14:paraId="71F369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8ED54"/>
        </w:tc>
        <w:tc>
          <w:tcPr>
            <w:tcW w:w="888" w:type="dxa"/>
            <w:vMerge w:val="continue"/>
            <w:tcBorders>
              <w:top w:val="single" w:color="auto" w:sz="10" w:space="0"/>
              <w:left w:val="single" w:color="auto" w:sz="10" w:space="0"/>
              <w:bottom w:val="single" w:color="auto" w:sz="10" w:space="0"/>
              <w:right w:val="single" w:color="auto" w:sz="10" w:space="0"/>
              <w:insideV w:val="single" w:sz="10" w:space="0"/>
            </w:tcBorders>
          </w:tcPr>
          <w:p w14:paraId="59860FCC"/>
        </w:tc>
        <w:tc>
          <w:tcPr>
            <w:tcW w:w="97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D6A16">
            <w:pPr>
              <w:jc w:val="center"/>
            </w:pPr>
            <w:r>
              <w:rPr>
                <w:rFonts w:ascii="宋体" w:hAnsi="宋体" w:eastAsia="宋体"/>
                <w:sz w:val="16"/>
              </w:rPr>
              <w:t>质量指标</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11F2ED3A">
            <w:pPr>
              <w:jc w:val="center"/>
            </w:pPr>
            <w:r>
              <w:rPr>
                <w:rFonts w:ascii="宋体" w:hAnsi="宋体" w:eastAsia="宋体"/>
                <w:sz w:val="16"/>
              </w:rPr>
              <w:t>接待工作完成率（%）</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F45041B">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642A4293">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059FBB5">
            <w:pPr>
              <w:jc w:val="center"/>
            </w:pPr>
            <w:r>
              <w:rPr>
                <w:rFonts w:ascii="宋体" w:hAnsi="宋体" w:eastAsia="宋体"/>
                <w:sz w:val="16"/>
              </w:rPr>
              <w:t>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0CD66F0">
            <w:pPr>
              <w:jc w:val="center"/>
            </w:pPr>
            <w:r>
              <w:rPr>
                <w:rFonts w:ascii="宋体" w:hAnsi="宋体" w:eastAsia="宋体"/>
                <w:sz w:val="16"/>
              </w:rPr>
              <w:t>5</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099B3AC8">
            <w:pPr>
              <w:jc w:val="center"/>
            </w:pPr>
          </w:p>
        </w:tc>
      </w:tr>
      <w:tr w14:paraId="36DE30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68F42"/>
        </w:tc>
        <w:tc>
          <w:tcPr>
            <w:tcW w:w="888" w:type="dxa"/>
            <w:vMerge w:val="continue"/>
            <w:tcBorders>
              <w:top w:val="single" w:color="auto" w:sz="10" w:space="0"/>
              <w:left w:val="single" w:color="auto" w:sz="10" w:space="0"/>
              <w:bottom w:val="single" w:color="auto" w:sz="10" w:space="0"/>
              <w:right w:val="single" w:color="auto" w:sz="10" w:space="0"/>
              <w:insideV w:val="single" w:sz="10" w:space="0"/>
            </w:tcBorders>
          </w:tcPr>
          <w:p w14:paraId="6F530B16"/>
        </w:tc>
        <w:tc>
          <w:tcPr>
            <w:tcW w:w="975" w:type="dxa"/>
            <w:vMerge w:val="continue"/>
            <w:tcBorders>
              <w:top w:val="single" w:color="auto" w:sz="10" w:space="0"/>
              <w:left w:val="single" w:color="auto" w:sz="10" w:space="0"/>
              <w:bottom w:val="single" w:color="auto" w:sz="10" w:space="0"/>
              <w:right w:val="single" w:color="auto" w:sz="10" w:space="0"/>
              <w:insideV w:val="single" w:sz="10" w:space="0"/>
            </w:tcBorders>
          </w:tcPr>
          <w:p w14:paraId="2782726C"/>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5C8EA3F1">
            <w:pPr>
              <w:jc w:val="center"/>
            </w:pPr>
            <w:r>
              <w:rPr>
                <w:rFonts w:ascii="宋体" w:hAnsi="宋体" w:eastAsia="宋体"/>
                <w:sz w:val="16"/>
              </w:rPr>
              <w:t>车辆运行保障率（%）</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65ADBE6">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4E2EC7A0">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9652D2A">
            <w:pPr>
              <w:jc w:val="center"/>
            </w:pPr>
            <w:r>
              <w:rPr>
                <w:rFonts w:ascii="宋体" w:hAnsi="宋体" w:eastAsia="宋体"/>
                <w:sz w:val="16"/>
              </w:rPr>
              <w:t>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141C145">
            <w:pPr>
              <w:jc w:val="center"/>
            </w:pPr>
            <w:r>
              <w:rPr>
                <w:rFonts w:ascii="宋体" w:hAnsi="宋体" w:eastAsia="宋体"/>
                <w:sz w:val="16"/>
              </w:rPr>
              <w:t>5</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4B122861">
            <w:pPr>
              <w:jc w:val="center"/>
            </w:pPr>
          </w:p>
        </w:tc>
      </w:tr>
      <w:tr w14:paraId="07E1CA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95CBF"/>
        </w:tc>
        <w:tc>
          <w:tcPr>
            <w:tcW w:w="888" w:type="dxa"/>
            <w:vMerge w:val="continue"/>
            <w:tcBorders>
              <w:top w:val="single" w:color="auto" w:sz="10" w:space="0"/>
              <w:left w:val="single" w:color="auto" w:sz="10" w:space="0"/>
              <w:bottom w:val="single" w:color="auto" w:sz="10" w:space="0"/>
              <w:right w:val="single" w:color="auto" w:sz="10" w:space="0"/>
              <w:insideV w:val="single" w:sz="10" w:space="0"/>
            </w:tcBorders>
          </w:tcPr>
          <w:p w14:paraId="288BE270"/>
        </w:tc>
        <w:tc>
          <w:tcPr>
            <w:tcW w:w="97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3BAEC">
            <w:pPr>
              <w:jc w:val="center"/>
            </w:pPr>
            <w:r>
              <w:rPr>
                <w:rFonts w:ascii="宋体" w:hAnsi="宋体" w:eastAsia="宋体"/>
                <w:sz w:val="16"/>
              </w:rPr>
              <w:t>时效指标</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73F4A707">
            <w:pPr>
              <w:jc w:val="center"/>
            </w:pPr>
            <w:r>
              <w:rPr>
                <w:rFonts w:ascii="宋体" w:hAnsi="宋体" w:eastAsia="宋体"/>
                <w:w w:val="80"/>
                <w:sz w:val="16"/>
              </w:rPr>
              <w:t>接待工作完成及时率（%）</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426176ED">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5601C97E">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CCEA80">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A77A899">
            <w:pPr>
              <w:jc w:val="center"/>
            </w:pPr>
            <w:r>
              <w:rPr>
                <w:rFonts w:ascii="宋体" w:hAnsi="宋体" w:eastAsia="宋体"/>
                <w:sz w:val="16"/>
              </w:rPr>
              <w:t>10</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289AF28F">
            <w:pPr>
              <w:jc w:val="center"/>
            </w:pPr>
          </w:p>
        </w:tc>
      </w:tr>
      <w:tr w14:paraId="7C34F406">
        <w:tblPrEx>
          <w:tblCellMar>
            <w:top w:w="0" w:type="dxa"/>
            <w:left w:w="108" w:type="dxa"/>
            <w:bottom w:w="0" w:type="dxa"/>
            <w:right w:w="108" w:type="dxa"/>
          </w:tblCellMar>
        </w:tblPrEx>
        <w:trPr>
          <w:trHeight w:val="46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B104B5"/>
        </w:tc>
        <w:tc>
          <w:tcPr>
            <w:tcW w:w="888" w:type="dxa"/>
            <w:vMerge w:val="continue"/>
            <w:tcBorders>
              <w:top w:val="single" w:color="auto" w:sz="10" w:space="0"/>
              <w:left w:val="single" w:color="auto" w:sz="10" w:space="0"/>
              <w:bottom w:val="single" w:color="auto" w:sz="10" w:space="0"/>
              <w:right w:val="single" w:color="auto" w:sz="10" w:space="0"/>
              <w:insideV w:val="single" w:sz="10" w:space="0"/>
            </w:tcBorders>
          </w:tcPr>
          <w:p w14:paraId="65AE2BF2"/>
        </w:tc>
        <w:tc>
          <w:tcPr>
            <w:tcW w:w="975" w:type="dxa"/>
            <w:vMerge w:val="continue"/>
            <w:tcBorders>
              <w:top w:val="single" w:color="auto" w:sz="10" w:space="0"/>
              <w:left w:val="single" w:color="auto" w:sz="10" w:space="0"/>
              <w:bottom w:val="single" w:color="auto" w:sz="10" w:space="0"/>
              <w:right w:val="single" w:color="auto" w:sz="10" w:space="0"/>
              <w:insideV w:val="single" w:sz="10" w:space="0"/>
            </w:tcBorders>
          </w:tcPr>
          <w:p w14:paraId="549168FD"/>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6538DED1">
            <w:pPr>
              <w:jc w:val="center"/>
            </w:pPr>
            <w:r>
              <w:rPr>
                <w:rFonts w:ascii="宋体" w:hAnsi="宋体" w:eastAsia="宋体"/>
                <w:sz w:val="16"/>
              </w:rPr>
              <w:t>车辆维修及时率（%）</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067AC80F">
            <w:pPr>
              <w:jc w:val="center"/>
            </w:pPr>
            <w:r>
              <w:rPr>
                <w:rFonts w:ascii="宋体" w:hAnsi="宋体" w:eastAsia="宋体"/>
                <w:sz w:val="16"/>
              </w:rPr>
              <w:t>=100%</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C157EA1">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C53406B">
            <w:pPr>
              <w:jc w:val="center"/>
            </w:pPr>
            <w:r>
              <w:rPr>
                <w:rFonts w:ascii="宋体" w:hAnsi="宋体" w:eastAsia="宋体"/>
                <w:sz w:val="16"/>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51B50258">
            <w:pPr>
              <w:jc w:val="center"/>
            </w:pPr>
            <w:r>
              <w:rPr>
                <w:rFonts w:ascii="宋体" w:hAnsi="宋体" w:eastAsia="宋体"/>
                <w:sz w:val="16"/>
              </w:rPr>
              <w:t>10</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53128D38">
            <w:pPr>
              <w:jc w:val="center"/>
            </w:pPr>
          </w:p>
        </w:tc>
      </w:tr>
      <w:tr w14:paraId="7232F8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ADE42"/>
        </w:tc>
        <w:tc>
          <w:tcPr>
            <w:tcW w:w="88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CA47D">
            <w:pPr>
              <w:jc w:val="center"/>
            </w:pPr>
            <w:r>
              <w:rPr>
                <w:rFonts w:ascii="宋体" w:hAnsi="宋体" w:eastAsia="宋体"/>
                <w:sz w:val="16"/>
              </w:rPr>
              <w:t>成本指标</w:t>
            </w:r>
          </w:p>
        </w:tc>
        <w:tc>
          <w:tcPr>
            <w:tcW w:w="97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07C9E">
            <w:pPr>
              <w:jc w:val="center"/>
            </w:pPr>
            <w:r>
              <w:rPr>
                <w:rFonts w:ascii="宋体" w:hAnsi="宋体" w:eastAsia="宋体"/>
                <w:sz w:val="16"/>
              </w:rPr>
              <w:t>经济成本指标</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4B517053">
            <w:pPr>
              <w:jc w:val="center"/>
            </w:pPr>
            <w:r>
              <w:rPr>
                <w:rFonts w:ascii="宋体" w:hAnsi="宋体" w:eastAsia="宋体"/>
                <w:sz w:val="16"/>
              </w:rPr>
              <w:t>燃油费</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0E5020F8">
            <w:pPr>
              <w:jc w:val="center"/>
            </w:pPr>
            <w:r>
              <w:rPr>
                <w:rFonts w:ascii="宋体" w:hAnsi="宋体" w:eastAsia="宋体"/>
                <w:sz w:val="16"/>
              </w:rPr>
              <w:t>≤10万元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A2762FE">
            <w:pPr>
              <w:jc w:val="center"/>
            </w:pPr>
            <w:r>
              <w:rPr>
                <w:rFonts w:ascii="宋体" w:hAnsi="宋体" w:eastAsia="宋体"/>
                <w:sz w:val="16"/>
              </w:rPr>
              <w:t>=10万元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E3C61AE">
            <w:pPr>
              <w:jc w:val="center"/>
            </w:pPr>
            <w:r>
              <w:rPr>
                <w:rFonts w:ascii="宋体" w:hAnsi="宋体" w:eastAsia="宋体"/>
                <w:sz w:val="16"/>
              </w:rPr>
              <w:t>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FA5053A">
            <w:pPr>
              <w:jc w:val="center"/>
            </w:pPr>
            <w:r>
              <w:rPr>
                <w:rFonts w:ascii="宋体" w:hAnsi="宋体" w:eastAsia="宋体"/>
                <w:sz w:val="16"/>
              </w:rPr>
              <w:t>5</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6206D43B">
            <w:pPr>
              <w:jc w:val="center"/>
            </w:pPr>
          </w:p>
        </w:tc>
      </w:tr>
      <w:tr w14:paraId="32FC7296">
        <w:tblPrEx>
          <w:tblCellMar>
            <w:top w:w="0" w:type="dxa"/>
            <w:left w:w="108" w:type="dxa"/>
            <w:bottom w:w="0" w:type="dxa"/>
            <w:right w:w="108" w:type="dxa"/>
          </w:tblCellMar>
        </w:tblPrEx>
        <w:trPr>
          <w:trHeight w:val="43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73F490"/>
        </w:tc>
        <w:tc>
          <w:tcPr>
            <w:tcW w:w="888" w:type="dxa"/>
            <w:vMerge w:val="continue"/>
            <w:tcBorders>
              <w:top w:val="single" w:color="auto" w:sz="10" w:space="0"/>
              <w:left w:val="single" w:color="auto" w:sz="10" w:space="0"/>
              <w:bottom w:val="single" w:color="auto" w:sz="10" w:space="0"/>
              <w:right w:val="single" w:color="auto" w:sz="10" w:space="0"/>
              <w:insideV w:val="single" w:sz="10" w:space="0"/>
            </w:tcBorders>
          </w:tcPr>
          <w:p w14:paraId="6C335E10"/>
        </w:tc>
        <w:tc>
          <w:tcPr>
            <w:tcW w:w="975" w:type="dxa"/>
            <w:vMerge w:val="continue"/>
            <w:tcBorders>
              <w:top w:val="single" w:color="auto" w:sz="10" w:space="0"/>
              <w:left w:val="single" w:color="auto" w:sz="10" w:space="0"/>
              <w:bottom w:val="single" w:color="auto" w:sz="10" w:space="0"/>
              <w:right w:val="single" w:color="auto" w:sz="10" w:space="0"/>
              <w:insideV w:val="single" w:sz="10" w:space="0"/>
            </w:tcBorders>
          </w:tcPr>
          <w:p w14:paraId="30B71EAC"/>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493804D0">
            <w:pPr>
              <w:jc w:val="center"/>
            </w:pPr>
            <w:r>
              <w:rPr>
                <w:rFonts w:ascii="宋体" w:hAnsi="宋体" w:eastAsia="宋体"/>
                <w:w w:val="90"/>
                <w:sz w:val="16"/>
              </w:rPr>
              <w:t>车辆维修费</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D716330">
            <w:pPr>
              <w:jc w:val="center"/>
            </w:pPr>
            <w:r>
              <w:rPr>
                <w:rFonts w:ascii="宋体" w:hAnsi="宋体" w:eastAsia="宋体"/>
                <w:sz w:val="16"/>
              </w:rPr>
              <w:t>≤15万元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795840EA">
            <w:pPr>
              <w:jc w:val="center"/>
            </w:pPr>
            <w:r>
              <w:rPr>
                <w:rFonts w:ascii="宋体" w:hAnsi="宋体" w:eastAsia="宋体"/>
                <w:sz w:val="16"/>
              </w:rPr>
              <w:t>=15万元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EBBF3E2">
            <w:pPr>
              <w:jc w:val="center"/>
            </w:pPr>
            <w:r>
              <w:rPr>
                <w:rFonts w:ascii="宋体" w:hAnsi="宋体" w:eastAsia="宋体"/>
                <w:sz w:val="16"/>
              </w:rPr>
              <w:t>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BD68BDC">
            <w:pPr>
              <w:jc w:val="center"/>
            </w:pPr>
            <w:r>
              <w:rPr>
                <w:rFonts w:ascii="宋体" w:hAnsi="宋体" w:eastAsia="宋体"/>
                <w:sz w:val="16"/>
              </w:rPr>
              <w:t>5</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42F0A868">
            <w:pPr>
              <w:jc w:val="both"/>
            </w:pPr>
          </w:p>
        </w:tc>
      </w:tr>
      <w:tr w14:paraId="02BB4FA5">
        <w:tblPrEx>
          <w:tblCellMar>
            <w:top w:w="0" w:type="dxa"/>
            <w:left w:w="108" w:type="dxa"/>
            <w:bottom w:w="0" w:type="dxa"/>
            <w:right w:w="108" w:type="dxa"/>
          </w:tblCellMar>
        </w:tblPrEx>
        <w:trPr>
          <w:trHeight w:val="50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7E125"/>
        </w:tc>
        <w:tc>
          <w:tcPr>
            <w:tcW w:w="888" w:type="dxa"/>
            <w:vMerge w:val="continue"/>
            <w:tcBorders>
              <w:top w:val="single" w:color="auto" w:sz="10" w:space="0"/>
              <w:left w:val="single" w:color="auto" w:sz="10" w:space="0"/>
              <w:bottom w:val="single" w:color="auto" w:sz="10" w:space="0"/>
              <w:right w:val="single" w:color="auto" w:sz="10" w:space="0"/>
              <w:insideV w:val="single" w:sz="10" w:space="0"/>
            </w:tcBorders>
          </w:tcPr>
          <w:p w14:paraId="0B462DAD"/>
        </w:tc>
        <w:tc>
          <w:tcPr>
            <w:tcW w:w="975" w:type="dxa"/>
            <w:vMerge w:val="continue"/>
            <w:tcBorders>
              <w:top w:val="single" w:color="auto" w:sz="10" w:space="0"/>
              <w:left w:val="single" w:color="auto" w:sz="10" w:space="0"/>
              <w:bottom w:val="single" w:color="auto" w:sz="10" w:space="0"/>
              <w:right w:val="single" w:color="auto" w:sz="10" w:space="0"/>
              <w:insideV w:val="single" w:sz="10" w:space="0"/>
            </w:tcBorders>
          </w:tcPr>
          <w:p w14:paraId="7FDE6504"/>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168AD16D">
            <w:pPr>
              <w:jc w:val="center"/>
            </w:pPr>
            <w:r>
              <w:rPr>
                <w:rFonts w:ascii="宋体" w:hAnsi="宋体" w:eastAsia="宋体"/>
                <w:w w:val="50"/>
                <w:sz w:val="16"/>
              </w:rPr>
              <w:t>楼顶防水层及给排水设施改造经费</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79C512CD">
            <w:pPr>
              <w:jc w:val="center"/>
            </w:pPr>
            <w:r>
              <w:rPr>
                <w:rFonts w:ascii="宋体" w:hAnsi="宋体" w:eastAsia="宋体"/>
                <w:sz w:val="16"/>
              </w:rPr>
              <w:t>≤23.01万元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59E54DE">
            <w:pPr>
              <w:jc w:val="center"/>
            </w:pPr>
            <w:r>
              <w:rPr>
                <w:rFonts w:ascii="宋体" w:hAnsi="宋体" w:eastAsia="宋体"/>
                <w:sz w:val="16"/>
              </w:rPr>
              <w:t>=23.01万元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544B0FA">
            <w:pPr>
              <w:jc w:val="center"/>
            </w:pPr>
            <w:r>
              <w:rPr>
                <w:rFonts w:ascii="宋体" w:hAnsi="宋体" w:eastAsia="宋体"/>
                <w:sz w:val="16"/>
              </w:rPr>
              <w:t>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27DDDCC0">
            <w:pPr>
              <w:jc w:val="center"/>
            </w:pPr>
            <w:r>
              <w:rPr>
                <w:rFonts w:ascii="宋体" w:hAnsi="宋体" w:eastAsia="宋体"/>
                <w:sz w:val="16"/>
              </w:rPr>
              <w:t>5</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565C32CB">
            <w:pPr>
              <w:jc w:val="center"/>
            </w:pPr>
          </w:p>
        </w:tc>
      </w:tr>
      <w:tr w14:paraId="07957FBF">
        <w:tblPrEx>
          <w:tblCellMar>
            <w:top w:w="0" w:type="dxa"/>
            <w:left w:w="108" w:type="dxa"/>
            <w:bottom w:w="0" w:type="dxa"/>
            <w:right w:w="108" w:type="dxa"/>
          </w:tblCellMar>
        </w:tblPrEx>
        <w:trPr>
          <w:trHeight w:val="53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EEF83"/>
        </w:tc>
        <w:tc>
          <w:tcPr>
            <w:tcW w:w="888" w:type="dxa"/>
            <w:vMerge w:val="continue"/>
            <w:tcBorders>
              <w:top w:val="single" w:color="auto" w:sz="10" w:space="0"/>
              <w:left w:val="single" w:color="auto" w:sz="10" w:space="0"/>
              <w:bottom w:val="single" w:color="auto" w:sz="10" w:space="0"/>
              <w:right w:val="single" w:color="auto" w:sz="10" w:space="0"/>
              <w:insideV w:val="single" w:sz="10" w:space="0"/>
            </w:tcBorders>
          </w:tcPr>
          <w:p w14:paraId="43DD23BA"/>
        </w:tc>
        <w:tc>
          <w:tcPr>
            <w:tcW w:w="975" w:type="dxa"/>
            <w:vMerge w:val="continue"/>
            <w:tcBorders>
              <w:top w:val="single" w:color="auto" w:sz="10" w:space="0"/>
              <w:left w:val="single" w:color="auto" w:sz="10" w:space="0"/>
              <w:bottom w:val="single" w:color="auto" w:sz="10" w:space="0"/>
              <w:right w:val="single" w:color="auto" w:sz="10" w:space="0"/>
              <w:insideV w:val="single" w:sz="10" w:space="0"/>
            </w:tcBorders>
          </w:tcPr>
          <w:p w14:paraId="587CBDA0"/>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202FC549">
            <w:pPr>
              <w:jc w:val="both"/>
              <w:rPr>
                <w:rFonts w:hint="eastAsia" w:ascii="宋体" w:hAnsi="宋体"/>
                <w:w w:val="66"/>
                <w:sz w:val="16"/>
                <w:lang w:eastAsia="zh-CN"/>
              </w:rPr>
            </w:pPr>
            <w:r>
              <w:rPr>
                <w:rFonts w:hint="eastAsia" w:ascii="宋体" w:hAnsi="宋体"/>
                <w:w w:val="66"/>
                <w:sz w:val="16"/>
                <w:lang w:eastAsia="zh-CN"/>
              </w:rPr>
              <w:t>维修经费</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C9219CA">
            <w:pPr>
              <w:jc w:val="both"/>
              <w:rPr>
                <w:rFonts w:hint="eastAsia" w:ascii="宋体" w:hAnsi="宋体"/>
                <w:w w:val="66"/>
                <w:sz w:val="16"/>
                <w:lang w:eastAsia="zh-CN"/>
              </w:rPr>
            </w:pPr>
            <w:r>
              <w:rPr>
                <w:rFonts w:hint="eastAsia" w:ascii="宋体" w:hAnsi="宋体"/>
                <w:w w:val="66"/>
                <w:sz w:val="16"/>
                <w:lang w:eastAsia="zh-CN"/>
              </w:rPr>
              <w:t>≤29.50万元</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2C2924B5">
            <w:pPr>
              <w:jc w:val="both"/>
              <w:rPr>
                <w:rFonts w:hint="eastAsia" w:ascii="宋体" w:hAnsi="宋体"/>
                <w:w w:val="66"/>
                <w:sz w:val="16"/>
                <w:lang w:eastAsia="zh-CN"/>
              </w:rPr>
            </w:pPr>
            <w:r>
              <w:rPr>
                <w:rFonts w:hint="eastAsia" w:ascii="宋体" w:hAnsi="宋体"/>
                <w:w w:val="66"/>
                <w:sz w:val="16"/>
                <w:lang w:eastAsia="zh-CN"/>
              </w:rPr>
              <w:t>=29.5万元</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8AD411A">
            <w:pPr>
              <w:jc w:val="both"/>
              <w:rPr>
                <w:rFonts w:hint="eastAsia" w:ascii="宋体" w:hAnsi="宋体"/>
                <w:w w:val="66"/>
                <w:sz w:val="16"/>
                <w:lang w:eastAsia="zh-CN"/>
              </w:rPr>
            </w:pPr>
            <w:r>
              <w:rPr>
                <w:rFonts w:hint="eastAsia" w:ascii="宋体" w:hAnsi="宋体"/>
                <w:w w:val="66"/>
                <w:sz w:val="16"/>
                <w:lang w:eastAsia="zh-CN"/>
              </w:rPr>
              <w:t>5</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66B997A3">
            <w:pPr>
              <w:jc w:val="both"/>
              <w:rPr>
                <w:rFonts w:hint="eastAsia" w:ascii="宋体" w:hAnsi="宋体"/>
                <w:w w:val="66"/>
                <w:sz w:val="16"/>
                <w:lang w:eastAsia="zh-CN"/>
              </w:rPr>
            </w:pPr>
            <w:r>
              <w:rPr>
                <w:rFonts w:hint="eastAsia" w:ascii="宋体" w:hAnsi="宋体"/>
                <w:w w:val="66"/>
                <w:sz w:val="16"/>
                <w:lang w:eastAsia="zh-CN"/>
              </w:rPr>
              <w:t>5</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6AD4AB3C">
            <w:pPr>
              <w:jc w:val="both"/>
              <w:rPr>
                <w:rFonts w:hint="eastAsia" w:ascii="宋体" w:hAnsi="宋体"/>
                <w:w w:val="66"/>
                <w:sz w:val="16"/>
                <w:lang w:eastAsia="zh-CN"/>
              </w:rPr>
            </w:pPr>
          </w:p>
        </w:tc>
      </w:tr>
      <w:tr w14:paraId="138D63DB">
        <w:tblPrEx>
          <w:tblCellMar>
            <w:top w:w="0" w:type="dxa"/>
            <w:left w:w="108" w:type="dxa"/>
            <w:bottom w:w="0" w:type="dxa"/>
            <w:right w:w="108" w:type="dxa"/>
          </w:tblCellMar>
        </w:tblPrEx>
        <w:trPr>
          <w:trHeight w:val="53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0DDF3E"/>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45C7FD1A">
            <w:pPr>
              <w:jc w:val="both"/>
              <w:rPr>
                <w:rFonts w:hint="eastAsia" w:ascii="宋体" w:hAnsi="宋体"/>
                <w:w w:val="66"/>
                <w:sz w:val="16"/>
                <w:lang w:eastAsia="zh-CN"/>
              </w:rPr>
            </w:pPr>
            <w:r>
              <w:rPr>
                <w:rFonts w:hint="eastAsia" w:ascii="宋体" w:hAnsi="宋体"/>
                <w:w w:val="66"/>
                <w:sz w:val="16"/>
                <w:lang w:eastAsia="zh-CN"/>
              </w:rPr>
              <w:t>效益指标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8A479F5">
            <w:pPr>
              <w:jc w:val="both"/>
              <w:rPr>
                <w:rFonts w:hint="eastAsia" w:ascii="宋体" w:hAnsi="宋体"/>
                <w:w w:val="66"/>
                <w:sz w:val="16"/>
                <w:lang w:eastAsia="zh-CN"/>
              </w:rPr>
            </w:pPr>
            <w:r>
              <w:rPr>
                <w:rFonts w:hint="eastAsia" w:ascii="宋体" w:hAnsi="宋体"/>
                <w:w w:val="66"/>
                <w:sz w:val="16"/>
                <w:lang w:eastAsia="zh-CN"/>
              </w:rPr>
              <w:t>社会效益指标</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3D46C2F6">
            <w:pPr>
              <w:jc w:val="both"/>
              <w:rPr>
                <w:rFonts w:hint="eastAsia" w:ascii="宋体" w:hAnsi="宋体"/>
                <w:w w:val="66"/>
                <w:sz w:val="16"/>
                <w:lang w:eastAsia="zh-CN"/>
              </w:rPr>
            </w:pPr>
            <w:r>
              <w:rPr>
                <w:rFonts w:hint="eastAsia" w:ascii="宋体" w:hAnsi="宋体"/>
                <w:w w:val="66"/>
                <w:sz w:val="16"/>
                <w:lang w:eastAsia="zh-CN"/>
              </w:rPr>
              <w:t>接</w:t>
            </w:r>
            <w:r>
              <w:rPr>
                <w:rFonts w:hint="eastAsia" w:ascii="宋体" w:hAnsi="宋体"/>
                <w:w w:val="66"/>
                <w:sz w:val="16"/>
                <w:lang w:eastAsia="zh-CN"/>
              </w:rPr>
              <w:t>待工作提高情况</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0A8A76FF">
            <w:pPr>
              <w:jc w:val="both"/>
              <w:rPr>
                <w:rFonts w:hint="eastAsia" w:ascii="宋体" w:hAnsi="宋体"/>
                <w:w w:val="66"/>
                <w:sz w:val="16"/>
                <w:lang w:eastAsia="zh-CN"/>
              </w:rPr>
            </w:pPr>
            <w:r>
              <w:rPr>
                <w:rFonts w:hint="eastAsia" w:ascii="宋体" w:hAnsi="宋体"/>
                <w:w w:val="66"/>
                <w:sz w:val="16"/>
                <w:lang w:eastAsia="zh-CN"/>
              </w:rPr>
              <w:t>持续提高</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37DDD745">
            <w:pPr>
              <w:jc w:val="both"/>
              <w:rPr>
                <w:rFonts w:hint="eastAsia" w:ascii="宋体" w:hAnsi="宋体"/>
                <w:w w:val="66"/>
                <w:sz w:val="16"/>
                <w:lang w:eastAsia="zh-CN"/>
              </w:rPr>
            </w:pPr>
            <w:r>
              <w:rPr>
                <w:rFonts w:hint="eastAsia" w:ascii="宋体" w:hAnsi="宋体"/>
                <w:w w:val="66"/>
                <w:sz w:val="16"/>
                <w:lang w:eastAsia="zh-CN"/>
              </w:rPr>
              <w:t>基本达成目标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1D8A397">
            <w:pPr>
              <w:jc w:val="both"/>
              <w:rPr>
                <w:rFonts w:hint="eastAsia" w:ascii="宋体" w:hAnsi="宋体"/>
                <w:w w:val="66"/>
                <w:sz w:val="16"/>
                <w:lang w:eastAsia="zh-CN"/>
              </w:rPr>
            </w:pPr>
            <w:r>
              <w:rPr>
                <w:rFonts w:hint="eastAsia" w:ascii="宋体" w:hAnsi="宋体"/>
                <w:w w:val="66"/>
                <w:sz w:val="16"/>
                <w:lang w:eastAsia="zh-CN"/>
              </w:rPr>
              <w:t>20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0462CE94">
            <w:pPr>
              <w:jc w:val="both"/>
              <w:rPr>
                <w:rFonts w:hint="eastAsia" w:ascii="宋体" w:hAnsi="宋体"/>
                <w:w w:val="66"/>
                <w:sz w:val="16"/>
                <w:lang w:eastAsia="zh-CN"/>
              </w:rPr>
            </w:pPr>
            <w:r>
              <w:rPr>
                <w:rFonts w:hint="eastAsia" w:ascii="宋体" w:hAnsi="宋体"/>
                <w:w w:val="66"/>
                <w:sz w:val="16"/>
                <w:lang w:eastAsia="zh-CN"/>
              </w:rPr>
              <w:t>20</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6604CDBF">
            <w:pPr>
              <w:jc w:val="both"/>
              <w:rPr>
                <w:rFonts w:hint="eastAsia" w:ascii="宋体" w:hAnsi="宋体"/>
                <w:w w:val="66"/>
                <w:sz w:val="16"/>
                <w:lang w:eastAsia="zh-CN"/>
              </w:rPr>
            </w:pPr>
          </w:p>
        </w:tc>
      </w:tr>
      <w:tr w14:paraId="61F1D57A">
        <w:tblPrEx>
          <w:tblCellMar>
            <w:top w:w="0" w:type="dxa"/>
            <w:left w:w="108" w:type="dxa"/>
            <w:bottom w:w="0" w:type="dxa"/>
            <w:right w:w="108" w:type="dxa"/>
          </w:tblCellMar>
        </w:tblPrEx>
        <w:trPr>
          <w:trHeight w:val="44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83712"/>
        </w:tc>
        <w:tc>
          <w:tcPr>
            <w:tcW w:w="888" w:type="dxa"/>
            <w:tcBorders>
              <w:top w:val="single" w:color="auto" w:sz="10" w:space="0"/>
              <w:left w:val="single" w:color="auto" w:sz="10" w:space="0"/>
              <w:bottom w:val="single" w:color="auto" w:sz="10" w:space="0"/>
              <w:right w:val="single" w:color="auto" w:sz="10" w:space="0"/>
              <w:insideV w:val="single" w:sz="10" w:space="0"/>
            </w:tcBorders>
            <w:vAlign w:val="center"/>
          </w:tcPr>
          <w:p w14:paraId="2751E411">
            <w:pPr>
              <w:jc w:val="both"/>
              <w:rPr>
                <w:rFonts w:hint="eastAsia" w:ascii="宋体" w:hAnsi="宋体"/>
                <w:w w:val="66"/>
                <w:sz w:val="16"/>
                <w:lang w:eastAsia="zh-CN"/>
              </w:rPr>
            </w:pPr>
            <w:r>
              <w:rPr>
                <w:rFonts w:hint="eastAsia" w:ascii="宋体" w:hAnsi="宋体"/>
                <w:w w:val="66"/>
                <w:sz w:val="16"/>
                <w:lang w:eastAsia="zh-CN"/>
              </w:rPr>
              <w:t>满意度指标</w:t>
            </w:r>
          </w:p>
        </w:tc>
        <w:tc>
          <w:tcPr>
            <w:tcW w:w="975" w:type="dxa"/>
            <w:tcBorders>
              <w:top w:val="single" w:color="auto" w:sz="10" w:space="0"/>
              <w:left w:val="single" w:color="auto" w:sz="10" w:space="0"/>
              <w:bottom w:val="single" w:color="auto" w:sz="10" w:space="0"/>
              <w:right w:val="single" w:color="auto" w:sz="10" w:space="0"/>
              <w:insideV w:val="single" w:sz="10" w:space="0"/>
            </w:tcBorders>
            <w:vAlign w:val="center"/>
          </w:tcPr>
          <w:p w14:paraId="2D4C8224">
            <w:pPr>
              <w:jc w:val="both"/>
              <w:rPr>
                <w:rFonts w:hint="eastAsia" w:ascii="宋体" w:hAnsi="宋体"/>
                <w:w w:val="66"/>
                <w:sz w:val="16"/>
                <w:lang w:eastAsia="zh-CN"/>
              </w:rPr>
            </w:pPr>
            <w:r>
              <w:rPr>
                <w:rFonts w:hint="eastAsia" w:ascii="宋体" w:hAnsi="宋体"/>
                <w:w w:val="66"/>
                <w:sz w:val="16"/>
                <w:lang w:eastAsia="zh-CN"/>
              </w:rPr>
              <w:t>满意度指标</w:t>
            </w:r>
          </w:p>
        </w:tc>
        <w:tc>
          <w:tcPr>
            <w:tcW w:w="1350" w:type="dxa"/>
            <w:tcBorders>
              <w:top w:val="single" w:color="auto" w:sz="10" w:space="0"/>
              <w:left w:val="single" w:color="auto" w:sz="10" w:space="0"/>
              <w:bottom w:val="single" w:color="auto" w:sz="10" w:space="0"/>
              <w:right w:val="single" w:color="auto" w:sz="10" w:space="0"/>
              <w:insideV w:val="single" w:sz="10" w:space="0"/>
            </w:tcBorders>
            <w:vAlign w:val="center"/>
          </w:tcPr>
          <w:p w14:paraId="57868077">
            <w:pPr>
              <w:jc w:val="both"/>
              <w:rPr>
                <w:rFonts w:hint="eastAsia" w:ascii="宋体" w:hAnsi="宋体"/>
                <w:w w:val="66"/>
                <w:sz w:val="16"/>
                <w:lang w:eastAsia="zh-CN"/>
              </w:rPr>
            </w:pPr>
            <w:r>
              <w:rPr>
                <w:rFonts w:hint="eastAsia" w:ascii="宋体" w:hAnsi="宋体"/>
                <w:w w:val="66"/>
                <w:sz w:val="16"/>
                <w:lang w:eastAsia="zh-CN"/>
              </w:rPr>
              <w:t>服务对象满意度</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58DDD2B3">
            <w:pPr>
              <w:jc w:val="both"/>
              <w:rPr>
                <w:rFonts w:hint="eastAsia" w:ascii="宋体" w:hAnsi="宋体"/>
                <w:w w:val="66"/>
                <w:sz w:val="16"/>
                <w:lang w:eastAsia="zh-CN"/>
              </w:rPr>
            </w:pPr>
            <w:r>
              <w:rPr>
                <w:rFonts w:hint="eastAsia" w:ascii="宋体" w:hAnsi="宋体"/>
                <w:w w:val="66"/>
                <w:sz w:val="16"/>
                <w:lang w:eastAsia="zh-CN"/>
              </w:rPr>
              <w:t>≥95%</w:t>
            </w:r>
          </w:p>
        </w:tc>
        <w:tc>
          <w:tcPr>
            <w:tcW w:w="1065" w:type="dxa"/>
            <w:tcBorders>
              <w:top w:val="single" w:color="auto" w:sz="10" w:space="0"/>
              <w:left w:val="single" w:color="auto" w:sz="10" w:space="0"/>
              <w:bottom w:val="single" w:color="auto" w:sz="10" w:space="0"/>
              <w:right w:val="single" w:color="auto" w:sz="10" w:space="0"/>
              <w:insideV w:val="single" w:sz="10" w:space="0"/>
            </w:tcBorders>
            <w:vAlign w:val="center"/>
          </w:tcPr>
          <w:p w14:paraId="1BB19C99">
            <w:pPr>
              <w:jc w:val="both"/>
              <w:rPr>
                <w:rFonts w:hint="eastAsia" w:ascii="宋体" w:hAnsi="宋体"/>
                <w:w w:val="66"/>
                <w:sz w:val="16"/>
                <w:lang w:eastAsia="zh-CN"/>
              </w:rPr>
            </w:pPr>
            <w:r>
              <w:rPr>
                <w:rFonts w:hint="eastAsia" w:ascii="宋体" w:hAnsi="宋体"/>
                <w:w w:val="66"/>
                <w:sz w:val="16"/>
                <w:lang w:eastAsia="zh-CN"/>
              </w:rPr>
              <w:t>=95%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0BEEDB">
            <w:pPr>
              <w:jc w:val="both"/>
              <w:rPr>
                <w:rFonts w:hint="eastAsia" w:ascii="宋体" w:hAnsi="宋体"/>
                <w:w w:val="66"/>
                <w:sz w:val="16"/>
                <w:lang w:eastAsia="zh-CN"/>
              </w:rPr>
            </w:pPr>
            <w:r>
              <w:rPr>
                <w:rFonts w:hint="eastAsia" w:ascii="宋体" w:hAnsi="宋体"/>
                <w:w w:val="66"/>
                <w:sz w:val="16"/>
                <w:lang w:eastAsia="zh-CN"/>
              </w:rPr>
              <w:t>10</w:t>
            </w:r>
          </w:p>
        </w:tc>
        <w:tc>
          <w:tcPr>
            <w:tcW w:w="795" w:type="dxa"/>
            <w:tcBorders>
              <w:top w:val="single" w:color="auto" w:sz="10" w:space="0"/>
              <w:left w:val="single" w:color="auto" w:sz="10" w:space="0"/>
              <w:bottom w:val="single" w:color="auto" w:sz="10" w:space="0"/>
              <w:right w:val="single" w:color="auto" w:sz="10" w:space="0"/>
              <w:insideV w:val="single" w:sz="10" w:space="0"/>
            </w:tcBorders>
            <w:vAlign w:val="center"/>
          </w:tcPr>
          <w:p w14:paraId="4BA4A908">
            <w:pPr>
              <w:jc w:val="both"/>
              <w:rPr>
                <w:rFonts w:hint="eastAsia" w:ascii="宋体" w:hAnsi="宋体"/>
                <w:w w:val="66"/>
                <w:sz w:val="16"/>
                <w:lang w:eastAsia="zh-CN"/>
              </w:rPr>
            </w:pPr>
            <w:r>
              <w:rPr>
                <w:rFonts w:hint="eastAsia" w:ascii="宋体" w:hAnsi="宋体"/>
                <w:w w:val="66"/>
                <w:sz w:val="16"/>
                <w:lang w:eastAsia="zh-CN"/>
              </w:rPr>
              <w:t>10</w:t>
            </w:r>
          </w:p>
        </w:tc>
        <w:tc>
          <w:tcPr>
            <w:tcW w:w="1171" w:type="dxa"/>
            <w:tcBorders>
              <w:top w:val="single" w:color="auto" w:sz="10" w:space="0"/>
              <w:left w:val="single" w:color="auto" w:sz="10" w:space="0"/>
              <w:bottom w:val="single" w:color="auto" w:sz="10" w:space="0"/>
              <w:right w:val="single" w:color="auto" w:sz="10" w:space="0"/>
              <w:insideV w:val="single" w:sz="10" w:space="0"/>
            </w:tcBorders>
            <w:vAlign w:val="center"/>
          </w:tcPr>
          <w:p w14:paraId="154A0D3F">
            <w:pPr>
              <w:jc w:val="both"/>
              <w:rPr>
                <w:rFonts w:hint="eastAsia" w:ascii="宋体" w:hAnsi="宋体"/>
                <w:w w:val="66"/>
                <w:sz w:val="16"/>
                <w:lang w:eastAsia="zh-CN"/>
              </w:rPr>
            </w:pPr>
          </w:p>
        </w:tc>
      </w:tr>
      <w:tr w14:paraId="20F772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78912">
            <w:pPr>
              <w:jc w:val="center"/>
            </w:pPr>
            <w:r>
              <w:rPr>
                <w:rFonts w:ascii="宋体" w:hAnsi="宋体" w:eastAsia="宋体"/>
                <w:sz w:val="16"/>
              </w:rPr>
              <w:t>总分</w:t>
            </w:r>
          </w:p>
        </w:tc>
        <w:tc>
          <w:tcPr>
            <w:tcW w:w="321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8C096C">
            <w:pPr>
              <w:jc w:val="center"/>
            </w:pPr>
            <w:r>
              <w:rPr>
                <w:rFonts w:ascii="宋体" w:hAnsi="宋体" w:eastAsia="宋体"/>
                <w:sz w:val="16"/>
              </w:rPr>
              <w:t>100</w:t>
            </w:r>
          </w:p>
        </w:tc>
        <w:tc>
          <w:tcPr>
            <w:tcW w:w="1005" w:type="dxa"/>
            <w:tcBorders>
              <w:top w:val="single" w:color="auto" w:sz="10" w:space="0"/>
              <w:left w:val="single" w:color="auto" w:sz="10" w:space="0"/>
              <w:bottom w:val="single" w:color="auto" w:sz="10" w:space="0"/>
              <w:right w:val="single" w:color="auto" w:sz="10" w:space="0"/>
              <w:insideV w:val="single" w:sz="10" w:space="0"/>
            </w:tcBorders>
            <w:vAlign w:val="center"/>
          </w:tcPr>
          <w:p w14:paraId="0ED76AE2">
            <w:pPr>
              <w:jc w:val="center"/>
            </w:pPr>
            <w:r>
              <w:rPr>
                <w:rFonts w:ascii="宋体" w:hAnsi="宋体" w:eastAsia="宋体"/>
                <w:sz w:val="16"/>
              </w:rPr>
              <w:t>得分</w:t>
            </w:r>
          </w:p>
        </w:tc>
        <w:tc>
          <w:tcPr>
            <w:tcW w:w="364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1DA9B3">
            <w:pPr>
              <w:jc w:val="center"/>
            </w:pPr>
            <w:r>
              <w:rPr>
                <w:rFonts w:ascii="宋体" w:hAnsi="宋体" w:eastAsia="宋体"/>
                <w:sz w:val="16"/>
              </w:rPr>
              <w:t>100分</w:t>
            </w:r>
          </w:p>
        </w:tc>
      </w:tr>
    </w:tbl>
    <w:p w14:paraId="0F3EDD93">
      <w:r>
        <w:br w:type="page"/>
      </w:r>
      <w:bookmarkStart w:id="0" w:name="_GoBack"/>
      <w:bookmarkEnd w:id="0"/>
    </w:p>
    <w:p w14:paraId="6515CC6D">
      <w:pPr>
        <w:spacing w:line="640" w:lineRule="exact"/>
        <w:ind w:firstLine="640"/>
        <w:jc w:val="both"/>
        <w:outlineLvl w:val="2"/>
      </w:pPr>
      <w:r>
        <w:rPr>
          <w:rFonts w:ascii="黑体" w:hAnsi="黑体" w:eastAsia="黑体"/>
          <w:sz w:val="32"/>
        </w:rPr>
        <w:t>十二、其他需说明的事项</w:t>
      </w:r>
    </w:p>
    <w:p w14:paraId="2E27F421">
      <w:pPr>
        <w:spacing w:line="580" w:lineRule="exact"/>
        <w:ind w:firstLine="640"/>
        <w:jc w:val="both"/>
      </w:pPr>
      <w:r>
        <w:rPr>
          <w:rFonts w:ascii="仿宋_GB2312" w:hAnsi="仿宋_GB2312" w:eastAsia="仿宋_GB2312"/>
          <w:b w:val="0"/>
          <w:sz w:val="32"/>
        </w:rPr>
        <w:t>本单位无其他需说明的事项。</w:t>
      </w:r>
    </w:p>
    <w:p w14:paraId="514F1CE8">
      <w:r>
        <w:br w:type="page"/>
      </w:r>
    </w:p>
    <w:p w14:paraId="174EE1C9">
      <w:pPr>
        <w:spacing w:line="240" w:lineRule="auto"/>
        <w:jc w:val="center"/>
        <w:outlineLvl w:val="1"/>
      </w:pPr>
      <w:r>
        <w:rPr>
          <w:rFonts w:ascii="黑体" w:hAnsi="黑体" w:eastAsia="黑体"/>
          <w:sz w:val="32"/>
        </w:rPr>
        <w:t>第三部分 专业名词解释</w:t>
      </w:r>
    </w:p>
    <w:p w14:paraId="0AE4819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ED6E92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A1AD0A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A40AC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B52C4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663A0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8966F7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C91480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94D66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2916C8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C6A1A0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207A56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3FEB9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AF1B4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B1F5BA3">
      <w:r>
        <w:br w:type="page"/>
      </w:r>
    </w:p>
    <w:p w14:paraId="6659D647">
      <w:pPr>
        <w:spacing w:line="240" w:lineRule="auto"/>
        <w:jc w:val="center"/>
        <w:outlineLvl w:val="1"/>
      </w:pPr>
      <w:r>
        <w:rPr>
          <w:rFonts w:ascii="黑体" w:hAnsi="黑体" w:eastAsia="黑体"/>
          <w:sz w:val="32"/>
        </w:rPr>
        <w:t>第四部分 部门决算报表（见附表）</w:t>
      </w:r>
    </w:p>
    <w:p w14:paraId="3438A38B">
      <w:pPr>
        <w:spacing w:line="240" w:lineRule="auto"/>
        <w:ind w:firstLine="640"/>
        <w:jc w:val="both"/>
      </w:pPr>
      <w:r>
        <w:rPr>
          <w:rFonts w:ascii="仿宋_GB2312" w:hAnsi="仿宋_GB2312" w:eastAsia="仿宋_GB2312"/>
          <w:b w:val="0"/>
          <w:sz w:val="32"/>
        </w:rPr>
        <w:t>一、《收入支出决算总表》</w:t>
      </w:r>
    </w:p>
    <w:p w14:paraId="60373D75">
      <w:pPr>
        <w:spacing w:line="240" w:lineRule="auto"/>
        <w:ind w:firstLine="640"/>
        <w:jc w:val="both"/>
      </w:pPr>
      <w:r>
        <w:rPr>
          <w:rFonts w:ascii="仿宋_GB2312" w:hAnsi="仿宋_GB2312" w:eastAsia="仿宋_GB2312"/>
          <w:b w:val="0"/>
          <w:sz w:val="32"/>
        </w:rPr>
        <w:t>二、《收入决算表》</w:t>
      </w:r>
    </w:p>
    <w:p w14:paraId="5AC45C30">
      <w:pPr>
        <w:spacing w:line="240" w:lineRule="auto"/>
        <w:ind w:firstLine="640"/>
        <w:jc w:val="both"/>
      </w:pPr>
      <w:r>
        <w:rPr>
          <w:rFonts w:ascii="仿宋_GB2312" w:hAnsi="仿宋_GB2312" w:eastAsia="仿宋_GB2312"/>
          <w:b w:val="0"/>
          <w:sz w:val="32"/>
        </w:rPr>
        <w:t>三、《支出决算表》</w:t>
      </w:r>
    </w:p>
    <w:p w14:paraId="511C1830">
      <w:pPr>
        <w:spacing w:line="240" w:lineRule="auto"/>
        <w:ind w:firstLine="640"/>
        <w:jc w:val="both"/>
      </w:pPr>
      <w:r>
        <w:rPr>
          <w:rFonts w:ascii="仿宋_GB2312" w:hAnsi="仿宋_GB2312" w:eastAsia="仿宋_GB2312"/>
          <w:b w:val="0"/>
          <w:sz w:val="32"/>
        </w:rPr>
        <w:t>四、《财政拨款收入支出决算总表》</w:t>
      </w:r>
    </w:p>
    <w:p w14:paraId="7DA25A80">
      <w:pPr>
        <w:spacing w:line="240" w:lineRule="auto"/>
        <w:ind w:firstLine="640"/>
        <w:jc w:val="both"/>
      </w:pPr>
      <w:r>
        <w:rPr>
          <w:rFonts w:ascii="仿宋_GB2312" w:hAnsi="仿宋_GB2312" w:eastAsia="仿宋_GB2312"/>
          <w:b w:val="0"/>
          <w:sz w:val="32"/>
        </w:rPr>
        <w:t>五、《一般公共预算财政拨款支出决算表》</w:t>
      </w:r>
    </w:p>
    <w:p w14:paraId="4CF260A8">
      <w:pPr>
        <w:spacing w:line="240" w:lineRule="auto"/>
        <w:ind w:firstLine="640"/>
        <w:jc w:val="both"/>
      </w:pPr>
      <w:r>
        <w:rPr>
          <w:rFonts w:ascii="仿宋_GB2312" w:hAnsi="仿宋_GB2312" w:eastAsia="仿宋_GB2312"/>
          <w:b w:val="0"/>
          <w:sz w:val="32"/>
        </w:rPr>
        <w:t>六、《一般公共预算财政拨款基本支出决算表》</w:t>
      </w:r>
    </w:p>
    <w:p w14:paraId="510E9313">
      <w:pPr>
        <w:spacing w:line="240" w:lineRule="auto"/>
        <w:ind w:firstLine="640"/>
        <w:jc w:val="both"/>
      </w:pPr>
      <w:r>
        <w:rPr>
          <w:rFonts w:ascii="仿宋_GB2312" w:hAnsi="仿宋_GB2312" w:eastAsia="仿宋_GB2312"/>
          <w:b w:val="0"/>
          <w:sz w:val="32"/>
        </w:rPr>
        <w:t>七、《政府性基金预算财政拨款收入支出决算表》</w:t>
      </w:r>
    </w:p>
    <w:p w14:paraId="56ADF02D">
      <w:pPr>
        <w:spacing w:line="240" w:lineRule="auto"/>
        <w:ind w:firstLine="640"/>
        <w:jc w:val="both"/>
      </w:pPr>
      <w:r>
        <w:rPr>
          <w:rFonts w:ascii="仿宋_GB2312" w:hAnsi="仿宋_GB2312" w:eastAsia="仿宋_GB2312"/>
          <w:b w:val="0"/>
          <w:sz w:val="32"/>
        </w:rPr>
        <w:t>八、《国有资本经营预算财政拨款收入支出决算表》</w:t>
      </w:r>
    </w:p>
    <w:p w14:paraId="50CB47CF">
      <w:pPr>
        <w:spacing w:line="240" w:lineRule="auto"/>
        <w:ind w:firstLine="640"/>
        <w:jc w:val="both"/>
      </w:pPr>
      <w:r>
        <w:rPr>
          <w:rFonts w:ascii="仿宋_GB2312" w:hAnsi="仿宋_GB2312" w:eastAsia="仿宋_GB2312"/>
          <w:b w:val="0"/>
          <w:sz w:val="32"/>
        </w:rPr>
        <w:t>九、《财政拨款“三公”经费支出决算表》</w:t>
      </w:r>
    </w:p>
    <w:p w14:paraId="7D5A2507">
      <w:pPr>
        <w:spacing w:line="240" w:lineRule="auto"/>
        <w:ind w:firstLine="640"/>
        <w:jc w:val="both"/>
      </w:pPr>
    </w:p>
    <w:p w14:paraId="591CD120">
      <w:pPr>
        <w:spacing w:line="240" w:lineRule="auto"/>
        <w:ind w:firstLine="640"/>
        <w:jc w:val="both"/>
      </w:pPr>
    </w:p>
    <w:p w14:paraId="763E1A8E">
      <w:pPr>
        <w:spacing w:line="240" w:lineRule="auto"/>
        <w:ind w:firstLine="640"/>
        <w:jc w:val="both"/>
      </w:pPr>
    </w:p>
    <w:p w14:paraId="3CEF0CA2">
      <w:pPr>
        <w:spacing w:line="240" w:lineRule="auto"/>
        <w:ind w:firstLine="640"/>
        <w:jc w:val="both"/>
      </w:pPr>
    </w:p>
    <w:p w14:paraId="78C3E16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4E6BEB"/>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831314"/>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2867C5"/>
    <w:rsid w:val="38006E2C"/>
    <w:rsid w:val="3914510A"/>
    <w:rsid w:val="3B1220C9"/>
    <w:rsid w:val="3CB46D37"/>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B4A6DD2"/>
    <w:rsid w:val="5F8A6777"/>
    <w:rsid w:val="5FA17648"/>
    <w:rsid w:val="5FD320BD"/>
    <w:rsid w:val="6066347B"/>
    <w:rsid w:val="60DE4D57"/>
    <w:rsid w:val="60F82E2D"/>
    <w:rsid w:val="613409CB"/>
    <w:rsid w:val="61A46A97"/>
    <w:rsid w:val="62DD7D21"/>
    <w:rsid w:val="65D97752"/>
    <w:rsid w:val="664C500C"/>
    <w:rsid w:val="67D111AB"/>
    <w:rsid w:val="68DB0208"/>
    <w:rsid w:val="68DF36D5"/>
    <w:rsid w:val="697B7288"/>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D85341"/>
    <w:rsid w:val="795A0A34"/>
    <w:rsid w:val="7A0D3BC7"/>
    <w:rsid w:val="7A3A3CDB"/>
    <w:rsid w:val="7DC91981"/>
    <w:rsid w:val="7DEC3E14"/>
    <w:rsid w:val="C1FDE0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4958</Words>
  <Characters>5632</Characters>
  <Lines>0</Lines>
  <Paragraphs>0</Paragraphs>
  <TotalTime>35</TotalTime>
  <ScaleCrop>false</ScaleCrop>
  <LinksUpToDate>false</LinksUpToDate>
  <CharactersWithSpaces>5640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2025-10-22T16:34:26Z</cp:lastPrinted>
  <dcterms:modified xsi:type="dcterms:W3CDTF">2025-10-22T16:34:37Z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eyJoZGlkIjoiOGQxMjE2ZjA5OWRlNjcxZTlhNzA1NGJhNzI0MDYwNjgifQ==</vt:lpwstr>
  </property>
</Properties>
</file>