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61594"/>
    <w:p w14:paraId="4D04E7A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D2A7FEE">
      <w:pPr>
        <w:spacing w:line="540" w:lineRule="exact"/>
        <w:jc w:val="center"/>
        <w:rPr>
          <w:rFonts w:ascii="华文中宋" w:hAnsi="华文中宋" w:eastAsia="华文中宋" w:cs="宋体"/>
          <w:b/>
          <w:kern w:val="0"/>
          <w:sz w:val="52"/>
          <w:szCs w:val="52"/>
        </w:rPr>
      </w:pPr>
    </w:p>
    <w:p w14:paraId="2C10F0DA">
      <w:pPr>
        <w:spacing w:line="540" w:lineRule="exact"/>
        <w:jc w:val="center"/>
        <w:rPr>
          <w:rFonts w:ascii="华文中宋" w:hAnsi="华文中宋" w:eastAsia="华文中宋" w:cs="宋体"/>
          <w:b/>
          <w:kern w:val="0"/>
          <w:sz w:val="52"/>
          <w:szCs w:val="52"/>
        </w:rPr>
      </w:pPr>
    </w:p>
    <w:p w14:paraId="1D1F33FE">
      <w:pPr>
        <w:spacing w:line="540" w:lineRule="exact"/>
        <w:jc w:val="center"/>
        <w:rPr>
          <w:rFonts w:ascii="华文中宋" w:hAnsi="华文中宋" w:eastAsia="华文中宋" w:cs="宋体"/>
          <w:b/>
          <w:kern w:val="0"/>
          <w:sz w:val="52"/>
          <w:szCs w:val="52"/>
        </w:rPr>
      </w:pPr>
    </w:p>
    <w:p w14:paraId="0CB4EFC1">
      <w:pPr>
        <w:spacing w:line="540" w:lineRule="exact"/>
        <w:jc w:val="center"/>
        <w:rPr>
          <w:rFonts w:ascii="华文中宋" w:hAnsi="华文中宋" w:eastAsia="华文中宋" w:cs="宋体"/>
          <w:b/>
          <w:kern w:val="0"/>
          <w:sz w:val="52"/>
          <w:szCs w:val="52"/>
        </w:rPr>
      </w:pPr>
    </w:p>
    <w:p w14:paraId="26E6740B">
      <w:pPr>
        <w:spacing w:line="540" w:lineRule="exact"/>
        <w:jc w:val="center"/>
        <w:rPr>
          <w:rFonts w:ascii="华文中宋" w:hAnsi="华文中宋" w:eastAsia="华文中宋" w:cs="宋体"/>
          <w:b/>
          <w:kern w:val="0"/>
          <w:sz w:val="52"/>
          <w:szCs w:val="52"/>
        </w:rPr>
      </w:pPr>
    </w:p>
    <w:p w14:paraId="46BF341A">
      <w:pPr>
        <w:spacing w:line="540" w:lineRule="exact"/>
        <w:jc w:val="center"/>
        <w:rPr>
          <w:rFonts w:ascii="华文中宋" w:hAnsi="华文中宋" w:eastAsia="华文中宋" w:cs="宋体"/>
          <w:b/>
          <w:kern w:val="0"/>
          <w:sz w:val="52"/>
          <w:szCs w:val="52"/>
        </w:rPr>
      </w:pPr>
    </w:p>
    <w:p w14:paraId="09AD1DB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C7EDC4">
      <w:pPr>
        <w:spacing w:line="540" w:lineRule="exact"/>
        <w:jc w:val="center"/>
        <w:rPr>
          <w:rFonts w:ascii="华文中宋" w:hAnsi="华文中宋" w:eastAsia="华文中宋" w:cs="宋体"/>
          <w:b/>
          <w:kern w:val="0"/>
          <w:sz w:val="52"/>
          <w:szCs w:val="52"/>
        </w:rPr>
      </w:pPr>
    </w:p>
    <w:p w14:paraId="62AC218B">
      <w:pPr>
        <w:spacing w:line="540" w:lineRule="exact"/>
        <w:jc w:val="center"/>
        <w:rPr>
          <w:rFonts w:hAnsi="宋体" w:eastAsia="仿宋_GB2312" w:cs="宋体"/>
          <w:kern w:val="0"/>
          <w:sz w:val="36"/>
          <w:szCs w:val="36"/>
        </w:rPr>
      </w:pPr>
      <w:r>
        <w:rPr>
          <w:rFonts w:hint="eastAsia" w:ascii="仿宋" w:hAnsi="仿宋" w:eastAsia="仿宋" w:cs="仿宋"/>
          <w:kern w:val="0"/>
          <w:sz w:val="32"/>
          <w:szCs w:val="32"/>
        </w:rPr>
        <w:t>（</w:t>
      </w:r>
      <w:r>
        <w:rPr>
          <w:rStyle w:val="19"/>
          <w:rFonts w:hint="eastAsia" w:ascii="仿宋" w:hAnsi="仿宋" w:eastAsia="仿宋" w:cs="仿宋"/>
          <w:spacing w:val="-4"/>
          <w:sz w:val="32"/>
          <w:szCs w:val="32"/>
        </w:rPr>
        <w:t>2024</w:t>
      </w:r>
      <w:r>
        <w:rPr>
          <w:rFonts w:hint="eastAsia" w:ascii="仿宋" w:hAnsi="仿宋" w:eastAsia="仿宋" w:cs="仿宋"/>
          <w:kern w:val="0"/>
          <w:sz w:val="32"/>
          <w:szCs w:val="32"/>
        </w:rPr>
        <w:t>年度）</w:t>
      </w:r>
    </w:p>
    <w:p w14:paraId="34F1BF9F">
      <w:pPr>
        <w:spacing w:line="540" w:lineRule="exact"/>
        <w:jc w:val="center"/>
        <w:rPr>
          <w:rFonts w:hAnsi="宋体" w:eastAsia="仿宋_GB2312" w:cs="宋体"/>
          <w:kern w:val="0"/>
          <w:sz w:val="30"/>
          <w:szCs w:val="30"/>
        </w:rPr>
      </w:pPr>
    </w:p>
    <w:p w14:paraId="475101A1">
      <w:pPr>
        <w:spacing w:line="540" w:lineRule="exact"/>
        <w:jc w:val="center"/>
        <w:rPr>
          <w:rFonts w:hAnsi="宋体" w:eastAsia="仿宋_GB2312" w:cs="宋体"/>
          <w:kern w:val="0"/>
          <w:sz w:val="30"/>
          <w:szCs w:val="30"/>
        </w:rPr>
      </w:pPr>
    </w:p>
    <w:p w14:paraId="60B7BAFA">
      <w:pPr>
        <w:spacing w:line="540" w:lineRule="exact"/>
        <w:jc w:val="center"/>
        <w:rPr>
          <w:rFonts w:hAnsi="宋体" w:eastAsia="仿宋_GB2312" w:cs="宋体"/>
          <w:kern w:val="0"/>
          <w:sz w:val="30"/>
          <w:szCs w:val="30"/>
        </w:rPr>
      </w:pPr>
    </w:p>
    <w:p w14:paraId="76581361">
      <w:pPr>
        <w:spacing w:line="540" w:lineRule="exact"/>
        <w:jc w:val="center"/>
        <w:rPr>
          <w:rFonts w:hAnsi="宋体" w:eastAsia="仿宋_GB2312" w:cs="宋体"/>
          <w:kern w:val="0"/>
          <w:sz w:val="30"/>
          <w:szCs w:val="30"/>
        </w:rPr>
      </w:pPr>
    </w:p>
    <w:p w14:paraId="6398FDA7">
      <w:pPr>
        <w:spacing w:line="540" w:lineRule="exact"/>
        <w:jc w:val="center"/>
        <w:rPr>
          <w:rFonts w:hAnsi="宋体" w:eastAsia="仿宋_GB2312" w:cs="宋体"/>
          <w:kern w:val="0"/>
          <w:sz w:val="30"/>
          <w:szCs w:val="30"/>
        </w:rPr>
      </w:pPr>
    </w:p>
    <w:p w14:paraId="24EF77D4">
      <w:pPr>
        <w:spacing w:line="540" w:lineRule="exact"/>
        <w:jc w:val="center"/>
        <w:rPr>
          <w:rFonts w:hAnsi="宋体" w:eastAsia="仿宋_GB2312" w:cs="宋体"/>
          <w:kern w:val="0"/>
          <w:sz w:val="30"/>
          <w:szCs w:val="30"/>
        </w:rPr>
      </w:pPr>
    </w:p>
    <w:p w14:paraId="1BA24879">
      <w:pPr>
        <w:spacing w:line="540" w:lineRule="exact"/>
        <w:rPr>
          <w:rFonts w:hAnsi="宋体" w:eastAsia="仿宋_GB2312" w:cs="宋体"/>
          <w:kern w:val="0"/>
          <w:sz w:val="30"/>
          <w:szCs w:val="30"/>
        </w:rPr>
      </w:pPr>
    </w:p>
    <w:p w14:paraId="303774D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11FD9A8">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接待经费</w:t>
      </w:r>
    </w:p>
    <w:p w14:paraId="3BE5C39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新疆和田行政公署驻乌鲁木齐办事处</w:t>
      </w:r>
    </w:p>
    <w:p w14:paraId="1A02340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新疆和田行政公署驻乌鲁木齐办事处</w:t>
      </w:r>
    </w:p>
    <w:p w14:paraId="70274DD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蒲向阳</w:t>
      </w:r>
    </w:p>
    <w:p w14:paraId="0318EAA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2025年04月11日</w:t>
      </w:r>
    </w:p>
    <w:p w14:paraId="29B6F9E2">
      <w:pPr>
        <w:spacing w:line="540" w:lineRule="exact"/>
        <w:rPr>
          <w:rStyle w:val="19"/>
          <w:rFonts w:ascii="黑体" w:hAnsi="黑体" w:eastAsia="黑体"/>
          <w:b w:val="0"/>
          <w:spacing w:val="-4"/>
          <w:sz w:val="32"/>
          <w:szCs w:val="32"/>
        </w:rPr>
      </w:pPr>
    </w:p>
    <w:p w14:paraId="65156B32">
      <w:pPr>
        <w:spacing w:line="540" w:lineRule="exact"/>
        <w:rPr>
          <w:rStyle w:val="19"/>
          <w:rFonts w:ascii="黑体" w:hAnsi="黑体" w:eastAsia="黑体"/>
          <w:b w:val="0"/>
          <w:spacing w:val="-4"/>
          <w:sz w:val="32"/>
          <w:szCs w:val="32"/>
        </w:rPr>
      </w:pPr>
    </w:p>
    <w:p w14:paraId="3ABB969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bCs/>
          <w:spacing w:val="-4"/>
          <w:sz w:val="32"/>
          <w:szCs w:val="32"/>
        </w:rPr>
      </w:pPr>
      <w:r>
        <w:rPr>
          <w:rStyle w:val="19"/>
          <w:rFonts w:hint="eastAsia" w:ascii="黑体" w:hAnsi="黑体" w:eastAsia="黑体" w:cs="黑体"/>
          <w:b w:val="0"/>
          <w:bCs/>
          <w:spacing w:val="-4"/>
          <w:sz w:val="32"/>
          <w:szCs w:val="32"/>
        </w:rPr>
        <w:t>一、基本情况</w:t>
      </w:r>
    </w:p>
    <w:p w14:paraId="4FCFF0E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spacing w:val="-4"/>
          <w:sz w:val="32"/>
          <w:szCs w:val="32"/>
        </w:rPr>
        <w:t>（一）项目概况</w:t>
      </w:r>
    </w:p>
    <w:p w14:paraId="3722105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1</w:t>
      </w:r>
      <w:r>
        <w:rPr>
          <w:rStyle w:val="19"/>
          <w:rFonts w:hint="eastAsia" w:ascii="楷体_GB2312" w:hAnsi="楷体_GB2312" w:eastAsia="楷体_GB2312" w:cs="楷体_GB2312"/>
          <w:b/>
          <w:bCs/>
          <w:spacing w:val="-4"/>
          <w:sz w:val="32"/>
          <w:szCs w:val="32"/>
        </w:rPr>
        <w:t>.项目背景</w:t>
      </w:r>
    </w:p>
    <w:p w14:paraId="2D4443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bCs/>
          <w:spacing w:val="-4"/>
          <w:sz w:val="32"/>
          <w:szCs w:val="32"/>
          <w:lang w:val="en-US" w:eastAsia="zh-CN"/>
        </w:rPr>
      </w:pPr>
      <w:r>
        <w:rPr>
          <w:rStyle w:val="19"/>
          <w:rFonts w:hint="eastAsia" w:ascii="仿宋_GB2312" w:hAnsi="仿宋_GB2312" w:eastAsia="仿宋_GB2312" w:cs="仿宋_GB2312"/>
          <w:b w:val="0"/>
          <w:bCs w:val="0"/>
          <w:spacing w:val="-4"/>
          <w:sz w:val="32"/>
          <w:szCs w:val="32"/>
        </w:rPr>
        <w:t>和田行政公署驻乌鲁木齐办事处主要承担着地区</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及相关部门</w:t>
      </w:r>
      <w:r>
        <w:rPr>
          <w:rStyle w:val="19"/>
          <w:rFonts w:hint="eastAsia" w:ascii="仿宋_GB2312" w:hAnsi="仿宋_GB2312" w:eastAsia="仿宋_GB2312" w:cs="仿宋_GB2312"/>
          <w:b w:val="0"/>
          <w:bCs w:val="0"/>
          <w:spacing w:val="-4"/>
          <w:sz w:val="32"/>
          <w:szCs w:val="32"/>
          <w:lang w:val="en-US" w:eastAsia="zh-CN"/>
        </w:rPr>
        <w:t>工作</w:t>
      </w:r>
      <w:r>
        <w:rPr>
          <w:rStyle w:val="19"/>
          <w:rFonts w:hint="eastAsia" w:ascii="仿宋_GB2312" w:hAnsi="仿宋_GB2312" w:eastAsia="仿宋_GB2312" w:cs="仿宋_GB2312"/>
          <w:b w:val="0"/>
          <w:bCs w:val="0"/>
          <w:spacing w:val="-4"/>
          <w:sz w:val="32"/>
          <w:szCs w:val="32"/>
        </w:rPr>
        <w:t>人员到</w:t>
      </w:r>
      <w:r>
        <w:rPr>
          <w:rStyle w:val="19"/>
          <w:rFonts w:hint="eastAsia" w:ascii="仿宋_GB2312" w:hAnsi="仿宋_GB2312" w:eastAsia="仿宋_GB2312" w:cs="仿宋_GB2312"/>
          <w:b w:val="0"/>
          <w:bCs w:val="0"/>
          <w:spacing w:val="-4"/>
          <w:sz w:val="32"/>
          <w:szCs w:val="32"/>
          <w:lang w:val="en-US" w:eastAsia="zh-CN"/>
        </w:rPr>
        <w:t>乌鲁木齐</w:t>
      </w:r>
      <w:r>
        <w:rPr>
          <w:rStyle w:val="19"/>
          <w:rFonts w:hint="eastAsia" w:ascii="仿宋_GB2312" w:hAnsi="仿宋_GB2312" w:eastAsia="仿宋_GB2312" w:cs="仿宋_GB2312"/>
          <w:b w:val="0"/>
          <w:bCs w:val="0"/>
          <w:spacing w:val="-4"/>
          <w:sz w:val="32"/>
          <w:szCs w:val="32"/>
        </w:rPr>
        <w:t>出差的联络和接待任务，担负着援和省市干部往返的接待工作，负责来乌</w:t>
      </w:r>
      <w:r>
        <w:rPr>
          <w:rStyle w:val="19"/>
          <w:rFonts w:hint="eastAsia" w:ascii="仿宋_GB2312" w:hAnsi="仿宋_GB2312" w:eastAsia="仿宋_GB2312" w:cs="仿宋_GB2312"/>
          <w:b w:val="0"/>
          <w:bCs w:val="0"/>
          <w:spacing w:val="-4"/>
          <w:sz w:val="32"/>
          <w:szCs w:val="32"/>
          <w:lang w:eastAsia="zh-CN"/>
        </w:rPr>
        <w:t>来访</w:t>
      </w:r>
      <w:r>
        <w:rPr>
          <w:rStyle w:val="19"/>
          <w:rFonts w:hint="eastAsia" w:ascii="仿宋_GB2312" w:hAnsi="仿宋_GB2312" w:eastAsia="仿宋_GB2312" w:cs="仿宋_GB2312"/>
          <w:b w:val="0"/>
          <w:bCs w:val="0"/>
          <w:spacing w:val="-4"/>
          <w:sz w:val="32"/>
          <w:szCs w:val="32"/>
        </w:rPr>
        <w:t>人员的调解、劝返工作，承办地区有关部门交办的其他工作。通过该项目的实施，可以解决弥补基本支出预算资金不足的情况，为保证顺利完成我单位服务工作提供有效的资金保障。结合实际情况，特设立本项目。根据单位的工作实际需要确定项目预算资金即接待经费项目，用于补助2024年预算经费。通过该项目的实施能够达到解决弥补基本支出预算经费不足，足额保障单位资金，有效保障地区</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val="en-US" w:eastAsia="zh-CN"/>
        </w:rPr>
        <w:t>乌鲁木齐</w:t>
      </w:r>
      <w:r>
        <w:rPr>
          <w:rStyle w:val="19"/>
          <w:rFonts w:hint="eastAsia" w:ascii="仿宋_GB2312" w:hAnsi="仿宋_GB2312" w:eastAsia="仿宋_GB2312" w:cs="仿宋_GB2312"/>
          <w:b w:val="0"/>
          <w:bCs w:val="0"/>
          <w:spacing w:val="-4"/>
          <w:sz w:val="32"/>
          <w:szCs w:val="32"/>
        </w:rPr>
        <w:t>出差的慰问走访工作任务，保障北京、天津、安徽三省援和干部在乌慰问走访工作，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来乌期间的慰问走访工作。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w:t>
      </w:r>
      <w:r>
        <w:rPr>
          <w:rStyle w:val="19"/>
          <w:rFonts w:hint="eastAsia" w:ascii="楷体_GB2312" w:hAnsi="楷体_GB2312" w:eastAsia="楷体_GB2312" w:cs="楷体_GB2312"/>
          <w:b/>
          <w:bCs/>
          <w:spacing w:val="-4"/>
          <w:sz w:val="32"/>
          <w:szCs w:val="32"/>
        </w:rPr>
        <w:t>主要内容</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接待经费主要用于保障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的接待保障工作，做好援和及各省市在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就医期间的接待工作，完成接待人次3000余人，其中接待餐费25万元，接待服务费10万元，接待人员工资15万元。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3.</w:t>
      </w:r>
      <w:r>
        <w:rPr>
          <w:rStyle w:val="19"/>
          <w:rFonts w:hint="eastAsia" w:ascii="楷体_GB2312" w:hAnsi="楷体_GB2312" w:eastAsia="楷体_GB2312" w:cs="楷体_GB2312"/>
          <w:b/>
          <w:bCs/>
          <w:spacing w:val="-4"/>
          <w:sz w:val="32"/>
          <w:szCs w:val="32"/>
          <w:lang w:val="en-US" w:eastAsia="zh-CN"/>
        </w:rPr>
        <w:t>实施情况</w:t>
      </w:r>
    </w:p>
    <w:p w14:paraId="226AE33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实施主体：新疆和田行政公署驻乌鲁木齐办事处。</w:t>
      </w:r>
    </w:p>
    <w:p w14:paraId="5352578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实施时间：本项目实施期限为2024年1月—2024年12</w:t>
      </w:r>
    </w:p>
    <w:p w14:paraId="5FB4B60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实施情况：本项目的实施符合本单位车辆运行保障相关要求，主要用于</w:t>
      </w:r>
      <w:r>
        <w:rPr>
          <w:rFonts w:hint="eastAsia" w:ascii="仿宋_GB2312" w:hAnsi="仿宋_GB2312" w:eastAsia="仿宋_GB2312" w:cs="仿宋_GB2312"/>
          <w:sz w:val="32"/>
          <w:szCs w:val="32"/>
        </w:rPr>
        <w:t>保障接待工作，做好援和及各省市在</w:t>
      </w:r>
      <w:r>
        <w:rPr>
          <w:rFonts w:hint="eastAsia" w:ascii="仿宋_GB2312" w:hAnsi="仿宋_GB2312" w:eastAsia="仿宋_GB2312" w:cs="仿宋_GB2312"/>
          <w:sz w:val="32"/>
          <w:szCs w:val="32"/>
          <w:lang w:val="en-US" w:eastAsia="zh-CN"/>
        </w:rPr>
        <w:t>乌鲁木齐</w:t>
      </w:r>
      <w:r>
        <w:rPr>
          <w:rFonts w:hint="eastAsia" w:ascii="仿宋_GB2312" w:hAnsi="仿宋_GB2312" w:eastAsia="仿宋_GB2312" w:cs="仿宋_GB2312"/>
          <w:sz w:val="32"/>
          <w:szCs w:val="32"/>
        </w:rPr>
        <w:t>市的接待工作，</w:t>
      </w:r>
      <w:r>
        <w:rPr>
          <w:rFonts w:hint="eastAsia" w:ascii="仿宋_GB2312" w:hAnsi="仿宋_GB2312" w:eastAsia="仿宋_GB2312" w:cs="仿宋_GB2312"/>
          <w:sz w:val="32"/>
          <w:szCs w:val="32"/>
          <w:lang w:eastAsia="zh-CN"/>
        </w:rPr>
        <w:t>干部</w:t>
      </w:r>
      <w:r>
        <w:rPr>
          <w:rFonts w:hint="eastAsia" w:ascii="仿宋_GB2312" w:hAnsi="仿宋_GB2312" w:eastAsia="仿宋_GB2312" w:cs="仿宋_GB2312"/>
          <w:sz w:val="32"/>
          <w:szCs w:val="32"/>
        </w:rPr>
        <w:t>来</w:t>
      </w:r>
      <w:r>
        <w:rPr>
          <w:rFonts w:hint="eastAsia" w:ascii="仿宋_GB2312" w:hAnsi="仿宋_GB2312" w:eastAsia="仿宋_GB2312" w:cs="仿宋_GB2312"/>
          <w:sz w:val="32"/>
          <w:szCs w:val="32"/>
          <w:lang w:val="en-US" w:eastAsia="zh-CN"/>
        </w:rPr>
        <w:t>乌鲁木齐</w:t>
      </w:r>
      <w:r>
        <w:rPr>
          <w:rFonts w:hint="eastAsia" w:ascii="仿宋_GB2312" w:hAnsi="仿宋_GB2312" w:eastAsia="仿宋_GB2312" w:cs="仿宋_GB2312"/>
          <w:sz w:val="32"/>
          <w:szCs w:val="32"/>
        </w:rPr>
        <w:t>市就医期间的接待出行工作。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方正楷体_GB2312" w:hAnsi="方正楷体_GB2312" w:eastAsia="方正楷体_GB2312" w:cs="方正楷体_GB2312"/>
          <w:b/>
          <w:bCs/>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4.</w:t>
      </w:r>
      <w:r>
        <w:rPr>
          <w:rStyle w:val="19"/>
          <w:rFonts w:hint="eastAsia" w:ascii="楷体_GB2312" w:hAnsi="楷体_GB2312" w:eastAsia="楷体_GB2312" w:cs="楷体_GB2312"/>
          <w:b/>
          <w:bCs/>
          <w:spacing w:val="-4"/>
          <w:sz w:val="32"/>
          <w:szCs w:val="32"/>
          <w:lang w:val="en-US" w:eastAsia="zh-CN"/>
        </w:rPr>
        <w:t>资金投入和使用情况</w:t>
      </w:r>
      <w:r>
        <w:rPr>
          <w:rStyle w:val="19"/>
          <w:rFonts w:hint="eastAsia" w:ascii="楷体_GB2312" w:hAnsi="楷体_GB2312" w:eastAsia="楷体_GB2312" w:cs="楷体_GB2312"/>
          <w:b/>
          <w:bCs/>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（1）项目资金安排落实、总投入等情况分析</w:t>
      </w:r>
      <w:r>
        <w:rPr>
          <w:rFonts w:hint="eastAsia" w:ascii="方正楷体_GB2312" w:hAnsi="方正楷体_GB2312" w:eastAsia="方正楷体_GB2312" w:cs="方正楷体_GB2312"/>
          <w:b/>
          <w:bCs/>
          <w:spacing w:val="-4"/>
          <w:sz w:val="32"/>
          <w:szCs w:val="32"/>
          <w:lang w:val="en-US" w:eastAsia="zh-CN"/>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本项目预算安排总额为50万元，资金来源为本级部门预算，其中：财政资金50万元，其他资金0万元，2024年实际收到预算资金50万元，预算资金到位率为100 %。</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（2）项目资金实际使用情况分析</w:t>
      </w:r>
      <w:r>
        <w:rPr>
          <w:rFonts w:hint="eastAsia" w:ascii="方正楷体_GB2312" w:hAnsi="方正楷体_GB2312" w:eastAsia="方正楷体_GB2312" w:cs="方正楷体_GB2312"/>
          <w:b/>
          <w:bCs/>
          <w:spacing w:val="-4"/>
          <w:sz w:val="32"/>
          <w:szCs w:val="32"/>
          <w:lang w:val="en-US" w:eastAsia="zh-CN"/>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本项目实际支付资金50万元，预算执行率100%（预算执行率</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（实际支出资金/预算批复金额）*100%。本项目资金主要用于支付接待餐费用25万元、接待服务费用10万元，接待人员工资15万元。</w:t>
      </w:r>
    </w:p>
    <w:p w14:paraId="0523D70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黑体" w:hAnsi="黑体" w:eastAsia="黑体" w:cs="黑体"/>
          <w:spacing w:val="-4"/>
          <w:sz w:val="32"/>
          <w:szCs w:val="32"/>
        </w:rPr>
      </w:pPr>
      <w:r>
        <w:rPr>
          <w:rStyle w:val="19"/>
          <w:rFonts w:hint="eastAsia" w:ascii="黑体" w:hAnsi="黑体" w:eastAsia="黑体" w:cs="黑体"/>
          <w:spacing w:val="-4"/>
          <w:sz w:val="32"/>
          <w:szCs w:val="32"/>
        </w:rPr>
        <w:t>（二）项目绩效目标</w:t>
      </w:r>
    </w:p>
    <w:p w14:paraId="2103CDE3">
      <w:pPr>
        <w:keepNext w:val="0"/>
        <w:keepLines w:val="0"/>
        <w:pageBreakBefore w:val="0"/>
        <w:widowControl w:val="0"/>
        <w:kinsoku/>
        <w:wordWrap/>
        <w:overflowPunct/>
        <w:topLinePunct w:val="0"/>
        <w:autoSpaceDE/>
        <w:autoSpaceDN/>
        <w:bidi w:val="0"/>
        <w:adjustRightInd/>
        <w:snapToGrid/>
        <w:spacing w:line="560" w:lineRule="exact"/>
        <w:ind w:left="951" w:leftChars="304" w:hanging="313" w:hangingChars="100"/>
        <w:textAlignment w:val="auto"/>
        <w:rPr>
          <w:rStyle w:val="19"/>
          <w:rFonts w:hint="eastAsia" w:ascii="方正楷体_GB2312" w:hAnsi="方正楷体_GB2312" w:eastAsia="方正楷体_GB2312" w:cs="方正楷体_GB2312"/>
          <w:b/>
          <w:bCs/>
          <w:spacing w:val="-4"/>
          <w:sz w:val="32"/>
          <w:szCs w:val="32"/>
          <w:lang w:val="en-US" w:eastAsia="zh-CN"/>
        </w:rPr>
      </w:pPr>
      <w:r>
        <w:rPr>
          <w:rStyle w:val="19"/>
          <w:rFonts w:hint="eastAsia" w:ascii="方正楷体_GB2312" w:hAnsi="方正楷体_GB2312" w:eastAsia="方正楷体_GB2312" w:cs="方正楷体_GB2312"/>
          <w:b/>
          <w:bCs/>
          <w:spacing w:val="-4"/>
          <w:sz w:val="32"/>
          <w:szCs w:val="32"/>
          <w:lang w:val="en-US" w:eastAsia="zh-CN"/>
        </w:rPr>
        <w:t>1.总体目标</w:t>
      </w:r>
    </w:p>
    <w:p w14:paraId="31ADC06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保障了8辆公务用车正常使用，做好接待保障工作，做好援和及各省市在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就医期间的接待工作，产生经费共计50万元其中车接待餐费25万元，接待服务费10万元，接待人员工资15万元。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2.阶段性目标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项目前期准备工作:根据《关于和田驻乌鲁木齐办事处“八定”的通知》（和机编办〔2007〕6号）政策内容，计划开展接待业务经费项目。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项目实施：截至2024年12月31日，项目总支出50万元，其中车接待餐费25万元，接待服务费10万元，接待人员工资15万元。保障了8辆公务用车正常使用，</w:t>
      </w:r>
      <w:r>
        <w:rPr>
          <w:rStyle w:val="19"/>
          <w:rFonts w:hint="eastAsia" w:ascii="仿宋_GB2312" w:hAnsi="仿宋_GB2312" w:eastAsia="仿宋_GB2312" w:cs="仿宋_GB2312"/>
          <w:b w:val="0"/>
          <w:bCs w:val="0"/>
          <w:spacing w:val="-4"/>
          <w:sz w:val="32"/>
          <w:szCs w:val="32"/>
          <w:lang w:eastAsia="zh-CN"/>
        </w:rPr>
        <w:t>保障了接待工作</w:t>
      </w:r>
      <w:r>
        <w:rPr>
          <w:rStyle w:val="19"/>
          <w:rFonts w:hint="eastAsia" w:ascii="仿宋_GB2312" w:hAnsi="仿宋_GB2312" w:eastAsia="仿宋_GB2312" w:cs="仿宋_GB2312"/>
          <w:b w:val="0"/>
          <w:bCs w:val="0"/>
          <w:spacing w:val="-4"/>
          <w:sz w:val="32"/>
          <w:szCs w:val="32"/>
        </w:rPr>
        <w:t>，做好援和及各省市在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w:t>
      </w:r>
    </w:p>
    <w:p w14:paraId="6E79EE5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45FD31B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（一）绩效评价目的、对象和范围</w:t>
      </w:r>
    </w:p>
    <w:p w14:paraId="154E110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1.绩效评价的目的</w:t>
      </w:r>
    </w:p>
    <w:p w14:paraId="2399EAF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自治区财政支出绩效评价管理暂行办法》（新财预〔2018〕189号）文件精神，我单位针对接待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6622670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0D4F20A">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03D44FC">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4FD205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2.绩效评价对象</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此次我单位根据《财政支出绩效评价管理暂行办法》（财预〔2020〕10号）文件要求实施评价工作，本次评价对象为接待经费项目，评价核心为项目的资金投入、产出及效益。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3.绩效评价范围</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5EDD64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（二）绩效评价原则、评价指标体系、评价方法、评价标准</w:t>
      </w:r>
    </w:p>
    <w:p w14:paraId="7E245BE7">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1.绩效评价原则</w:t>
      </w:r>
    </w:p>
    <w:p w14:paraId="5A829B5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依据《中华人民共和国预算法》《中共 中央国务院关于全面实施预算绩效管理的意见》（中发〔2018〕34号）</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《项目支出绩效评价管理办法》（财预〔2020〕10号</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《自治区党委自治区人民政府关于全面实施预算绩效管理的实施意见》（新党发〔2018〕30号）</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《自治区财政支出绩效评价管理暂行办法》（新财预〔2018〕189号）等要求，绩效评价应遵循如下原则：</w:t>
      </w:r>
    </w:p>
    <w:p w14:paraId="3E507D1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3" w:leftChars="0" w:firstLine="627"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科学公正</w:t>
      </w:r>
      <w:r>
        <w:rPr>
          <w:rStyle w:val="19"/>
          <w:rFonts w:hint="eastAsia" w:ascii="仿宋_GB2312" w:hAnsi="仿宋_GB2312" w:eastAsia="仿宋_GB2312" w:cs="仿宋_GB2312"/>
          <w:b w:val="0"/>
          <w:bCs w:val="0"/>
          <w:spacing w:val="-4"/>
          <w:sz w:val="32"/>
          <w:szCs w:val="32"/>
        </w:rPr>
        <w:t>。绩效评价应当运用科学合理的方法，按照规范的程序，对项目绩效进行客观、公正的反映。</w:t>
      </w:r>
    </w:p>
    <w:p w14:paraId="6109B8D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3" w:leftChars="0" w:firstLine="627"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统筹兼顾。</w:t>
      </w:r>
      <w:r>
        <w:rPr>
          <w:rStyle w:val="19"/>
          <w:rFonts w:hint="eastAsia" w:ascii="仿宋_GB2312" w:hAnsi="仿宋_GB2312" w:eastAsia="仿宋_GB2312" w:cs="仿宋_GB2312"/>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p>
    <w:p w14:paraId="0E68971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3" w:leftChars="0" w:firstLine="627" w:firstLineChars="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激励约束。</w:t>
      </w:r>
      <w:r>
        <w:rPr>
          <w:rStyle w:val="19"/>
          <w:rFonts w:hint="eastAsia" w:ascii="仿宋_GB2312" w:hAnsi="仿宋_GB2312" w:eastAsia="仿宋_GB2312" w:cs="仿宋_GB2312"/>
          <w:b w:val="0"/>
          <w:bCs w:val="0"/>
          <w:spacing w:val="-4"/>
          <w:sz w:val="32"/>
          <w:szCs w:val="32"/>
        </w:rPr>
        <w:t>绩效评价结果应与预算安排、政策调整、改进管理实质性挂钩，体现奖优罚劣和激励相容导向，有效要安排、低效要压减、无效要问责。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（4）公开透明。</w:t>
      </w:r>
      <w:r>
        <w:rPr>
          <w:rStyle w:val="19"/>
          <w:rFonts w:hint="eastAsia" w:ascii="仿宋_GB2312" w:hAnsi="仿宋_GB2312" w:eastAsia="仿宋_GB2312" w:cs="仿宋_GB2312"/>
          <w:b w:val="0"/>
          <w:bCs w:val="0"/>
          <w:spacing w:val="-4"/>
          <w:sz w:val="32"/>
          <w:szCs w:val="32"/>
        </w:rPr>
        <w:t>绩效评价结果应依法依规公开，并自觉接受社会监督。</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根据以上原则，绩效评价应遵循如下要求:</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（1）在数据采集时，</w:t>
      </w:r>
      <w:r>
        <w:rPr>
          <w:rStyle w:val="19"/>
          <w:rFonts w:hint="eastAsia" w:ascii="仿宋_GB2312" w:hAnsi="仿宋_GB2312" w:eastAsia="仿宋_GB2312" w:cs="仿宋_GB2312"/>
          <w:b w:val="0"/>
          <w:bCs w:val="0"/>
          <w:spacing w:val="-4"/>
          <w:sz w:val="32"/>
          <w:szCs w:val="32"/>
        </w:rPr>
        <w:t>采取客观数据，主管部门审查、社会中介组织复查，与问卷调查相结合的形式，以保证各项指标的真实性。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（2）保证评价结果的真实性、</w:t>
      </w:r>
      <w:r>
        <w:rPr>
          <w:rStyle w:val="19"/>
          <w:rFonts w:hint="eastAsia" w:ascii="仿宋_GB2312" w:hAnsi="仿宋_GB2312" w:eastAsia="仿宋_GB2312" w:cs="仿宋_GB2312"/>
          <w:b w:val="0"/>
          <w:bCs w:val="0"/>
          <w:spacing w:val="-4"/>
          <w:sz w:val="32"/>
          <w:szCs w:val="32"/>
        </w:rPr>
        <w:t>公正性，提高评价报告的公信力。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w:t>
      </w:r>
      <w:r>
        <w:rPr>
          <w:rStyle w:val="19"/>
          <w:rFonts w:hint="eastAsia" w:ascii="方正楷体_GB2312" w:hAnsi="方正楷体_GB2312" w:eastAsia="方正楷体_GB2312" w:cs="方正楷体_GB2312"/>
          <w:b/>
          <w:bCs/>
          <w:spacing w:val="-4"/>
          <w:sz w:val="32"/>
          <w:szCs w:val="32"/>
          <w:lang w:val="en-US" w:eastAsia="zh-CN"/>
        </w:rPr>
        <w:t>3）绩教评价报告应当简明扼要，</w:t>
      </w:r>
      <w:r>
        <w:rPr>
          <w:rStyle w:val="19"/>
          <w:rFonts w:hint="eastAsia" w:ascii="仿宋_GB2312" w:hAnsi="仿宋_GB2312" w:eastAsia="仿宋_GB2312" w:cs="仿宋_GB2312"/>
          <w:b w:val="0"/>
          <w:bCs w:val="0"/>
          <w:spacing w:val="-4"/>
          <w:sz w:val="32"/>
          <w:szCs w:val="32"/>
        </w:rPr>
        <w:t>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2.绩效评价指标体系</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3.评价方法</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①定量指标分析环节：</w:t>
      </w:r>
      <w:r>
        <w:rPr>
          <w:rStyle w:val="19"/>
          <w:rFonts w:hint="eastAsia" w:ascii="仿宋_GB2312" w:hAnsi="仿宋_GB2312" w:eastAsia="仿宋_GB2312" w:cs="仿宋_GB2312"/>
          <w:b w:val="0"/>
          <w:bCs w:val="0"/>
          <w:spacing w:val="-4"/>
          <w:sz w:val="32"/>
          <w:szCs w:val="32"/>
        </w:rPr>
        <w:t>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②定性指标分析环节：</w:t>
      </w:r>
      <w:r>
        <w:rPr>
          <w:rStyle w:val="19"/>
          <w:rFonts w:hint="eastAsia" w:ascii="仿宋_GB2312" w:hAnsi="仿宋_GB2312" w:eastAsia="仿宋_GB2312" w:cs="仿宋_GB2312"/>
          <w:b w:val="0"/>
          <w:bCs w:val="0"/>
          <w:spacing w:val="-4"/>
          <w:sz w:val="32"/>
          <w:szCs w:val="32"/>
        </w:rPr>
        <w:t>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预算编制科学性</w:t>
      </w:r>
      <w:r>
        <w:rPr>
          <w:rStyle w:val="19"/>
          <w:rFonts w:hint="eastAsia" w:ascii="仿宋_GB2312" w:hAnsi="仿宋_GB2312" w:eastAsia="仿宋_GB2312" w:cs="仿宋_GB2312"/>
          <w:b w:val="0"/>
          <w:bCs w:val="0"/>
          <w:spacing w:val="-4"/>
          <w:sz w:val="32"/>
          <w:szCs w:val="32"/>
        </w:rPr>
        <w:tab/>
      </w:r>
      <w:r>
        <w:rPr>
          <w:rStyle w:val="19"/>
          <w:rFonts w:hint="eastAsia" w:ascii="仿宋_GB2312" w:hAnsi="仿宋_GB2312" w:eastAsia="仿宋_GB2312" w:cs="仿宋_GB2312"/>
          <w:b w:val="0"/>
          <w:bCs w:val="0"/>
          <w:spacing w:val="-4"/>
          <w:sz w:val="32"/>
          <w:szCs w:val="32"/>
        </w:rPr>
        <w:t>成本效益分析法</w:t>
      </w:r>
      <w:r>
        <w:rPr>
          <w:rStyle w:val="19"/>
          <w:rFonts w:hint="eastAsia" w:ascii="仿宋_GB2312" w:hAnsi="仿宋_GB2312" w:eastAsia="仿宋_GB2312" w:cs="仿宋_GB2312"/>
          <w:b w:val="0"/>
          <w:bCs w:val="0"/>
          <w:spacing w:val="-4"/>
          <w:sz w:val="32"/>
          <w:szCs w:val="32"/>
        </w:rPr>
        <w:tab/>
      </w:r>
      <w:r>
        <w:rPr>
          <w:rStyle w:val="19"/>
          <w:rFonts w:hint="eastAsia" w:ascii="仿宋_GB2312" w:hAnsi="仿宋_GB2312" w:eastAsia="仿宋_GB2312" w:cs="仿宋_GB2312"/>
          <w:b w:val="0"/>
          <w:bCs w:val="0"/>
          <w:spacing w:val="-4"/>
          <w:sz w:val="32"/>
          <w:szCs w:val="32"/>
        </w:rPr>
        <w:t>分析在产出一定的情况下，成本取值是否有依据，是否经过询价，是否按照市场最低成本编制。</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资金使用合规性：文献法、实地勘察法，</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查找资金管理办法，包括专项资金管理办法和单位自有资金管理办法；</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通过查账了解具体开支情况，是否专用专用，是否按照标准支出。</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4.评价标准</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213A62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（三）绩效评价工作过程</w:t>
      </w:r>
    </w:p>
    <w:p w14:paraId="6A8C60FA">
      <w:pPr>
        <w:keepNext w:val="0"/>
        <w:keepLines w:val="0"/>
        <w:pageBreakBefore w:val="0"/>
        <w:widowControl w:val="0"/>
        <w:kinsoku/>
        <w:wordWrap/>
        <w:overflowPunct/>
        <w:topLinePunct w:val="0"/>
        <w:autoSpaceDE/>
        <w:autoSpaceDN/>
        <w:bidi w:val="0"/>
        <w:adjustRightInd/>
        <w:snapToGrid/>
        <w:spacing w:line="560" w:lineRule="exact"/>
        <w:ind w:left="951" w:leftChars="304" w:hanging="313" w:hangingChars="10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1.前期准备</w:t>
      </w:r>
    </w:p>
    <w:p w14:paraId="694DA2E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汪志芳（评价小组组长）：主要负责审核并解决项目实施过程所有相关问题，复核绩效评价报告质量;</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汪景萱（评价小组组员）：主要负责收集项目绩效相关所有资料，负责报告中数据的核实；</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胡志春（评价小组组员）：主要负责编制绩效评价报告，编制绩效评价附件表格。</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2.组织实施</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2月10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3.分析评价</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2025年3月16日-3月25日，评价小组按照绩效评价的原则和规范，对取得的资料进行审查核实，对采集的数据进行分析，按照绩效评价指标评分表逐项进行打分、分析、汇总各方评价结果。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4.撰写与提交评价报告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2025年3月26日-4月10日评价小组撰写绩效评价报告，按照新疆维吾尔自治区财政绩效管理信息系统绩效评价模块中统一格式和文本框架撰写绩效评价报告并提交审核。</w:t>
      </w:r>
    </w:p>
    <w:p w14:paraId="548178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8" w:leftChars="304"/>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lang w:val="en-US" w:eastAsia="zh-CN"/>
        </w:rPr>
        <w:t>5.</w:t>
      </w:r>
      <w:r>
        <w:rPr>
          <w:rStyle w:val="19"/>
          <w:rFonts w:hint="eastAsia" w:ascii="方正楷体_GB2312" w:hAnsi="方正楷体_GB2312" w:eastAsia="方正楷体_GB2312" w:cs="方正楷体_GB2312"/>
          <w:b/>
          <w:bCs/>
          <w:spacing w:val="-4"/>
          <w:sz w:val="32"/>
          <w:szCs w:val="32"/>
        </w:rPr>
        <w:t>问题整改</w:t>
      </w:r>
    </w:p>
    <w:p w14:paraId="20529A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6.档案整理</w:t>
      </w:r>
      <w:r>
        <w:rPr>
          <w:rFonts w:hint="eastAsia" w:ascii="方正楷体_GB2312" w:hAnsi="方正楷体_GB2312" w:eastAsia="方正楷体_GB2312" w:cs="方正楷体_GB2312"/>
          <w:b/>
          <w:bCs/>
          <w:spacing w:val="-4"/>
          <w:sz w:val="32"/>
          <w:szCs w:val="32"/>
          <w:lang w:val="en-US" w:eastAsia="zh-CN"/>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1066FB4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036A3187">
      <w:pPr>
        <w:keepNext w:val="0"/>
        <w:keepLines w:val="0"/>
        <w:pageBreakBefore w:val="0"/>
        <w:widowControl w:val="0"/>
        <w:kinsoku/>
        <w:wordWrap/>
        <w:overflowPunct/>
        <w:topLinePunct w:val="0"/>
        <w:autoSpaceDE/>
        <w:autoSpaceDN/>
        <w:bidi w:val="0"/>
        <w:adjustRightInd/>
        <w:snapToGrid/>
        <w:spacing w:line="560" w:lineRule="exact"/>
        <w:ind w:left="951" w:leftChars="304" w:hanging="313" w:hangingChars="100"/>
        <w:textAlignment w:val="auto"/>
        <w:rPr>
          <w:rStyle w:val="19"/>
          <w:rFonts w:hint="eastAsia" w:ascii="方正楷体_GB2312" w:hAnsi="方正楷体_GB2312" w:eastAsia="方正楷体_GB2312" w:cs="方正楷体_GB2312"/>
          <w:b w:val="0"/>
          <w:bCs w:val="0"/>
          <w:spacing w:val="-4"/>
          <w:sz w:val="32"/>
          <w:szCs w:val="32"/>
        </w:rPr>
      </w:pPr>
      <w:r>
        <w:rPr>
          <w:rStyle w:val="19"/>
          <w:rFonts w:hint="eastAsia" w:ascii="方正楷体_GB2312" w:hAnsi="方正楷体_GB2312" w:eastAsia="方正楷体_GB2312" w:cs="方正楷体_GB2312"/>
          <w:b/>
          <w:bCs/>
          <w:spacing w:val="-4"/>
          <w:sz w:val="32"/>
          <w:szCs w:val="32"/>
        </w:rPr>
        <w:t>（一）综合评价情况</w:t>
      </w:r>
    </w:p>
    <w:p w14:paraId="0ADAC74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项目管理方面，项目资金使用合规，项目财务管理制度健全，财务监控到位，所有资金支付均按照国库集中支付制度严格执行，现有项目管理制度执行情况良好。</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项目产出方面：保障了8辆公务用车的正常运行，及接待工作及时高效的完成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项目效益方面：项目的实施提高了接待效率使接待人员满意度提高。</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（二）评价结论</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90分，绩效评级为“优”。综合评价结论如下：本项目共设置三级指标数量10个，实现三级指标数量10个，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项目产出类指标共设置8个，满分指标8个，权重分20分，得分20分，得分率100%；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详细情况见“附件2：项目综合得分表”。</w:t>
      </w:r>
    </w:p>
    <w:p w14:paraId="4B75631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黑体" w:hAnsi="黑体" w:eastAsia="黑体" w:cs="黑体"/>
          <w:sz w:val="32"/>
          <w:szCs w:val="32"/>
        </w:rPr>
      </w:pPr>
      <w:r>
        <w:rPr>
          <w:rStyle w:val="19"/>
          <w:rFonts w:hint="eastAsia" w:ascii="黑体" w:hAnsi="黑体" w:eastAsia="黑体" w:cs="黑体"/>
          <w:b/>
          <w:bCs w:val="0"/>
          <w:spacing w:val="-4"/>
          <w:sz w:val="32"/>
          <w:szCs w:val="32"/>
        </w:rPr>
        <w:t>四、绩效评价指标分析</w:t>
      </w:r>
      <w:r>
        <w:rPr>
          <w:rStyle w:val="19"/>
          <w:rFonts w:hint="eastAsia" w:ascii="黑体" w:hAnsi="黑体" w:eastAsia="黑体" w:cs="黑体"/>
          <w:sz w:val="32"/>
          <w:szCs w:val="32"/>
        </w:rPr>
        <w:t xml:space="preserve"> </w:t>
      </w:r>
    </w:p>
    <w:p w14:paraId="544F80E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eastAsia" w:ascii="方正楷体_GB2312" w:hAnsi="方正楷体_GB2312" w:eastAsia="方正楷体_GB2312" w:cs="方正楷体_GB2312"/>
          <w:b/>
          <w:spacing w:val="-4"/>
          <w:sz w:val="32"/>
          <w:szCs w:val="32"/>
        </w:rPr>
      </w:pPr>
      <w:r>
        <w:rPr>
          <w:rFonts w:hint="eastAsia" w:ascii="方正楷体_GB2312" w:hAnsi="方正楷体_GB2312" w:eastAsia="方正楷体_GB2312" w:cs="方正楷体_GB2312"/>
          <w:b/>
          <w:spacing w:val="-4"/>
          <w:sz w:val="32"/>
          <w:szCs w:val="32"/>
        </w:rPr>
        <w:t>（一）</w:t>
      </w:r>
      <w:r>
        <w:rPr>
          <w:rStyle w:val="19"/>
          <w:rFonts w:hint="eastAsia" w:ascii="方正楷体_GB2312" w:hAnsi="方正楷体_GB2312" w:eastAsia="方正楷体_GB2312" w:cs="方正楷体_GB2312"/>
          <w:spacing w:val="-4"/>
          <w:sz w:val="32"/>
          <w:szCs w:val="32"/>
        </w:rPr>
        <w:t>项目决策情况</w:t>
      </w:r>
    </w:p>
    <w:p w14:paraId="4F621C4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1.项目立项情况分析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（1）立项依据充分性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项目立项符合《关于和田驻乌鲁木齐办事处“八定”的通知》（和机编办〔2007〕6号）的相关内容，符合行业发展规划和政策要求；本项目立项符合《和田行政公署驻乌办事处单位配置内设机构和人员编制规定》中“负责和田地区</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工作人员来乌公务活动的接待、交通、后勤保障等工作；可能包括对和田籍在乌人员（如务工、就医、就学等）提供必要的服务协调”职责范围中的规定，属于我单位履职所需；根据《财政资金直接支付申请书》，本项目资金性质为“公共财政预算”功能分类为“2010399其他政府办公厅（室）及相关机构事务支出”经济分类为“30231公务用车运行维护费”属于公共财政支持范围，符合中央、地方事权支出责任划分原则；经检查我单位财政应用平台指标，本项目不存在重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（2）立项程序规范性</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w:t>
      </w:r>
    </w:p>
    <w:p w14:paraId="4961606D">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4833891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7D1BD32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1D9AB3D1">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20B5350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2A4BC0C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p>
    <w:p w14:paraId="77C8E9BD">
      <w:pPr>
        <w:keepNext w:val="0"/>
        <w:keepLines w:val="0"/>
        <w:pageBreakBefore w:val="0"/>
        <w:widowControl w:val="0"/>
        <w:tabs>
          <w:tab w:val="center" w:pos="4295"/>
        </w:tabs>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相关文件，符合相关要求。本项目为非基础建设类项目，属于专项资金安排项目，不涉及事前绩效评估、可行性研究以及风险评估，不涉及事前绩效评估和风险评估，已委托和田行政公署驻乌鲁木齐办事处完成本项目可行性研究报告的编制，并经过专家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2.绩效目标情况分析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（1）绩效目标合理性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本项目已设置年度绩效目标，具体内容为“保障了8辆公务用车正常使用，保障接待工作，做好援和及各省市在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本项目实际工作内容为：截止2024年12月31日，本项目实际支出资金50万元，预算执行率为100.00%。绩效目标与实际工作内容一致，两者具有相关性;本项目按照绩效目标完成了数量指标、质量指标、时效指标、成本指标，有效保障了8辆公务用车正常使用，保障</w:t>
      </w:r>
      <w:r>
        <w:rPr>
          <w:rStyle w:val="19"/>
          <w:rFonts w:hint="eastAsia" w:ascii="仿宋_GB2312" w:hAnsi="仿宋_GB2312" w:eastAsia="仿宋_GB2312" w:cs="仿宋_GB2312"/>
          <w:b w:val="0"/>
          <w:bCs w:val="0"/>
          <w:spacing w:val="-4"/>
          <w:sz w:val="32"/>
          <w:szCs w:val="32"/>
          <w:lang w:eastAsia="zh-CN"/>
        </w:rPr>
        <w:t>了</w:t>
      </w:r>
      <w:r>
        <w:rPr>
          <w:rStyle w:val="19"/>
          <w:rFonts w:hint="eastAsia" w:ascii="仿宋_GB2312" w:hAnsi="仿宋_GB2312" w:eastAsia="仿宋_GB2312" w:cs="仿宋_GB2312"/>
          <w:b w:val="0"/>
          <w:bCs w:val="0"/>
          <w:spacing w:val="-4"/>
          <w:sz w:val="32"/>
          <w:szCs w:val="32"/>
        </w:rPr>
        <w:t>接待工作，做好援和及各省市在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就医期间的接待工作，年度绩效目标完成，预期产出效益和效果符合正常的业绩水平。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（2）绩效指标明确性</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6个，定性指标3个，指标量化率为66.67%，量化率达70.00%以上。</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3.资金投入情况分析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（1）预算编制科学性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本项目预算编制50万元，即预算编制较科学且经过论证；</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预算申请内容为50万元，项目实际内容为保障了8辆公务用车正常使用，保障</w:t>
      </w:r>
      <w:r>
        <w:rPr>
          <w:rStyle w:val="19"/>
          <w:rFonts w:hint="eastAsia" w:ascii="仿宋_GB2312" w:hAnsi="仿宋_GB2312" w:eastAsia="仿宋_GB2312" w:cs="仿宋_GB2312"/>
          <w:b w:val="0"/>
          <w:bCs w:val="0"/>
          <w:spacing w:val="-4"/>
          <w:sz w:val="32"/>
          <w:szCs w:val="32"/>
          <w:lang w:eastAsia="zh-CN"/>
        </w:rPr>
        <w:t>了</w:t>
      </w:r>
      <w:r>
        <w:rPr>
          <w:rStyle w:val="19"/>
          <w:rFonts w:hint="eastAsia" w:ascii="仿宋_GB2312" w:hAnsi="仿宋_GB2312" w:eastAsia="仿宋_GB2312" w:cs="仿宋_GB2312"/>
          <w:b w:val="0"/>
          <w:bCs w:val="0"/>
          <w:spacing w:val="-4"/>
          <w:sz w:val="32"/>
          <w:szCs w:val="32"/>
        </w:rPr>
        <w:t>接待工作，做好援和及各省市在</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的接待工作，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来</w:t>
      </w:r>
      <w:r>
        <w:rPr>
          <w:rStyle w:val="19"/>
          <w:rFonts w:hint="eastAsia" w:ascii="仿宋_GB2312" w:hAnsi="仿宋_GB2312" w:eastAsia="仿宋_GB2312" w:cs="仿宋_GB2312"/>
          <w:b w:val="0"/>
          <w:bCs w:val="0"/>
          <w:spacing w:val="-4"/>
          <w:sz w:val="32"/>
          <w:szCs w:val="32"/>
          <w:lang w:eastAsia="zh-CN"/>
        </w:rPr>
        <w:t>乌鲁木齐市</w:t>
      </w:r>
      <w:r>
        <w:rPr>
          <w:rStyle w:val="19"/>
          <w:rFonts w:hint="eastAsia" w:ascii="仿宋_GB2312" w:hAnsi="仿宋_GB2312" w:eastAsia="仿宋_GB2312" w:cs="仿宋_GB2312"/>
          <w:b w:val="0"/>
          <w:bCs w:val="0"/>
          <w:spacing w:val="-4"/>
          <w:sz w:val="32"/>
          <w:szCs w:val="32"/>
        </w:rPr>
        <w:t>就医期间的接待工作，预算申请与《接待经费项目实施方案》中涉及的项目内容匹配；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预算申请资金136.77万元，我单位在预算申请中严格按照单位标准和数量进行核算，其中：单位标准为50万元，数量为1个。本项目预算额度测算依据充分，严格按照标准编制，预算确定资金量与实际工作任务相匹配；</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（2）资金分配合理性</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分配资金以《关于申请接待经费项目资金的请示》和《接待经费项目实施方案》为依据进行资金分配，预算资金分配依据充分。根据《关于申请接待经费项目资金的请示》文件显示，本项目实际到位资金50万元，实际分配资金与我单位提交申请的资金额度一致，资金分配额度合理，与我单位实际需求相适应。</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4E15DD3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spacing w:val="-4"/>
          <w:sz w:val="32"/>
          <w:szCs w:val="32"/>
        </w:rPr>
      </w:pPr>
      <w:r>
        <w:rPr>
          <w:rFonts w:hint="eastAsia" w:ascii="方正楷体_GB2312" w:hAnsi="方正楷体_GB2312" w:eastAsia="方正楷体_GB2312" w:cs="方正楷体_GB2312"/>
          <w:b/>
          <w:spacing w:val="-4"/>
          <w:sz w:val="32"/>
          <w:szCs w:val="32"/>
        </w:rPr>
        <w:t>（</w:t>
      </w:r>
      <w:r>
        <w:rPr>
          <w:rFonts w:hint="eastAsia" w:ascii="方正楷体_GB2312" w:hAnsi="方正楷体_GB2312" w:eastAsia="方正楷体_GB2312" w:cs="方正楷体_GB2312"/>
          <w:b/>
          <w:spacing w:val="-4"/>
          <w:sz w:val="32"/>
          <w:szCs w:val="32"/>
          <w:lang w:val="en-US" w:eastAsia="zh-CN"/>
        </w:rPr>
        <w:t>二</w:t>
      </w:r>
      <w:r>
        <w:rPr>
          <w:rFonts w:hint="eastAsia" w:ascii="方正楷体_GB2312" w:hAnsi="方正楷体_GB2312" w:eastAsia="方正楷体_GB2312" w:cs="方正楷体_GB2312"/>
          <w:b/>
          <w:spacing w:val="-4"/>
          <w:sz w:val="32"/>
          <w:szCs w:val="32"/>
        </w:rPr>
        <w:t>）</w:t>
      </w:r>
      <w:r>
        <w:rPr>
          <w:rStyle w:val="19"/>
          <w:rFonts w:hint="eastAsia" w:ascii="方正楷体_GB2312" w:hAnsi="方正楷体_GB2312" w:eastAsia="方正楷体_GB2312" w:cs="方正楷体_GB2312"/>
          <w:spacing w:val="-4"/>
          <w:sz w:val="32"/>
          <w:szCs w:val="32"/>
        </w:rPr>
        <w:t>项目过程情况</w:t>
      </w:r>
    </w:p>
    <w:p w14:paraId="3C70B46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方正楷体_GB2312" w:hAnsi="方正楷体_GB2312" w:eastAsia="方正楷体_GB2312" w:cs="方正楷体_GB2312"/>
          <w:b/>
          <w:bCs/>
          <w:spacing w:val="-4"/>
          <w:sz w:val="32"/>
          <w:szCs w:val="32"/>
          <w:lang w:val="en-US" w:eastAsia="zh-CN"/>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1.资金管理情况分析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（1）资金到位率</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本项目预算资金为50元，其中：本级财政安排资金50万元，其他资金0万元，实际到位资金50万元，资金到位率</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（实际到位资金/预算资金）×100%</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（50/50）*100%</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100%。得分</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资金到位率*分值</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100%*2</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2分。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（2）预算执行率</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本项目实际支出资金50万元，预算执行率</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（实际支出资金/实际到位资金）×100%</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（50/50）*100%</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XX%。得分</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预算执行率*分值</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100%*7</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7分。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（3）资金使用合规性</w:t>
      </w:r>
    </w:p>
    <w:p w14:paraId="60336C5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新疆和田行政公署驻乌鲁木齐办事处单位资金管理办法》《新疆和田行政公署驻乌鲁木齐办事处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2.组织实施情况分析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（1）管理制度健全性</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我单位已制定《新疆和田行政公署驻乌鲁木齐办事处资金管理办法》《新疆和田行政公署驻乌鲁木齐办事处收支业务管理制度》《新疆和田行政公署驻乌鲁木齐办事处政府采购业务管理制度》《新疆和田行政公署驻乌鲁木齐办事处合同管理制度》，上述已建立的制度均符合行政事业单位内控管理要求，财务和业务管理制度合法、合规、完整，本项目执行符合上述制度规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（2）制度执行有效性</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接待金戈夫项目工作</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小组，由党组书记蒲向阳任组长，负责项目的组织工作；张润斌任副组长，负责项目的实施工作；组员包括：李存芳，主要负责项目监督管理、验收以及资金核拨等工作。</w:t>
      </w:r>
    </w:p>
    <w:p w14:paraId="66CE6EF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eastAsia" w:ascii="方正楷体_GB2312" w:hAnsi="方正楷体_GB2312" w:eastAsia="方正楷体_GB2312" w:cs="方正楷体_GB2312"/>
          <w:b/>
          <w:spacing w:val="-4"/>
          <w:sz w:val="32"/>
          <w:szCs w:val="32"/>
        </w:rPr>
      </w:pPr>
      <w:r>
        <w:rPr>
          <w:rFonts w:hint="eastAsia" w:ascii="方正楷体_GB2312" w:hAnsi="方正楷体_GB2312" w:eastAsia="方正楷体_GB2312" w:cs="方正楷体_GB2312"/>
          <w:b/>
          <w:spacing w:val="-4"/>
          <w:sz w:val="32"/>
          <w:szCs w:val="32"/>
        </w:rPr>
        <w:t>（</w:t>
      </w:r>
      <w:r>
        <w:rPr>
          <w:rFonts w:hint="eastAsia" w:ascii="方正楷体_GB2312" w:hAnsi="方正楷体_GB2312" w:eastAsia="方正楷体_GB2312" w:cs="方正楷体_GB2312"/>
          <w:b/>
          <w:spacing w:val="-4"/>
          <w:sz w:val="32"/>
          <w:szCs w:val="32"/>
          <w:lang w:val="en-US" w:eastAsia="zh-CN"/>
        </w:rPr>
        <w:t>三</w:t>
      </w:r>
      <w:r>
        <w:rPr>
          <w:rFonts w:hint="eastAsia" w:ascii="方正楷体_GB2312" w:hAnsi="方正楷体_GB2312" w:eastAsia="方正楷体_GB2312" w:cs="方正楷体_GB2312"/>
          <w:b/>
          <w:spacing w:val="-4"/>
          <w:sz w:val="32"/>
          <w:szCs w:val="32"/>
        </w:rPr>
        <w:t>）</w:t>
      </w:r>
      <w:r>
        <w:rPr>
          <w:rStyle w:val="19"/>
          <w:rFonts w:hint="eastAsia" w:ascii="方正楷体_GB2312" w:hAnsi="方正楷体_GB2312" w:eastAsia="方正楷体_GB2312" w:cs="方正楷体_GB2312"/>
          <w:spacing w:val="-4"/>
          <w:sz w:val="32"/>
          <w:szCs w:val="32"/>
        </w:rPr>
        <w:t>项目产出情况</w:t>
      </w:r>
    </w:p>
    <w:p w14:paraId="43B9246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项目产出类指标由4个二级指标和8个三级指标构成，权重分20分，实际得分20分。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1.数量指标完成情况分析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“接待和田来乌差、开会人数”指标：预期指标值为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3000人，实际完成指标值为3000人，指标完成率为100%。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“保障临聘人员数”指标：预期指标值为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14，实际完成指标值为14，指标完成率为100%。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2.质量指标完成情况分析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“工作人员上岗率”指标：预期指标值为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3.时效指标完成情况分析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“人员接待及时率”指标：预期指标值为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“聘用人员工资发放及时率”指标：预期指标值为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100%，实际完成指标值为100%，指标完成率为100%。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4.成本指标完成情况分析</w:t>
      </w:r>
      <w:r>
        <w:rPr>
          <w:rFonts w:hint="eastAsia" w:ascii="方正楷体_GB2312" w:hAnsi="方正楷体_GB2312" w:eastAsia="方正楷体_GB2312" w:cs="方正楷体_GB2312"/>
          <w:b/>
          <w:bCs/>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“接待餐费”指标：预期指标值为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25万元，实际完成指标值为25万元，指标完成率为100%。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“接待服务费”指标：预期指标值为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10万元，实际完成指标值为10万元，指标完成率为100%。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“接待人员工资”指标：预期指标值为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15万元，实际完成指标值为15万元，指标完成率为100%。</w:t>
      </w:r>
    </w:p>
    <w:p w14:paraId="3A28CBE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eastAsia" w:ascii="方正楷体_GB2312" w:hAnsi="方正楷体_GB2312" w:eastAsia="方正楷体_GB2312" w:cs="方正楷体_GB2312"/>
          <w:b/>
          <w:bCs w:val="0"/>
          <w:spacing w:val="-4"/>
          <w:sz w:val="32"/>
          <w:szCs w:val="32"/>
        </w:rPr>
      </w:pPr>
      <w:r>
        <w:rPr>
          <w:rFonts w:hint="eastAsia" w:ascii="方正楷体_GB2312" w:hAnsi="方正楷体_GB2312" w:eastAsia="方正楷体_GB2312" w:cs="方正楷体_GB2312"/>
          <w:b/>
          <w:bCs w:val="0"/>
          <w:spacing w:val="-4"/>
          <w:sz w:val="32"/>
          <w:szCs w:val="32"/>
        </w:rPr>
        <w:t>（</w:t>
      </w:r>
      <w:r>
        <w:rPr>
          <w:rFonts w:hint="eastAsia" w:ascii="方正楷体_GB2312" w:hAnsi="方正楷体_GB2312" w:eastAsia="方正楷体_GB2312" w:cs="方正楷体_GB2312"/>
          <w:b/>
          <w:bCs w:val="0"/>
          <w:spacing w:val="-4"/>
          <w:sz w:val="32"/>
          <w:szCs w:val="32"/>
          <w:lang w:val="en-US" w:eastAsia="zh-CN"/>
        </w:rPr>
        <w:t>四</w:t>
      </w:r>
      <w:r>
        <w:rPr>
          <w:rFonts w:hint="eastAsia" w:ascii="方正楷体_GB2312" w:hAnsi="方正楷体_GB2312" w:eastAsia="方正楷体_GB2312" w:cs="方正楷体_GB2312"/>
          <w:b/>
          <w:bCs w:val="0"/>
          <w:spacing w:val="-4"/>
          <w:sz w:val="32"/>
          <w:szCs w:val="32"/>
        </w:rPr>
        <w:t>）</w:t>
      </w:r>
      <w:r>
        <w:rPr>
          <w:rStyle w:val="19"/>
          <w:rFonts w:hint="eastAsia" w:ascii="方正楷体_GB2312" w:hAnsi="方正楷体_GB2312" w:eastAsia="方正楷体_GB2312" w:cs="方正楷体_GB2312"/>
          <w:b/>
          <w:bCs w:val="0"/>
          <w:spacing w:val="-4"/>
          <w:sz w:val="32"/>
          <w:szCs w:val="32"/>
        </w:rPr>
        <w:t>项目效益情况</w:t>
      </w:r>
    </w:p>
    <w:p w14:paraId="7D4769A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rPr>
        <w:t>1.经济效益完成情况分析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rPr>
        <w:t>2.社会效益完成情况分析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“工作效率提高情况”指标：预期指标值为有效提高，实际完成指标值为基本达成目标，指标完成率为100%。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lang w:val="en-US" w:eastAsia="zh-CN"/>
        </w:rPr>
        <w:t>3.生态效益完成情况分析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lang w:val="en-US" w:eastAsia="zh-CN"/>
        </w:rPr>
        <w:t xml:space="preserve"> 4.可持续影响完成情况分析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无。</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Fonts w:hint="eastAsia" w:ascii="方正楷体_GB2312" w:hAnsi="方正楷体_GB2312" w:eastAsia="方正楷体_GB2312" w:cs="方正楷体_GB2312"/>
          <w:b/>
          <w:bCs w:val="0"/>
          <w:spacing w:val="-4"/>
          <w:sz w:val="32"/>
          <w:szCs w:val="32"/>
          <w:lang w:val="en-US" w:eastAsia="zh-CN"/>
        </w:rPr>
        <w:t>5.满意度指标完成情况分析</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“接待人员满意度”指标：预期指标值为</w:t>
      </w:r>
      <w:r>
        <w:rPr>
          <w:rStyle w:val="19"/>
          <w:rFonts w:hint="eastAsia" w:ascii="仿宋_GB2312" w:hAnsi="仿宋_GB2312" w:eastAsia="仿宋_GB2312" w:cs="仿宋_GB2312"/>
          <w:b w:val="0"/>
          <w:bCs w:val="0"/>
          <w:spacing w:val="-4"/>
          <w:sz w:val="32"/>
          <w:szCs w:val="32"/>
          <w:lang w:eastAsia="zh-CN"/>
        </w:rPr>
        <w:t>≥</w:t>
      </w:r>
      <w:r>
        <w:rPr>
          <w:rStyle w:val="19"/>
          <w:rFonts w:hint="eastAsia" w:ascii="仿宋_GB2312" w:hAnsi="仿宋_GB2312" w:eastAsia="仿宋_GB2312" w:cs="仿宋_GB2312"/>
          <w:b w:val="0"/>
          <w:bCs w:val="0"/>
          <w:spacing w:val="-4"/>
          <w:sz w:val="32"/>
          <w:szCs w:val="32"/>
        </w:rPr>
        <w:t>95%，实际完成指标值为95%，指标完成率为100%。</w:t>
      </w:r>
    </w:p>
    <w:p w14:paraId="450A86A5">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val="0"/>
          <w:spacing w:val="-4"/>
          <w:sz w:val="32"/>
          <w:szCs w:val="32"/>
        </w:rPr>
      </w:pPr>
      <w:r>
        <w:rPr>
          <w:rStyle w:val="19"/>
          <w:rFonts w:hint="eastAsia" w:ascii="方正楷体_GB2312" w:hAnsi="方正楷体_GB2312" w:eastAsia="方正楷体_GB2312" w:cs="方正楷体_GB2312"/>
          <w:b/>
          <w:bCs w:val="0"/>
          <w:spacing w:val="-4"/>
          <w:sz w:val="32"/>
          <w:szCs w:val="32"/>
        </w:rPr>
        <w:t>五、预算执行进度与绩效指标偏差</w:t>
      </w:r>
    </w:p>
    <w:p w14:paraId="2ED2C55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本项目年初预算资金总额为50万元，全年预算数为50万元，全年执行数为50万元，预算执行率为100%。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本项目共设置三级指标数量10个，满分指标数量10个，扣分指标数量0个，经分析计算所有三级指标完成率得出，本项目总体完成率为100%。</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427199E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val="0"/>
          <w:spacing w:val="-4"/>
          <w:sz w:val="32"/>
          <w:szCs w:val="32"/>
        </w:rPr>
      </w:pPr>
      <w:r>
        <w:rPr>
          <w:rStyle w:val="19"/>
          <w:rFonts w:hint="eastAsia" w:ascii="方正楷体_GB2312" w:hAnsi="方正楷体_GB2312" w:eastAsia="方正楷体_GB2312" w:cs="方正楷体_GB2312"/>
          <w:b/>
          <w:bCs w:val="0"/>
          <w:spacing w:val="-4"/>
          <w:sz w:val="32"/>
          <w:szCs w:val="32"/>
        </w:rPr>
        <w:t>六、主要经验及做法、存在的问题及原因分析</w:t>
      </w:r>
    </w:p>
    <w:p w14:paraId="55D5E0EE">
      <w:pPr>
        <w:keepNext w:val="0"/>
        <w:keepLines w:val="0"/>
        <w:pageBreakBefore w:val="0"/>
        <w:widowControl w:val="0"/>
        <w:kinsoku/>
        <w:wordWrap/>
        <w:overflowPunct/>
        <w:topLinePunct w:val="0"/>
        <w:autoSpaceDE/>
        <w:autoSpaceDN/>
        <w:bidi w:val="0"/>
        <w:adjustRightInd/>
        <w:snapToGrid/>
        <w:spacing w:line="560" w:lineRule="exact"/>
        <w:ind w:left="638" w:leftChars="304" w:firstLine="0" w:firstLineChars="0"/>
        <w:textAlignment w:val="auto"/>
        <w:rPr>
          <w:rStyle w:val="19"/>
          <w:rFonts w:hint="eastAsia" w:ascii="方正楷体_GB2312" w:hAnsi="方正楷体_GB2312" w:eastAsia="方正楷体_GB2312" w:cs="方正楷体_GB2312"/>
          <w:b/>
          <w:bCs/>
          <w:spacing w:val="-4"/>
          <w:sz w:val="32"/>
          <w:szCs w:val="32"/>
        </w:rPr>
      </w:pPr>
      <w:r>
        <w:rPr>
          <w:rStyle w:val="19"/>
          <w:rFonts w:hint="eastAsia" w:ascii="方正楷体_GB2312" w:hAnsi="方正楷体_GB2312" w:eastAsia="方正楷体_GB2312" w:cs="方正楷体_GB2312"/>
          <w:b/>
          <w:bCs/>
          <w:spacing w:val="-4"/>
          <w:sz w:val="32"/>
          <w:szCs w:val="32"/>
        </w:rPr>
        <w:t>（一）主要经验及做法</w:t>
      </w:r>
    </w:p>
    <w:p w14:paraId="3A8DE63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Fonts w:hint="eastAsia" w:ascii="仿宋_GB2312" w:hAnsi="仿宋_GB2312" w:eastAsia="仿宋_GB2312" w:cs="仿宋_GB2312"/>
          <w:spacing w:val="-4"/>
          <w:sz w:val="32"/>
          <w:szCs w:val="32"/>
        </w:rPr>
      </w:pPr>
      <w:r>
        <w:rPr>
          <w:rStyle w:val="19"/>
          <w:rFonts w:hint="eastAsia" w:ascii="方正楷体_GB2312" w:hAnsi="方正楷体_GB2312" w:eastAsia="方正楷体_GB2312" w:cs="方正楷体_GB2312"/>
          <w:b/>
          <w:bCs/>
          <w:spacing w:val="-4"/>
          <w:sz w:val="32"/>
          <w:szCs w:val="32"/>
        </w:rPr>
        <w:t>一是</w:t>
      </w:r>
      <w:r>
        <w:rPr>
          <w:rStyle w:val="19"/>
          <w:rFonts w:hint="eastAsia" w:ascii="仿宋_GB2312" w:hAnsi="仿宋_GB2312" w:eastAsia="仿宋_GB2312" w:cs="仿宋_GB2312"/>
          <w:b w:val="0"/>
          <w:bCs w:val="0"/>
          <w:spacing w:val="-4"/>
          <w:sz w:val="32"/>
          <w:szCs w:val="32"/>
        </w:rPr>
        <w:t>本项目能够严格按照《项目实施方案》执行，项目执行情况较好。</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二是</w:t>
      </w:r>
      <w:r>
        <w:rPr>
          <w:rStyle w:val="19"/>
          <w:rFonts w:hint="eastAsia" w:ascii="仿宋_GB2312" w:hAnsi="仿宋_GB2312" w:eastAsia="仿宋_GB2312" w:cs="仿宋_GB2312"/>
          <w:b w:val="0"/>
          <w:bCs w:val="0"/>
          <w:spacing w:val="-4"/>
          <w:sz w:val="32"/>
          <w:szCs w:val="32"/>
        </w:rPr>
        <w:t>加强组织</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，本项目绩效评价工作，有县政府主要</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亲自挂帅，分管县</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具体负责，从项目到资金，均能后很好的执行。</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三是</w:t>
      </w:r>
      <w:r>
        <w:rPr>
          <w:rStyle w:val="19"/>
          <w:rFonts w:hint="eastAsia" w:ascii="仿宋_GB2312" w:hAnsi="仿宋_GB2312" w:eastAsia="仿宋_GB2312" w:cs="仿宋_GB2312"/>
          <w:b w:val="0"/>
          <w:bCs w:val="0"/>
          <w:spacing w:val="-4"/>
          <w:sz w:val="32"/>
          <w:szCs w:val="32"/>
        </w:rPr>
        <w:t>加强沟通协调，我单位及时向县</w:t>
      </w:r>
      <w:r>
        <w:rPr>
          <w:rStyle w:val="19"/>
          <w:rFonts w:hint="eastAsia" w:ascii="仿宋_GB2312" w:hAnsi="仿宋_GB2312" w:eastAsia="仿宋_GB2312" w:cs="仿宋_GB2312"/>
          <w:b w:val="0"/>
          <w:bCs w:val="0"/>
          <w:spacing w:val="-4"/>
          <w:sz w:val="32"/>
          <w:szCs w:val="32"/>
          <w:lang w:eastAsia="zh-CN"/>
        </w:rPr>
        <w:t>干部</w:t>
      </w:r>
      <w:r>
        <w:rPr>
          <w:rStyle w:val="19"/>
          <w:rFonts w:hint="eastAsia" w:ascii="仿宋_GB2312" w:hAnsi="仿宋_GB2312" w:eastAsia="仿宋_GB2312" w:cs="仿宋_GB2312"/>
          <w:b w:val="0"/>
          <w:bCs w:val="0"/>
          <w:spacing w:val="-4"/>
          <w:sz w:val="32"/>
          <w:szCs w:val="32"/>
        </w:rPr>
        <w:t>汇报项目建设进度，加强与实施单位的沟通，确保项目按期完工。</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（二）存在的问题及原因分析</w:t>
      </w:r>
      <w:r>
        <w:rPr>
          <w:rFonts w:hint="eastAsia" w:ascii="方正楷体_GB2312" w:hAnsi="方正楷体_GB2312" w:eastAsia="方正楷体_GB2312" w:cs="方正楷体_GB2312"/>
          <w:b/>
          <w:bCs/>
          <w:spacing w:val="-4"/>
          <w:sz w:val="32"/>
          <w:szCs w:val="32"/>
        </w:rPr>
        <w:br w:type="textWrapping"/>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1.对各项指标和指标值需进一步优化</w:t>
      </w:r>
      <w:r>
        <w:rPr>
          <w:rStyle w:val="19"/>
          <w:rFonts w:hint="eastAsia" w:ascii="仿宋_GB2312" w:hAnsi="仿宋_GB2312" w:eastAsia="仿宋_GB2312" w:cs="仿宋_GB2312"/>
          <w:b w:val="0"/>
          <w:bCs w:val="0"/>
          <w:spacing w:val="-4"/>
          <w:sz w:val="32"/>
          <w:szCs w:val="32"/>
        </w:rPr>
        <w:t>、完善，主要在细化、量化上改进。</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2.自评价工作还存在自我审定的局限性，</w:t>
      </w:r>
      <w:r>
        <w:rPr>
          <w:rStyle w:val="19"/>
          <w:rFonts w:hint="eastAsia" w:ascii="仿宋_GB2312" w:hAnsi="仿宋_GB2312" w:eastAsia="仿宋_GB2312" w:cs="仿宋_GB2312"/>
          <w:b w:val="0"/>
          <w:bCs w:val="0"/>
          <w:spacing w:val="-4"/>
          <w:sz w:val="32"/>
          <w:szCs w:val="32"/>
        </w:rPr>
        <w:t>会影响评价质量；缺少带着问题去评价的意识；现场评价的工作量少，后续效益评价具体措施和方法较少。</w:t>
      </w:r>
    </w:p>
    <w:p w14:paraId="3FFDB40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spacing w:val="-4"/>
          <w:sz w:val="32"/>
          <w:szCs w:val="32"/>
          <w:lang w:val="en-US" w:eastAsia="zh-CN"/>
        </w:rPr>
      </w:pPr>
      <w:r>
        <w:rPr>
          <w:rStyle w:val="19"/>
          <w:rFonts w:hint="eastAsia" w:ascii="方正楷体_GB2312" w:hAnsi="方正楷体_GB2312" w:eastAsia="方正楷体_GB2312" w:cs="方正楷体_GB2312"/>
          <w:b/>
          <w:bCs/>
          <w:spacing w:val="-4"/>
          <w:sz w:val="32"/>
          <w:szCs w:val="32"/>
          <w:lang w:val="en-US" w:eastAsia="zh-CN"/>
        </w:rPr>
        <w:t>七、有关建议</w:t>
      </w:r>
    </w:p>
    <w:p w14:paraId="642553E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方正楷体_GB2312" w:hAnsi="方正楷体_GB2312" w:eastAsia="方正楷体_GB2312" w:cs="方正楷体_GB2312"/>
          <w:b/>
          <w:bCs/>
          <w:spacing w:val="-4"/>
          <w:sz w:val="32"/>
          <w:szCs w:val="32"/>
          <w:lang w:val="en-US" w:eastAsia="zh-CN"/>
        </w:rPr>
        <w:t>（一）细化指标时</w:t>
      </w:r>
      <w:r>
        <w:rPr>
          <w:rStyle w:val="19"/>
          <w:rFonts w:hint="eastAsia" w:ascii="仿宋_GB2312" w:hAnsi="仿宋_GB2312" w:eastAsia="仿宋_GB2312" w:cs="仿宋_GB2312"/>
          <w:b w:val="0"/>
          <w:bCs w:val="0"/>
          <w:spacing w:val="-4"/>
          <w:sz w:val="32"/>
          <w:szCs w:val="32"/>
        </w:rPr>
        <w:t>，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(二）引入外部专家或第三方机构参与评价</w:t>
      </w:r>
      <w:r>
        <w:rPr>
          <w:rStyle w:val="19"/>
          <w:rFonts w:hint="eastAsia" w:ascii="仿宋_GB2312" w:hAnsi="仿宋_GB2312" w:eastAsia="仿宋_GB2312" w:cs="仿宋_GB2312"/>
          <w:b w:val="0"/>
          <w:bCs w:val="0"/>
          <w:spacing w:val="-4"/>
          <w:sz w:val="32"/>
          <w:szCs w:val="32"/>
        </w:rPr>
        <w:t>，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33C8709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b/>
          <w:bCs w:val="0"/>
          <w:spacing w:val="-4"/>
          <w:sz w:val="32"/>
          <w:szCs w:val="32"/>
        </w:rPr>
      </w:pPr>
      <w:r>
        <w:rPr>
          <w:rStyle w:val="19"/>
          <w:rFonts w:hint="eastAsia" w:ascii="方正楷体_GB2312" w:hAnsi="方正楷体_GB2312" w:eastAsia="方正楷体_GB2312" w:cs="方正楷体_GB2312"/>
          <w:b/>
          <w:bCs w:val="0"/>
          <w:spacing w:val="-4"/>
          <w:sz w:val="32"/>
          <w:szCs w:val="32"/>
          <w:lang w:val="en-US" w:eastAsia="zh-CN"/>
        </w:rPr>
        <w:t>八</w:t>
      </w:r>
      <w:r>
        <w:rPr>
          <w:rStyle w:val="19"/>
          <w:rFonts w:hint="eastAsia" w:ascii="方正楷体_GB2312" w:hAnsi="方正楷体_GB2312" w:eastAsia="方正楷体_GB2312" w:cs="方正楷体_GB2312"/>
          <w:b/>
          <w:bCs w:val="0"/>
          <w:spacing w:val="-4"/>
          <w:sz w:val="32"/>
          <w:szCs w:val="32"/>
        </w:rPr>
        <w:t>、其他需要说明的问题</w:t>
      </w:r>
    </w:p>
    <w:p w14:paraId="65AAA99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方正楷体_GB2312" w:hAnsi="方正楷体_GB2312" w:eastAsia="方正楷体_GB2312" w:cs="方正楷体_GB2312"/>
          <w:b/>
          <w:bCs/>
          <w:spacing w:val="-4"/>
          <w:sz w:val="32"/>
          <w:szCs w:val="32"/>
        </w:rPr>
        <w:t>（一）本项目部分间接产生的效果无法准确在短期内衡量，</w:t>
      </w:r>
      <w:r>
        <w:rPr>
          <w:rStyle w:val="19"/>
          <w:rFonts w:hint="eastAsia" w:ascii="仿宋_GB2312" w:hAnsi="仿宋_GB2312" w:eastAsia="仿宋_GB2312" w:cs="仿宋_GB2312"/>
          <w:b w:val="0"/>
          <w:bCs w:val="0"/>
          <w:spacing w:val="-4"/>
          <w:sz w:val="32"/>
          <w:szCs w:val="32"/>
        </w:rPr>
        <w:t>因此很难认定项目产生的全部效果。通过指标来反映绩效，指标的科学性和全面性需要不断地完善和研究。</w:t>
      </w:r>
    </w:p>
    <w:p w14:paraId="3D593DD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方正楷体_GB2312" w:hAnsi="方正楷体_GB2312" w:eastAsia="方正楷体_GB2312" w:cs="方正楷体_GB2312"/>
          <w:b/>
          <w:bCs/>
          <w:spacing w:val="-4"/>
          <w:sz w:val="32"/>
          <w:szCs w:val="32"/>
        </w:rPr>
        <w:t>（二）评价结果作为安排政府预算</w:t>
      </w:r>
      <w:r>
        <w:rPr>
          <w:rStyle w:val="19"/>
          <w:rFonts w:hint="eastAsia" w:ascii="仿宋_GB2312" w:hAnsi="仿宋_GB2312" w:eastAsia="仿宋_GB2312" w:cs="仿宋_GB2312"/>
          <w:b w:val="0"/>
          <w:bCs w:val="0"/>
          <w:spacing w:val="-4"/>
          <w:sz w:val="32"/>
          <w:szCs w:val="32"/>
        </w:rPr>
        <w:t>、完善政策和改进管理的重要依据。原则上，对评价等级为优、良的，根据情况予以支持；对评价等级为中、差的，要完善政策、改进管理，根据情况核减预算。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（三）评价结果分别编入政府决算和部门预算，</w:t>
      </w:r>
      <w:r>
        <w:rPr>
          <w:rStyle w:val="19"/>
          <w:rFonts w:hint="eastAsia" w:ascii="仿宋_GB2312" w:hAnsi="仿宋_GB2312" w:eastAsia="仿宋_GB2312" w:cs="仿宋_GB2312"/>
          <w:b w:val="0"/>
          <w:bCs w:val="0"/>
          <w:spacing w:val="-4"/>
          <w:sz w:val="32"/>
          <w:szCs w:val="32"/>
        </w:rPr>
        <w:t>报送本级人民代表大会常务委员会，并依法予以公开。</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（四）对使用财政资金严重低效无效并造成重大损失的责任人，</w:t>
      </w:r>
      <w:r>
        <w:rPr>
          <w:rStyle w:val="19"/>
          <w:rFonts w:hint="eastAsia" w:ascii="仿宋_GB2312" w:hAnsi="仿宋_GB2312" w:eastAsia="仿宋_GB2312" w:cs="仿宋_GB2312"/>
          <w:b w:val="0"/>
          <w:bCs w:val="0"/>
          <w:spacing w:val="-4"/>
          <w:sz w:val="32"/>
          <w:szCs w:val="32"/>
        </w:rPr>
        <w:t>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方正楷体_GB2312" w:hAnsi="方正楷体_GB2312" w:eastAsia="方正楷体_GB2312" w:cs="方正楷体_GB2312"/>
          <w:b/>
          <w:bCs/>
          <w:spacing w:val="-4"/>
          <w:sz w:val="32"/>
          <w:szCs w:val="32"/>
        </w:rPr>
        <w:t>（五）工作人员在绩效评价管理工作</w:t>
      </w:r>
      <w:r>
        <w:rPr>
          <w:rStyle w:val="19"/>
          <w:rFonts w:hint="eastAsia" w:ascii="仿宋_GB2312" w:hAnsi="仿宋_GB2312" w:eastAsia="仿宋_GB2312" w:cs="仿宋_GB2312"/>
          <w:b w:val="0"/>
          <w:bCs w:val="0"/>
          <w:spacing w:val="-4"/>
          <w:sz w:val="32"/>
          <w:szCs w:val="32"/>
        </w:rPr>
        <w:t>中存在违反《项目支出</w:t>
      </w:r>
    </w:p>
    <w:p w14:paraId="3FE4B6EC">
      <w:pPr>
        <w:keepNext w:val="0"/>
        <w:keepLines w:val="0"/>
        <w:pageBreakBefore w:val="0"/>
        <w:widowControl w:val="0"/>
        <w:kinsoku/>
        <w:wordWrap/>
        <w:overflowPunct/>
        <w:topLinePunct w:val="0"/>
        <w:autoSpaceDE/>
        <w:autoSpaceDN/>
        <w:bidi w:val="0"/>
        <w:adjustRightInd/>
        <w:snapToGrid/>
        <w:spacing w:line="560" w:lineRule="exact"/>
        <w:textAlignment w:val="auto"/>
        <w:rPr>
          <w:rStyle w:val="19"/>
          <w:rFonts w:hint="eastAsia" w:ascii="仿宋_GB2312" w:hAnsi="仿宋_GB2312" w:eastAsia="仿宋_GB2312" w:cs="仿宋_GB2312"/>
          <w:b w:val="0"/>
          <w:spacing w:val="-4"/>
          <w:sz w:val="32"/>
          <w:szCs w:val="32"/>
        </w:rPr>
      </w:pPr>
      <w:bookmarkStart w:id="0" w:name="_GoBack"/>
      <w:bookmarkEnd w:id="0"/>
      <w:r>
        <w:rPr>
          <w:rStyle w:val="19"/>
          <w:rFonts w:hint="eastAsia" w:ascii="仿宋_GB2312" w:hAnsi="仿宋_GB2312" w:eastAsia="仿宋_GB2312" w:cs="仿宋_GB2312"/>
          <w:b w:val="0"/>
          <w:bCs w:val="0"/>
          <w:spacing w:val="-4"/>
          <w:sz w:val="32"/>
          <w:szCs w:val="32"/>
        </w:rPr>
        <w:t>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楷体_GB2312">
    <w:altName w:val="楷体"/>
    <w:panose1 w:val="02000000000000000000"/>
    <w:charset w:val="86"/>
    <w:family w:val="auto"/>
    <w:pitch w:val="default"/>
    <w:sig w:usb0="00000000" w:usb1="00000000" w:usb2="00000012"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0B728DA">
        <w:pPr>
          <w:pStyle w:val="12"/>
          <w:jc w:val="center"/>
        </w:pPr>
        <w:r>
          <w:fldChar w:fldCharType="begin"/>
        </w:r>
        <w:r>
          <w:instrText xml:space="preserve">PAGE   \* MERGEFORMAT</w:instrText>
        </w:r>
        <w:r>
          <w:fldChar w:fldCharType="separate"/>
        </w:r>
        <w:r>
          <w:rPr>
            <w:lang w:val="zh-CN"/>
          </w:rPr>
          <w:t>1</w:t>
        </w:r>
        <w:r>
          <w:fldChar w:fldCharType="end"/>
        </w:r>
      </w:p>
    </w:sdtContent>
  </w:sdt>
  <w:p w14:paraId="2678A64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CF2C9"/>
    <w:multiLevelType w:val="singleLevel"/>
    <w:tmpl w:val="1D8CF2C9"/>
    <w:lvl w:ilvl="0" w:tentative="0">
      <w:start w:val="1"/>
      <w:numFmt w:val="decimal"/>
      <w:suff w:val="nothing"/>
      <w:lvlText w:val="（%1）"/>
      <w:lvlJc w:val="left"/>
      <w:pPr>
        <w:ind w:left="3"/>
      </w:pPr>
      <w:rPr>
        <w:rFonts w:hint="default"/>
        <w:b/>
        <w:bC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E63B4"/>
    <w:rsid w:val="051F457C"/>
    <w:rsid w:val="09C94AB7"/>
    <w:rsid w:val="0E2B43C8"/>
    <w:rsid w:val="13FB09BD"/>
    <w:rsid w:val="19FC2D9F"/>
    <w:rsid w:val="29AD524E"/>
    <w:rsid w:val="29C6608A"/>
    <w:rsid w:val="2D2E17A7"/>
    <w:rsid w:val="30790931"/>
    <w:rsid w:val="3D5D5666"/>
    <w:rsid w:val="48A74002"/>
    <w:rsid w:val="57A700DF"/>
    <w:rsid w:val="5D9E6F62"/>
    <w:rsid w:val="5EDF3AF5"/>
    <w:rsid w:val="65416821"/>
    <w:rsid w:val="663E4AB3"/>
    <w:rsid w:val="6A3F387A"/>
    <w:rsid w:val="6D9E6B0A"/>
    <w:rsid w:val="7CC91285"/>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pid="2" name="KSOProductBuildVer">
    <vt:lpwstr xmlns:vt="http://schemas.openxmlformats.org/officeDocument/2006/docPropsVTypes">2052-12.1.0.21915</vt:lpwstr>
  </property>
  <property xmlns="http://schemas.openxmlformats.org/officeDocument/2006/custom-properties" fmtid="{D5CDD505-2E9C-101B-9397-08002B2CF9AE}" pid="3" name="ICV">
    <vt:lpwstr xmlns:vt="http://schemas.openxmlformats.org/officeDocument/2006/docPropsVTypes">C734C92AAAF24344A0E4232D8EB3359B</vt:lpwstr>
  </property>
  <property xmlns="http://schemas.openxmlformats.org/officeDocument/2006/custom-properties" fmtid="{D5CDD505-2E9C-101B-9397-08002B2CF9AE}" pid="4" name="KSOTemplateDocerSaveRecord">
    <vt:lpwstr xmlns:vt="http://schemas.openxmlformats.org/officeDocument/2006/docPropsVTypes">eyJoZGlkIjoiMGU3ODcwNTJlZmVkZjBhZWEwOTVhNTRkYjg3MDMzMjMiLCJ1c2VySWQiOiI0ODAyNzYxOTAifQ==</vt:lpwstr>
  </property>
</Properties>
</file>

<file path=customXml/itemProps1.xml><?xml version="1.0" encoding="utf-8"?>
<ds:datastoreItem xmlns:ds="http://schemas.openxmlformats.org/officeDocument/2006/customXml" ds:itemID="{b34227b8-2bab-40cb-b363-68ad6731b4d8}">
  <ds:schemaRefs/>
</ds:datastoreItem>
</file>

<file path=docProps/app.xml><?xml version="1.0" encoding="utf-8"?>
<Properties xmlns="http://schemas.openxmlformats.org/officeDocument/2006/extended-properties" xmlns:vt="http://schemas.openxmlformats.org/officeDocument/2006/docPropsVTypes">
  <Template>Normal.dotm</Template>
  <Pages>21</Pages>
  <Words>564</Words>
  <Characters>584</Characters>
  <Lines>5</Lines>
  <Paragraphs>1</Paragraphs>
  <TotalTime>11</TotalTime>
  <ScaleCrop>false</ScaleCrop>
  <LinksUpToDate>false</LinksUpToDate>
  <CharactersWithSpaces>604</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2025-10-22T16:46:32Z</cp:lastPrinted>
  <dcterms:modified xsi:type="dcterms:W3CDTF">2025-10-22T16:46:41Z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eyJoZGlkIjoiOGQxMjE2ZjA5OWRlNjcxZTlhNzA1NGJhNzI0MDYwNjgifQ==</vt:lpwstr>
  </property>
</Properties>
</file>