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AA4BC"/>
    <w:p w14:paraId="001DB77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7A89863">
      <w:pPr>
        <w:spacing w:line="540" w:lineRule="exact"/>
        <w:jc w:val="center"/>
        <w:rPr>
          <w:rFonts w:ascii="华文中宋" w:hAnsi="华文中宋" w:eastAsia="华文中宋" w:cs="宋体"/>
          <w:b/>
          <w:kern w:val="0"/>
          <w:sz w:val="52"/>
          <w:szCs w:val="52"/>
        </w:rPr>
      </w:pPr>
    </w:p>
    <w:p w14:paraId="1D01DC45">
      <w:pPr>
        <w:spacing w:line="540" w:lineRule="exact"/>
        <w:jc w:val="center"/>
        <w:rPr>
          <w:rFonts w:ascii="华文中宋" w:hAnsi="华文中宋" w:eastAsia="华文中宋" w:cs="宋体"/>
          <w:b/>
          <w:kern w:val="0"/>
          <w:sz w:val="52"/>
          <w:szCs w:val="52"/>
        </w:rPr>
      </w:pPr>
    </w:p>
    <w:p w14:paraId="49679E83">
      <w:pPr>
        <w:spacing w:line="540" w:lineRule="exact"/>
        <w:jc w:val="center"/>
        <w:rPr>
          <w:rFonts w:ascii="华文中宋" w:hAnsi="华文中宋" w:eastAsia="华文中宋" w:cs="宋体"/>
          <w:b/>
          <w:kern w:val="0"/>
          <w:sz w:val="52"/>
          <w:szCs w:val="52"/>
        </w:rPr>
      </w:pPr>
    </w:p>
    <w:p w14:paraId="0F81612A">
      <w:pPr>
        <w:spacing w:line="540" w:lineRule="exact"/>
        <w:jc w:val="center"/>
        <w:rPr>
          <w:rFonts w:ascii="华文中宋" w:hAnsi="华文中宋" w:eastAsia="华文中宋" w:cs="宋体"/>
          <w:b/>
          <w:kern w:val="0"/>
          <w:sz w:val="52"/>
          <w:szCs w:val="52"/>
        </w:rPr>
      </w:pPr>
    </w:p>
    <w:p w14:paraId="1A9B5E97">
      <w:pPr>
        <w:spacing w:line="540" w:lineRule="exact"/>
        <w:jc w:val="center"/>
        <w:rPr>
          <w:rFonts w:ascii="华文中宋" w:hAnsi="华文中宋" w:eastAsia="华文中宋" w:cs="宋体"/>
          <w:b/>
          <w:kern w:val="0"/>
          <w:sz w:val="52"/>
          <w:szCs w:val="52"/>
        </w:rPr>
      </w:pPr>
    </w:p>
    <w:p w14:paraId="69385EF2">
      <w:pPr>
        <w:spacing w:line="540" w:lineRule="exact"/>
        <w:jc w:val="center"/>
        <w:rPr>
          <w:rFonts w:ascii="华文中宋" w:hAnsi="华文中宋" w:eastAsia="华文中宋" w:cs="宋体"/>
          <w:b/>
          <w:kern w:val="0"/>
          <w:sz w:val="52"/>
          <w:szCs w:val="52"/>
        </w:rPr>
      </w:pPr>
    </w:p>
    <w:p w14:paraId="0877BCA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E76F654">
      <w:pPr>
        <w:spacing w:line="540" w:lineRule="exact"/>
        <w:jc w:val="center"/>
        <w:rPr>
          <w:rFonts w:ascii="华文中宋" w:hAnsi="华文中宋" w:eastAsia="华文中宋" w:cs="宋体"/>
          <w:b/>
          <w:kern w:val="0"/>
          <w:sz w:val="52"/>
          <w:szCs w:val="52"/>
        </w:rPr>
      </w:pPr>
    </w:p>
    <w:p w14:paraId="5F153F7E">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9"/>
          <w:rFonts w:hint="eastAsia" w:ascii="楷体" w:hAnsi="楷体" w:eastAsia="楷体"/>
          <w:spacing w:val="-4"/>
          <w:sz w:val="32"/>
          <w:szCs w:val="32"/>
        </w:rPr>
        <w:t>2024</w:t>
      </w:r>
      <w:r>
        <w:rPr>
          <w:rFonts w:hint="eastAsia" w:hAnsi="宋体" w:eastAsia="仿宋_GB2312" w:cs="宋体"/>
          <w:kern w:val="0"/>
          <w:sz w:val="36"/>
          <w:szCs w:val="36"/>
        </w:rPr>
        <w:t>年度）</w:t>
      </w:r>
    </w:p>
    <w:p w14:paraId="5E5553AE">
      <w:pPr>
        <w:spacing w:line="540" w:lineRule="exact"/>
        <w:jc w:val="center"/>
        <w:rPr>
          <w:rFonts w:hAnsi="宋体" w:eastAsia="仿宋_GB2312" w:cs="宋体"/>
          <w:kern w:val="0"/>
          <w:sz w:val="30"/>
          <w:szCs w:val="30"/>
        </w:rPr>
      </w:pPr>
    </w:p>
    <w:p w14:paraId="67A1FAEF">
      <w:pPr>
        <w:spacing w:line="540" w:lineRule="exact"/>
        <w:jc w:val="center"/>
        <w:rPr>
          <w:rFonts w:hAnsi="宋体" w:eastAsia="仿宋_GB2312" w:cs="宋体"/>
          <w:kern w:val="0"/>
          <w:sz w:val="30"/>
          <w:szCs w:val="30"/>
        </w:rPr>
      </w:pPr>
    </w:p>
    <w:p w14:paraId="5A86408A">
      <w:pPr>
        <w:spacing w:line="540" w:lineRule="exact"/>
        <w:jc w:val="center"/>
        <w:rPr>
          <w:rFonts w:hAnsi="宋体" w:eastAsia="仿宋_GB2312" w:cs="宋体"/>
          <w:kern w:val="0"/>
          <w:sz w:val="30"/>
          <w:szCs w:val="30"/>
        </w:rPr>
      </w:pPr>
    </w:p>
    <w:p w14:paraId="052B807A">
      <w:pPr>
        <w:spacing w:line="540" w:lineRule="exact"/>
        <w:jc w:val="center"/>
        <w:rPr>
          <w:rFonts w:hAnsi="宋体" w:eastAsia="仿宋_GB2312" w:cs="宋体"/>
          <w:kern w:val="0"/>
          <w:sz w:val="30"/>
          <w:szCs w:val="30"/>
        </w:rPr>
      </w:pPr>
    </w:p>
    <w:p w14:paraId="139F98B3">
      <w:pPr>
        <w:spacing w:line="540" w:lineRule="exact"/>
        <w:jc w:val="center"/>
        <w:rPr>
          <w:rFonts w:hAnsi="宋体" w:eastAsia="仿宋_GB2312" w:cs="宋体"/>
          <w:kern w:val="0"/>
          <w:sz w:val="30"/>
          <w:szCs w:val="30"/>
        </w:rPr>
      </w:pPr>
    </w:p>
    <w:p w14:paraId="2FF65537">
      <w:pPr>
        <w:spacing w:line="540" w:lineRule="exact"/>
        <w:jc w:val="center"/>
        <w:rPr>
          <w:rFonts w:hAnsi="宋体" w:eastAsia="仿宋_GB2312" w:cs="宋体"/>
          <w:kern w:val="0"/>
          <w:sz w:val="30"/>
          <w:szCs w:val="30"/>
        </w:rPr>
      </w:pPr>
    </w:p>
    <w:p w14:paraId="58463081">
      <w:pPr>
        <w:spacing w:line="540" w:lineRule="exact"/>
        <w:rPr>
          <w:rFonts w:hAnsi="宋体" w:eastAsia="仿宋_GB2312" w:cs="宋体"/>
          <w:kern w:val="0"/>
          <w:sz w:val="30"/>
          <w:szCs w:val="30"/>
        </w:rPr>
      </w:pPr>
    </w:p>
    <w:p w14:paraId="2763243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C87343E">
      <w:pPr>
        <w:spacing w:line="700" w:lineRule="exact"/>
        <w:ind w:firstLine="800" w:firstLineChars="250"/>
        <w:jc w:val="left"/>
        <w:rPr>
          <w:rStyle w:val="19"/>
          <w:rFonts w:hint="eastAsia" w:ascii="楷体" w:hAnsi="楷体" w:eastAsia="楷体"/>
          <w:spacing w:val="-4"/>
          <w:sz w:val="32"/>
          <w:szCs w:val="32"/>
        </w:rPr>
      </w:pPr>
      <w:r>
        <w:rPr>
          <w:rFonts w:hint="eastAsia" w:hAnsi="宋体" w:eastAsia="仿宋_GB2312" w:cs="宋体"/>
          <w:kern w:val="0"/>
          <w:sz w:val="32"/>
          <w:szCs w:val="32"/>
        </w:rPr>
        <w:t>项目名称</w:t>
      </w:r>
      <w:r>
        <w:rPr>
          <w:rFonts w:hint="eastAsia" w:hAnsi="宋体" w:eastAsia="仿宋_GB2312" w:cs="宋体"/>
          <w:kern w:val="0"/>
          <w:sz w:val="36"/>
          <w:szCs w:val="36"/>
        </w:rPr>
        <w:t>：</w:t>
      </w:r>
      <w:r>
        <w:rPr>
          <w:rStyle w:val="19"/>
          <w:rFonts w:hint="eastAsia" w:ascii="楷体" w:hAnsi="楷体" w:eastAsia="楷体"/>
          <w:spacing w:val="-4"/>
          <w:sz w:val="32"/>
          <w:szCs w:val="32"/>
        </w:rPr>
        <w:t>运行维护项目支出</w:t>
      </w:r>
    </w:p>
    <w:p w14:paraId="163AEA4A">
      <w:pPr>
        <w:spacing w:line="700" w:lineRule="exact"/>
        <w:ind w:firstLine="800" w:firstLineChars="250"/>
        <w:jc w:val="left"/>
        <w:rPr>
          <w:rFonts w:ascii="楷体" w:hAnsi="楷体" w:eastAsia="楷体"/>
          <w:b/>
          <w:bCs/>
          <w:spacing w:val="-4"/>
          <w:sz w:val="36"/>
          <w:szCs w:val="36"/>
        </w:rPr>
      </w:pPr>
      <w:r>
        <w:rPr>
          <w:rFonts w:hint="eastAsia" w:hAnsi="宋体" w:eastAsia="仿宋_GB2312" w:cs="宋体"/>
          <w:kern w:val="0"/>
          <w:sz w:val="32"/>
          <w:szCs w:val="32"/>
        </w:rPr>
        <w:t>实施单位（公章）</w:t>
      </w:r>
      <w:r>
        <w:rPr>
          <w:rFonts w:hint="eastAsia" w:hAnsi="宋体" w:eastAsia="仿宋_GB2312" w:cs="宋体"/>
          <w:kern w:val="0"/>
          <w:sz w:val="36"/>
          <w:szCs w:val="36"/>
        </w:rPr>
        <w:t>：</w:t>
      </w:r>
      <w:r>
        <w:rPr>
          <w:rStyle w:val="19"/>
          <w:rFonts w:hint="eastAsia" w:ascii="楷体" w:hAnsi="楷体" w:eastAsia="楷体"/>
          <w:spacing w:val="-4"/>
          <w:sz w:val="28"/>
          <w:szCs w:val="28"/>
        </w:rPr>
        <w:t>新疆和田地区驻乌鲁木齐第一干休</w:t>
      </w:r>
      <w:r>
        <w:rPr>
          <w:rStyle w:val="19"/>
          <w:rFonts w:hint="eastAsia" w:ascii="楷体" w:hAnsi="楷体" w:eastAsia="楷体"/>
          <w:spacing w:val="-4"/>
          <w:sz w:val="32"/>
          <w:szCs w:val="32"/>
        </w:rPr>
        <w:t>所</w:t>
      </w:r>
    </w:p>
    <w:p w14:paraId="42A3DBEB">
      <w:pPr>
        <w:spacing w:line="540" w:lineRule="exact"/>
        <w:ind w:firstLine="800" w:firstLineChars="250"/>
        <w:rPr>
          <w:rFonts w:ascii="楷体" w:hAnsi="楷体" w:eastAsia="楷体"/>
          <w:b/>
          <w:bCs/>
          <w:spacing w:val="-4"/>
          <w:sz w:val="28"/>
          <w:szCs w:val="28"/>
        </w:rPr>
      </w:pPr>
      <w:r>
        <w:rPr>
          <w:rFonts w:hint="eastAsia" w:hAnsi="宋体" w:eastAsia="仿宋_GB2312" w:cs="宋体"/>
          <w:kern w:val="0"/>
          <w:sz w:val="32"/>
          <w:szCs w:val="32"/>
        </w:rPr>
        <w:t>主管部门（公章）</w:t>
      </w:r>
      <w:r>
        <w:rPr>
          <w:rFonts w:hint="eastAsia" w:hAnsi="宋体" w:eastAsia="仿宋_GB2312" w:cs="宋体"/>
          <w:kern w:val="0"/>
          <w:sz w:val="36"/>
          <w:szCs w:val="36"/>
        </w:rPr>
        <w:t>：</w:t>
      </w:r>
      <w:r>
        <w:rPr>
          <w:rStyle w:val="19"/>
          <w:rFonts w:hint="eastAsia" w:ascii="楷体" w:hAnsi="楷体" w:eastAsia="楷体"/>
          <w:spacing w:val="-4"/>
          <w:sz w:val="28"/>
          <w:szCs w:val="28"/>
        </w:rPr>
        <w:t>新疆和田地区驻乌鲁木齐第一干休所</w:t>
      </w:r>
    </w:p>
    <w:p w14:paraId="1F99E434">
      <w:pPr>
        <w:spacing w:line="540" w:lineRule="exact"/>
        <w:ind w:firstLine="800" w:firstLineChars="250"/>
        <w:rPr>
          <w:rFonts w:ascii="楷体" w:hAnsi="楷体" w:eastAsia="楷体"/>
          <w:b/>
          <w:bCs/>
          <w:spacing w:val="-4"/>
          <w:sz w:val="32"/>
          <w:szCs w:val="32"/>
        </w:rPr>
      </w:pPr>
      <w:r>
        <w:rPr>
          <w:rFonts w:hint="eastAsia" w:hAnsi="宋体" w:eastAsia="仿宋_GB2312" w:cs="宋体"/>
          <w:kern w:val="0"/>
          <w:sz w:val="32"/>
          <w:szCs w:val="32"/>
        </w:rPr>
        <w:t>项目负责人（签章）</w:t>
      </w:r>
      <w:r>
        <w:rPr>
          <w:rFonts w:hint="eastAsia" w:hAnsi="宋体" w:eastAsia="仿宋_GB2312" w:cs="宋体"/>
          <w:kern w:val="0"/>
          <w:sz w:val="36"/>
          <w:szCs w:val="36"/>
        </w:rPr>
        <w:t>：</w:t>
      </w:r>
      <w:r>
        <w:rPr>
          <w:rStyle w:val="19"/>
          <w:rFonts w:hint="eastAsia" w:ascii="楷体" w:hAnsi="楷体" w:eastAsia="楷体"/>
          <w:spacing w:val="-4"/>
          <w:sz w:val="32"/>
          <w:szCs w:val="32"/>
        </w:rPr>
        <w:t>郭凌云</w:t>
      </w:r>
    </w:p>
    <w:p w14:paraId="2F53CD5C">
      <w:pPr>
        <w:spacing w:line="540" w:lineRule="exact"/>
        <w:ind w:left="273" w:firstLine="567"/>
        <w:rPr>
          <w:rStyle w:val="19"/>
          <w:rFonts w:ascii="黑体" w:hAnsi="黑体" w:eastAsia="黑体"/>
          <w:b w:val="0"/>
          <w:spacing w:val="-4"/>
          <w:sz w:val="32"/>
          <w:szCs w:val="32"/>
        </w:rPr>
      </w:pPr>
      <w:r>
        <w:rPr>
          <w:rFonts w:hint="eastAsia" w:hAnsi="宋体" w:eastAsia="仿宋_GB2312" w:cs="宋体"/>
          <w:kern w:val="0"/>
          <w:sz w:val="32"/>
          <w:szCs w:val="32"/>
        </w:rPr>
        <w:t>填报时间：</w:t>
      </w:r>
      <w:r>
        <w:rPr>
          <w:rStyle w:val="19"/>
          <w:rFonts w:hint="eastAsia" w:ascii="楷体" w:hAnsi="楷体" w:eastAsia="楷体"/>
          <w:spacing w:val="-4"/>
          <w:sz w:val="32"/>
          <w:szCs w:val="32"/>
        </w:rPr>
        <w:t>2025年04月11日</w:t>
      </w:r>
    </w:p>
    <w:p w14:paraId="2BCFD90A">
      <w:pPr>
        <w:spacing w:line="540" w:lineRule="exact"/>
        <w:ind w:firstLine="640"/>
        <w:rPr>
          <w:rStyle w:val="19"/>
          <w:rFonts w:hint="eastAsia" w:ascii="黑体" w:hAnsi="黑体" w:eastAsia="黑体"/>
          <w:b w:val="0"/>
          <w:spacing w:val="-4"/>
          <w:sz w:val="32"/>
          <w:szCs w:val="32"/>
        </w:rPr>
      </w:pPr>
    </w:p>
    <w:p w14:paraId="1413CE1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B653416">
      <w:pPr>
        <w:spacing w:line="540" w:lineRule="exact"/>
        <w:ind w:firstLine="567"/>
        <w:rPr>
          <w:rStyle w:val="19"/>
          <w:rFonts w:hint="eastAsia" w:ascii="方正楷体_GB2312" w:hAnsi="方正楷体_GB2312" w:eastAsia="方正楷体_GB2312" w:cs="方正楷体_GB2312"/>
          <w:spacing w:val="-4"/>
          <w:sz w:val="32"/>
          <w:szCs w:val="32"/>
        </w:rPr>
      </w:pPr>
      <w:r>
        <w:rPr>
          <w:rStyle w:val="19"/>
          <w:rFonts w:hint="eastAsia" w:ascii="方正楷体_GB2312" w:hAnsi="方正楷体_GB2312" w:eastAsia="方正楷体_GB2312" w:cs="方正楷体_GB2312"/>
          <w:spacing w:val="-4"/>
          <w:sz w:val="32"/>
          <w:szCs w:val="32"/>
        </w:rPr>
        <w:t>（一）项目概况</w:t>
      </w:r>
    </w:p>
    <w:p w14:paraId="1575CA7D">
      <w:pPr>
        <w:spacing w:line="540" w:lineRule="exact"/>
        <w:ind w:left="319" w:leftChars="152" w:firstLine="533" w:firstLineChars="170"/>
        <w:rPr>
          <w:rStyle w:val="19"/>
          <w:rFonts w:hint="eastAsia" w:ascii="楷体" w:hAnsi="楷体" w:eastAsia="楷体"/>
          <w:b/>
          <w:bCs/>
          <w:spacing w:val="-4"/>
          <w:sz w:val="32"/>
          <w:szCs w:val="32"/>
        </w:rPr>
      </w:pPr>
      <w:r>
        <w:rPr>
          <w:rStyle w:val="19"/>
          <w:rFonts w:hint="eastAsia" w:ascii="方正楷体_GB2312" w:hAnsi="方正楷体_GB2312" w:eastAsia="方正楷体_GB2312" w:cs="方正楷体_GB2312"/>
          <w:b/>
          <w:bCs/>
          <w:spacing w:val="-4"/>
          <w:sz w:val="32"/>
          <w:szCs w:val="32"/>
        </w:rPr>
        <w:t>1.项目背景</w:t>
      </w:r>
    </w:p>
    <w:p w14:paraId="618009C6">
      <w:pPr>
        <w:spacing w:line="540" w:lineRule="exact"/>
        <w:ind w:firstLine="624" w:firstLineChars="200"/>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rPr>
        <w:t>为做好住所离退休老干部的政治思想教育，做好住所老干部的医疗保障及后勤服务工作，组织有益的文化娱乐及体育活动；有计划的组织老干部的疗养工作；办好</w:t>
      </w:r>
      <w:r>
        <w:rPr>
          <w:rStyle w:val="19"/>
          <w:rFonts w:hint="eastAsia" w:ascii="仿宋_GB2312" w:hAnsi="仿宋_GB2312" w:eastAsia="仿宋_GB2312" w:cs="仿宋_GB2312"/>
          <w:b w:val="0"/>
          <w:bCs w:val="0"/>
          <w:spacing w:val="-4"/>
          <w:sz w:val="32"/>
          <w:szCs w:val="32"/>
          <w:lang w:eastAsia="zh-CN"/>
        </w:rPr>
        <w:t>老</w:t>
      </w:r>
      <w:r>
        <w:rPr>
          <w:rStyle w:val="19"/>
          <w:rFonts w:hint="eastAsia" w:ascii="仿宋_GB2312" w:hAnsi="仿宋_GB2312" w:eastAsia="仿宋_GB2312" w:cs="仿宋_GB2312"/>
          <w:b w:val="0"/>
          <w:bCs w:val="0"/>
          <w:spacing w:val="-4"/>
          <w:sz w:val="32"/>
          <w:szCs w:val="32"/>
        </w:rPr>
        <w:t>干部及遗属的丧葬事宜，关心遗属生活；组织发挥老干部的余热为三个文明服务；做好社会治安综合管理工作及净化、美化工作、为住所老干部创造良好的生活环境，为和田地区离休干部的修养住所提供公共照明用电、绿化用水费用，随时随地为离休老干部做好服务工作，解决小区及地下停车场等公共照明用电、绿化用水费用。</w:t>
      </w:r>
      <w:r>
        <w:cr/>
      </w:r>
      <w:r>
        <w:rPr>
          <w:rStyle w:val="19"/>
          <w:rFonts w:hint="eastAsia" w:ascii="楷体" w:hAnsi="楷体" w:eastAsia="楷体"/>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2.主要内容</w:t>
      </w:r>
      <w: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公共照明用电、绿化用水费用项目主要用于干休所院内公共区域及地下车库照明及院内绿化面积的灌溉，公共区域照明面积达到全方位覆盖，保障24小时照明，绿化面积每星期灌溉一次，每月修剪1次。</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3.实施情况</w:t>
      </w:r>
      <w: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实施主体：新疆和田地区驻乌鲁木齐第一干休所。</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实施时间：本项目实施期限为2024年1月</w:t>
      </w:r>
      <w:r>
        <w:rPr>
          <w:rStyle w:val="19"/>
          <w:rFonts w:hint="eastAsia" w:ascii="仿宋_GB2312" w:hAnsi="仿宋_GB2312" w:eastAsia="仿宋_GB2312" w:cs="仿宋_GB2312"/>
          <w:b w:val="0"/>
          <w:bCs w:val="0"/>
          <w:spacing w:val="-4"/>
          <w:sz w:val="32"/>
          <w:szCs w:val="32"/>
          <w:lang w:val="en-US" w:eastAsia="zh-CN"/>
        </w:rPr>
        <w:t>-</w:t>
      </w:r>
      <w:r>
        <w:rPr>
          <w:rStyle w:val="19"/>
          <w:rFonts w:hint="eastAsia" w:ascii="仿宋_GB2312" w:hAnsi="仿宋_GB2312" w:eastAsia="仿宋_GB2312" w:cs="仿宋_GB2312"/>
          <w:b w:val="0"/>
          <w:bCs w:val="0"/>
          <w:spacing w:val="-4"/>
          <w:sz w:val="32"/>
          <w:szCs w:val="32"/>
        </w:rPr>
        <w:t>2024年12月。</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实施情况：本项目的实施符合本单位相关项目支出要求，实际已保障了干休所照明面积32000平方米，绿化面积5500平方米，消防设施维护6次，电梯维护次数6次，垃圾清运1次，智能</w:t>
      </w:r>
      <w:r>
        <w:rPr>
          <w:rStyle w:val="19"/>
          <w:rFonts w:hint="eastAsia" w:ascii="仿宋_GB2312" w:hAnsi="仿宋_GB2312" w:eastAsia="仿宋_GB2312" w:cs="仿宋_GB2312"/>
          <w:b w:val="0"/>
          <w:bCs w:val="0"/>
          <w:spacing w:val="-4"/>
          <w:sz w:val="32"/>
          <w:szCs w:val="32"/>
          <w:lang w:eastAsia="zh-CN"/>
        </w:rPr>
        <w:t>电子</w:t>
      </w:r>
      <w:r>
        <w:rPr>
          <w:rStyle w:val="19"/>
          <w:rFonts w:hint="eastAsia" w:ascii="仿宋_GB2312" w:hAnsi="仿宋_GB2312" w:eastAsia="仿宋_GB2312" w:cs="仿宋_GB2312"/>
          <w:b w:val="0"/>
          <w:bCs w:val="0"/>
          <w:spacing w:val="-4"/>
          <w:sz w:val="32"/>
          <w:szCs w:val="32"/>
        </w:rPr>
        <w:t>设备维护6次。</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4.资金投入和使用情况</w:t>
      </w:r>
      <w:r>
        <w:cr/>
      </w:r>
      <w:r>
        <w:rPr>
          <w:rStyle w:val="19"/>
          <w:rFonts w:hint="eastAsia" w:ascii="方正楷体_GB2312" w:hAnsi="方正楷体_GB2312" w:eastAsia="方正楷体_GB2312" w:cs="方正楷体_GB2312"/>
          <w:b/>
          <w:bCs/>
          <w:spacing w:val="-4"/>
          <w:sz w:val="32"/>
          <w:szCs w:val="32"/>
          <w:lang w:val="en-US" w:eastAsia="zh-CN"/>
        </w:rPr>
        <w:t xml:space="preserve">    （1）项目资金安排落实、总投入等情况分析</w:t>
      </w:r>
    </w:p>
    <w:p w14:paraId="1B685BA2">
      <w:pPr>
        <w:spacing w:line="540" w:lineRule="exact"/>
        <w:ind w:firstLine="624" w:firstLineChars="200"/>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本项目预算安排总额为39.57万元，资金来源为本级部门预算，其中：财政资金39.57万元，其他资金0万元，2024年实际收到预算资金39.57万元，预算资金到位率为100%。</w:t>
      </w:r>
    </w:p>
    <w:p w14:paraId="1CA85CB7">
      <w:pPr>
        <w:spacing w:line="540" w:lineRule="exact"/>
        <w:ind w:firstLine="627" w:firstLineChars="200"/>
        <w:rPr>
          <w:rStyle w:val="19"/>
          <w:rFonts w:hint="eastAsia" w:ascii="方正楷体_GB2312" w:hAnsi="方正楷体_GB2312" w:eastAsia="方正楷体_GB2312" w:cs="方正楷体_GB2312"/>
          <w:b/>
          <w:bCs/>
          <w:spacing w:val="-4"/>
          <w:sz w:val="32"/>
          <w:szCs w:val="32"/>
          <w:lang w:val="en-US" w:eastAsia="zh-CN"/>
        </w:rPr>
      </w:pPr>
      <w:r>
        <w:rPr>
          <w:rStyle w:val="19"/>
          <w:rFonts w:hint="eastAsia" w:ascii="方正楷体_GB2312" w:hAnsi="方正楷体_GB2312" w:eastAsia="方正楷体_GB2312" w:cs="方正楷体_GB2312"/>
          <w:b/>
          <w:bCs/>
          <w:spacing w:val="-4"/>
          <w:sz w:val="32"/>
          <w:szCs w:val="32"/>
          <w:lang w:val="en-US" w:eastAsia="zh-CN"/>
        </w:rPr>
        <w:t>（2）项目资金实际使用情况分析</w:t>
      </w:r>
    </w:p>
    <w:p w14:paraId="3D1B4608">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lang w:val="en-US" w:eastAsia="zh-CN"/>
        </w:rPr>
        <w:t>本项目实际支付资金39.57万元，预算执行率100%。本项目资金主要用于支付电费8万</w:t>
      </w:r>
      <w:r>
        <w:rPr>
          <w:rStyle w:val="19"/>
          <w:rFonts w:hint="eastAsia" w:ascii="仿宋_GB2312" w:hAnsi="仿宋_GB2312" w:eastAsia="仿宋_GB2312" w:cs="仿宋_GB2312"/>
          <w:b w:val="0"/>
          <w:bCs w:val="0"/>
          <w:spacing w:val="-4"/>
          <w:sz w:val="32"/>
          <w:szCs w:val="32"/>
        </w:rPr>
        <w:t>元、电梯维保费8万元、</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维保费3万元、绿化水费4.25万元、消防维保9万元、垃圾清运费4.32万元，日常采购费3万元。</w:t>
      </w:r>
    </w:p>
    <w:p w14:paraId="2255F98F">
      <w:pPr>
        <w:spacing w:line="540" w:lineRule="exact"/>
        <w:ind w:firstLine="627" w:firstLineChars="200"/>
        <w:rPr>
          <w:rStyle w:val="19"/>
          <w:rFonts w:hint="eastAsia" w:ascii="方正楷体_GB2312" w:hAnsi="方正楷体_GB2312" w:eastAsia="方正楷体_GB2312" w:cs="方正楷体_GB2312"/>
          <w:b/>
          <w:bCs/>
          <w:spacing w:val="-4"/>
          <w:sz w:val="32"/>
          <w:szCs w:val="32"/>
          <w:lang w:val="en-US" w:eastAsia="zh-CN"/>
        </w:rPr>
      </w:pPr>
      <w:r>
        <w:rPr>
          <w:rStyle w:val="19"/>
          <w:rFonts w:hint="eastAsia" w:ascii="方正楷体_GB2312" w:hAnsi="方正楷体_GB2312" w:eastAsia="方正楷体_GB2312" w:cs="方正楷体_GB2312"/>
          <w:b/>
          <w:bCs/>
          <w:spacing w:val="-4"/>
          <w:sz w:val="32"/>
          <w:szCs w:val="32"/>
          <w:lang w:val="en-US" w:eastAsia="zh-CN"/>
        </w:rPr>
        <w:t>（二）项目绩效目标</w:t>
      </w:r>
    </w:p>
    <w:p w14:paraId="4FFFC1D0">
      <w:pPr>
        <w:spacing w:line="540" w:lineRule="exact"/>
        <w:ind w:firstLine="627" w:firstLineChars="200"/>
        <w:rPr>
          <w:rStyle w:val="19"/>
          <w:rFonts w:hint="eastAsia" w:ascii="方正楷体_GB2312" w:hAnsi="方正楷体_GB2312" w:eastAsia="方正楷体_GB2312" w:cs="方正楷体_GB2312"/>
          <w:b/>
          <w:bCs/>
          <w:spacing w:val="-4"/>
          <w:sz w:val="32"/>
          <w:szCs w:val="32"/>
          <w:lang w:val="en-US" w:eastAsia="zh-CN"/>
        </w:rPr>
      </w:pPr>
      <w:r>
        <w:rPr>
          <w:rStyle w:val="19"/>
          <w:rFonts w:hint="eastAsia" w:ascii="方正楷体_GB2312" w:hAnsi="方正楷体_GB2312" w:eastAsia="方正楷体_GB2312" w:cs="方正楷体_GB2312"/>
          <w:b/>
          <w:bCs/>
          <w:spacing w:val="-4"/>
          <w:sz w:val="32"/>
          <w:szCs w:val="32"/>
          <w:lang w:val="en-US" w:eastAsia="zh-CN"/>
        </w:rPr>
        <w:t>1.总体目标</w:t>
      </w:r>
    </w:p>
    <w:p w14:paraId="6C867AA5">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lang w:val="en-US" w:eastAsia="zh-CN"/>
        </w:rPr>
        <w:t>主要用于保障干休所公共区域每月水电费正常缴纳、日常零星采购费用，每季度消防、电梯、</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lang w:val="en-US" w:eastAsia="zh-CN"/>
        </w:rPr>
        <w:t>维保费用、下水疏通费、按年支付垃圾清运费，使干休所正常运转。照明面积32000平方米，绿化面积5500平方米。</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2.阶段性目标</w:t>
      </w:r>
      <w:r>
        <w:cr/>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lang w:val="en-US" w:eastAsia="zh-CN"/>
        </w:rPr>
        <w:t>项目前期准备工作：我单位根据各办公室采购、运转需求，编制《运行维护项目资金请示》，开展运行维护项目。</w:t>
      </w:r>
      <w:r>
        <w:cr/>
      </w:r>
      <w:r>
        <w:rPr>
          <w:rStyle w:val="19"/>
          <w:rFonts w:hint="eastAsia" w:ascii="仿宋_GB2312" w:hAnsi="仿宋_GB2312" w:eastAsia="仿宋_GB2312" w:cs="仿宋_GB2312"/>
          <w:b w:val="0"/>
          <w:bCs w:val="0"/>
          <w:spacing w:val="-4"/>
          <w:sz w:val="32"/>
          <w:szCs w:val="32"/>
          <w:lang w:val="en-US" w:eastAsia="zh-CN"/>
        </w:rPr>
        <w:t xml:space="preserve">    项目实施：按照时间节点，按季度对消防设施、电梯和</w:t>
      </w:r>
      <w:r>
        <w:rPr>
          <w:rStyle w:val="19"/>
          <w:rFonts w:hint="eastAsia" w:ascii="仿宋_GB2312" w:hAnsi="仿宋_GB2312" w:eastAsia="仿宋_GB2312" w:cs="仿宋_GB2312"/>
          <w:b w:val="0"/>
          <w:bCs w:val="0"/>
          <w:spacing w:val="-4"/>
          <w:sz w:val="32"/>
          <w:szCs w:val="32"/>
          <w:lang w:eastAsia="zh-CN"/>
        </w:rPr>
        <w:t>智能电子</w:t>
      </w:r>
      <w:r>
        <w:rPr>
          <w:rStyle w:val="19"/>
          <w:rFonts w:hint="eastAsia" w:ascii="仿宋_GB2312" w:hAnsi="仿宋_GB2312" w:eastAsia="仿宋_GB2312" w:cs="仿宋_GB2312"/>
          <w:b w:val="0"/>
          <w:bCs w:val="0"/>
          <w:spacing w:val="-4"/>
          <w:sz w:val="32"/>
          <w:szCs w:val="32"/>
          <w:lang w:val="en-US" w:eastAsia="zh-CN"/>
        </w:rPr>
        <w:t>设备进行维</w:t>
      </w:r>
      <w:r>
        <w:rPr>
          <w:rStyle w:val="19"/>
          <w:rFonts w:hint="eastAsia" w:ascii="仿宋_GB2312" w:hAnsi="仿宋_GB2312" w:eastAsia="仿宋_GB2312" w:cs="仿宋_GB2312"/>
          <w:b w:val="0"/>
          <w:bCs w:val="0"/>
          <w:spacing w:val="-4"/>
          <w:sz w:val="32"/>
          <w:szCs w:val="32"/>
        </w:rPr>
        <w:t>修维护，每日完成垃圾清运，保障32000平方米的照明面积和5500平方米的绿化，保障干休所和公共设施正常运行的效益。</w:t>
      </w:r>
    </w:p>
    <w:p w14:paraId="7B51131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469988AB">
      <w:pPr>
        <w:spacing w:line="540" w:lineRule="exact"/>
        <w:ind w:firstLine="567" w:firstLineChars="181"/>
        <w:rPr>
          <w:rStyle w:val="19"/>
          <w:rFonts w:hint="eastAsia" w:ascii="方正楷体_GB2312" w:hAnsi="方正楷体_GB2312" w:eastAsia="方正楷体_GB2312" w:cs="方正楷体_GB2312"/>
          <w:spacing w:val="-4"/>
          <w:sz w:val="32"/>
          <w:szCs w:val="32"/>
        </w:rPr>
      </w:pPr>
      <w:r>
        <w:rPr>
          <w:rStyle w:val="19"/>
          <w:rFonts w:hint="eastAsia" w:ascii="方正楷体_GB2312" w:hAnsi="方正楷体_GB2312" w:eastAsia="方正楷体_GB2312" w:cs="方正楷体_GB2312"/>
          <w:spacing w:val="-4"/>
          <w:sz w:val="32"/>
          <w:szCs w:val="32"/>
        </w:rPr>
        <w:t>（一）绩效评价目的、对象和范围</w:t>
      </w:r>
    </w:p>
    <w:p w14:paraId="74C559D8">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方正楷体_GB2312" w:hAnsi="方正楷体_GB2312" w:eastAsia="方正楷体_GB2312" w:cs="方正楷体_GB2312"/>
          <w:b/>
          <w:bCs/>
          <w:spacing w:val="-4"/>
          <w:sz w:val="32"/>
          <w:szCs w:val="32"/>
        </w:rPr>
        <w:t>1.绩效评价的目的</w:t>
      </w:r>
      <w: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公共照明电费、绿化水费、消防维保、电费、维保、</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维保等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一是：</w:t>
      </w:r>
      <w:r>
        <w:rPr>
          <w:rStyle w:val="19"/>
          <w:rFonts w:hint="eastAsia" w:ascii="仿宋_GB2312" w:hAnsi="仿宋_GB2312" w:eastAsia="仿宋_GB2312" w:cs="仿宋_GB2312"/>
          <w:b w:val="0"/>
          <w:bCs w:val="0"/>
          <w:spacing w:val="-4"/>
          <w:sz w:val="32"/>
          <w:szCs w:val="32"/>
        </w:rPr>
        <w:t>通过部门项目支出绩效评价，进一步严格落实《中华人民共和国预算法》以及党中央、国务院关于加强预算绩效管理的指示精神，建立健全“花钱必问效、无效必问责”的绩效预算管理机制，提升财政资金的使用效能。</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二是：</w:t>
      </w:r>
      <w:r>
        <w:rPr>
          <w:rStyle w:val="19"/>
          <w:rFonts w:hint="eastAsia" w:ascii="仿宋_GB2312" w:hAnsi="仿宋_GB2312" w:eastAsia="仿宋_GB2312" w:cs="仿宋_GB2312"/>
          <w:b w:val="0"/>
          <w:bCs w:val="0"/>
          <w:spacing w:val="-4"/>
          <w:sz w:val="32"/>
          <w:szCs w:val="32"/>
        </w:rPr>
        <w:t>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三是：</w:t>
      </w:r>
      <w:r>
        <w:rPr>
          <w:rStyle w:val="19"/>
          <w:rFonts w:hint="eastAsia" w:ascii="仿宋_GB2312" w:hAnsi="仿宋_GB2312" w:eastAsia="仿宋_GB2312" w:cs="仿宋_GB2312"/>
          <w:b w:val="0"/>
          <w:bCs w:val="0"/>
          <w:spacing w:val="-4"/>
          <w:sz w:val="32"/>
          <w:szCs w:val="32"/>
        </w:rPr>
        <w:t>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四是：</w:t>
      </w:r>
      <w:r>
        <w:rPr>
          <w:rStyle w:val="19"/>
          <w:rFonts w:hint="eastAsia" w:ascii="仿宋_GB2312" w:hAnsi="仿宋_GB2312" w:eastAsia="仿宋_GB2312" w:cs="仿宋_GB2312"/>
          <w:b w:val="0"/>
          <w:bCs w:val="0"/>
          <w:spacing w:val="-4"/>
          <w:sz w:val="32"/>
          <w:szCs w:val="32"/>
        </w:rPr>
        <w:t>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2.绩效评价对象</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此次我单位根据《财政支出绩效评价管理暂行办法》（财预〔2020〕10号）文件要求实施评价工作，本次评价对象为公共照明电费、绿化水费、消防维保、电费、维保、</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维保等项目，评价核心为项目的资金投入、产出及效益。</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3.绩效评价范围</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033DA181">
      <w:pPr>
        <w:spacing w:line="540" w:lineRule="exact"/>
        <w:ind w:firstLine="567"/>
        <w:rPr>
          <w:rStyle w:val="19"/>
          <w:rFonts w:hint="eastAsia" w:ascii="仿宋_GB2312" w:hAnsi="仿宋_GB2312" w:eastAsia="仿宋_GB2312" w:cs="仿宋_GB2312"/>
          <w:spacing w:val="-4"/>
          <w:sz w:val="32"/>
          <w:szCs w:val="32"/>
        </w:rPr>
      </w:pPr>
      <w:r>
        <w:rPr>
          <w:rStyle w:val="19"/>
          <w:rFonts w:hint="eastAsia" w:ascii="仿宋_GB2312" w:hAnsi="仿宋_GB2312" w:eastAsia="仿宋_GB2312" w:cs="仿宋_GB2312"/>
          <w:spacing w:val="-4"/>
          <w:sz w:val="32"/>
          <w:szCs w:val="32"/>
        </w:rPr>
        <w:t>（二）绩效评价原则、评价指标体系、评价方法、评价标准</w:t>
      </w:r>
    </w:p>
    <w:p w14:paraId="78020E34">
      <w:pPr>
        <w:spacing w:line="540" w:lineRule="exact"/>
        <w:ind w:firstLine="627" w:firstLineChars="200"/>
        <w:rPr>
          <w:rStyle w:val="19"/>
          <w:rFonts w:hint="eastAsia" w:ascii="仿宋_GB2312" w:hAnsi="仿宋_GB2312" w:eastAsia="仿宋_GB2312" w:cs="仿宋_GB2312"/>
          <w:b w:val="0"/>
          <w:bCs w:val="0"/>
          <w:spacing w:val="-4"/>
          <w:sz w:val="32"/>
          <w:szCs w:val="32"/>
          <w:lang w:val="en-US" w:eastAsia="zh-CN"/>
        </w:rPr>
      </w:pPr>
      <w:r>
        <w:rPr>
          <w:rStyle w:val="19"/>
          <w:rFonts w:hint="eastAsia" w:ascii="方正楷体_GB2312" w:hAnsi="方正楷体_GB2312" w:eastAsia="方正楷体_GB2312" w:cs="方正楷体_GB2312"/>
          <w:b/>
          <w:bCs/>
          <w:spacing w:val="-4"/>
          <w:sz w:val="32"/>
          <w:szCs w:val="32"/>
        </w:rPr>
        <w:t>1.绩效评价原则</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（1）科学公正。</w:t>
      </w:r>
      <w:r>
        <w:rPr>
          <w:rStyle w:val="19"/>
          <w:rFonts w:hint="eastAsia" w:ascii="仿宋_GB2312" w:hAnsi="仿宋_GB2312" w:eastAsia="仿宋_GB2312" w:cs="仿宋_GB2312"/>
          <w:b w:val="0"/>
          <w:bCs w:val="0"/>
          <w:spacing w:val="-4"/>
          <w:sz w:val="32"/>
          <w:szCs w:val="32"/>
        </w:rPr>
        <w:t>绩效评价应当运用科学合理的方法，按照规范的程序，对项目绩效进行客观、公正的反映。</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（2）统筹兼顾。</w:t>
      </w:r>
      <w:r>
        <w:rPr>
          <w:rStyle w:val="19"/>
          <w:rFonts w:hint="eastAsia" w:ascii="仿宋_GB2312" w:hAnsi="仿宋_GB2312" w:eastAsia="仿宋_GB2312" w:cs="仿宋_GB2312"/>
          <w:b w:val="0"/>
          <w:bCs w:val="0"/>
          <w:spacing w:val="-4"/>
          <w:sz w:val="32"/>
          <w:szCs w:val="32"/>
        </w:rPr>
        <w:t>单位自评、部门评价和财政评价应职责明确，各有侧重，相互衔接。单位自评应由项目单位自主实施，即“谁支出、谁自评”。部门评价和财政评价应在单位自评的基础上开展，必要时可委托第三方机构实施。</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（3）激励约束。</w:t>
      </w:r>
      <w:r>
        <w:rPr>
          <w:rStyle w:val="19"/>
          <w:rFonts w:hint="eastAsia" w:ascii="仿宋_GB2312" w:hAnsi="仿宋_GB2312" w:eastAsia="仿宋_GB2312" w:cs="仿宋_GB2312"/>
          <w:b w:val="0"/>
          <w:bCs w:val="0"/>
          <w:spacing w:val="-4"/>
          <w:sz w:val="32"/>
          <w:szCs w:val="32"/>
        </w:rPr>
        <w:t>绩效评价结果应与预算安排、政策调整、改进管理实质性挂钩，体现奖优罚劣和激励相容导向，有效要安排、低效要压减、无效要问责。</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（4）公开透明。</w:t>
      </w:r>
      <w:r>
        <w:rPr>
          <w:rStyle w:val="19"/>
          <w:rFonts w:hint="eastAsia" w:ascii="仿宋_GB2312" w:hAnsi="仿宋_GB2312" w:eastAsia="仿宋_GB2312" w:cs="仿宋_GB2312"/>
          <w:b w:val="0"/>
          <w:bCs w:val="0"/>
          <w:spacing w:val="-4"/>
          <w:sz w:val="32"/>
          <w:szCs w:val="32"/>
        </w:rPr>
        <w:t>绩效评价结果应依法依规公开，并自觉接受社会监督。</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根据以上原则，绩效评价应遵循如下要求:</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（1）在数据采集时，</w:t>
      </w:r>
      <w:r>
        <w:rPr>
          <w:rStyle w:val="19"/>
          <w:rFonts w:hint="eastAsia" w:ascii="仿宋_GB2312" w:hAnsi="仿宋_GB2312" w:eastAsia="仿宋_GB2312" w:cs="仿宋_GB2312"/>
          <w:b w:val="0"/>
          <w:bCs w:val="0"/>
          <w:spacing w:val="-4"/>
          <w:sz w:val="32"/>
          <w:szCs w:val="32"/>
        </w:rPr>
        <w:t>采取客观数据，主管部门审查、社会中介组织复查，与问卷调查相结合的形式，以保证各项指标的真实性。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（2）保证评价结果的真实性</w:t>
      </w:r>
      <w:r>
        <w:rPr>
          <w:rStyle w:val="19"/>
          <w:rFonts w:hint="eastAsia" w:ascii="仿宋_GB2312" w:hAnsi="仿宋_GB2312" w:eastAsia="仿宋_GB2312" w:cs="仿宋_GB2312"/>
          <w:b w:val="0"/>
          <w:bCs w:val="0"/>
          <w:spacing w:val="-4"/>
          <w:sz w:val="32"/>
          <w:szCs w:val="32"/>
        </w:rPr>
        <w:t>、公正性，提高评价报告的公信</w:t>
      </w:r>
      <w:r>
        <w:rPr>
          <w:rStyle w:val="19"/>
          <w:rFonts w:hint="eastAsia" w:ascii="仿宋_GB2312" w:hAnsi="仿宋_GB2312" w:eastAsia="仿宋_GB2312" w:cs="仿宋_GB2312"/>
          <w:b w:val="0"/>
          <w:bCs w:val="0"/>
          <w:spacing w:val="-4"/>
          <w:sz w:val="32"/>
          <w:szCs w:val="32"/>
          <w:lang w:val="en-US" w:eastAsia="zh-CN"/>
        </w:rPr>
        <w:t>力。</w:t>
      </w:r>
    </w:p>
    <w:p w14:paraId="62866044">
      <w:pPr>
        <w:spacing w:line="540" w:lineRule="exact"/>
        <w:ind w:firstLine="627" w:firstLineChars="200"/>
        <w:rPr>
          <w:rStyle w:val="19"/>
          <w:rFonts w:hint="eastAsia" w:ascii="仿宋_GB2312" w:hAnsi="仿宋_GB2312" w:eastAsia="仿宋_GB2312" w:cs="仿宋_GB2312"/>
          <w:b w:val="0"/>
          <w:bCs w:val="0"/>
          <w:spacing w:val="-4"/>
          <w:sz w:val="32"/>
          <w:szCs w:val="32"/>
        </w:rPr>
      </w:pPr>
      <w:r>
        <w:rPr>
          <w:rStyle w:val="19"/>
          <w:rFonts w:hint="eastAsia" w:ascii="方正楷体_GB2312" w:hAnsi="方正楷体_GB2312" w:eastAsia="方正楷体_GB2312" w:cs="方正楷体_GB2312"/>
          <w:b/>
          <w:bCs/>
          <w:spacing w:val="-4"/>
          <w:sz w:val="32"/>
          <w:szCs w:val="32"/>
          <w:lang w:val="en-US" w:eastAsia="zh-CN"/>
        </w:rPr>
        <w:t>（3）绩教评价报告应当简明扼要</w:t>
      </w:r>
      <w:r>
        <w:rPr>
          <w:rStyle w:val="19"/>
          <w:rFonts w:hint="eastAsia" w:ascii="方正楷体_GB2312" w:hAnsi="方正楷体_GB2312" w:eastAsia="方正楷体_GB2312" w:cs="方正楷体_GB2312"/>
          <w:b w:val="0"/>
          <w:bCs w:val="0"/>
          <w:spacing w:val="-4"/>
          <w:sz w:val="32"/>
          <w:szCs w:val="32"/>
          <w:lang w:val="en-US" w:eastAsia="zh-CN"/>
        </w:rPr>
        <w:t>，</w:t>
      </w:r>
      <w:r>
        <w:rPr>
          <w:rStyle w:val="19"/>
          <w:rFonts w:hint="eastAsia" w:ascii="仿宋_GB2312" w:hAnsi="仿宋_GB2312" w:eastAsia="仿宋_GB2312" w:cs="仿宋_GB2312"/>
          <w:b w:val="0"/>
          <w:bCs w:val="0"/>
          <w:spacing w:val="-4"/>
          <w:sz w:val="32"/>
          <w:szCs w:val="32"/>
          <w:lang w:val="en-US" w:eastAsia="zh-CN"/>
        </w:rPr>
        <w:t>除了对绩效评价的过程、结果描述外，还应总结经验，指出问题，并就共性问题提出可操作性改进建议。评价工作组本着科学规范、公平公正、绩效相关的原则，采用全面、重点、现场和非现场相结合的方式进行评价。</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2.绩效评价指标体系</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3.评价方法</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三级指标分析环节：</w:t>
      </w:r>
      <w:r>
        <w:rPr>
          <w:rStyle w:val="19"/>
          <w:rFonts w:hint="eastAsia" w:ascii="仿宋_GB2312" w:hAnsi="仿宋_GB2312" w:eastAsia="仿宋_GB2312" w:cs="仿宋_GB2312"/>
          <w:b w:val="0"/>
          <w:bCs w:val="0"/>
          <w:spacing w:val="-4"/>
          <w:sz w:val="32"/>
          <w:szCs w:val="32"/>
        </w:rPr>
        <w:t>总体采用比较法，同时辅以文献法、成本效益法、因素分析法以及公众评判法，根据不同三级指标类型进行逐项分析。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①定量指标分析环节：</w:t>
      </w:r>
      <w:r>
        <w:rPr>
          <w:rStyle w:val="19"/>
          <w:rFonts w:hint="eastAsia" w:ascii="仿宋_GB2312" w:hAnsi="仿宋_GB2312" w:eastAsia="仿宋_GB2312" w:cs="仿宋_GB2312"/>
          <w:b w:val="0"/>
          <w:bCs w:val="0"/>
          <w:spacing w:val="-4"/>
          <w:sz w:val="32"/>
          <w:szCs w:val="32"/>
        </w:rPr>
        <w:t>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②定性指标分析环节：</w:t>
      </w:r>
      <w:r>
        <w:rPr>
          <w:rStyle w:val="19"/>
          <w:rFonts w:hint="eastAsia" w:ascii="仿宋_GB2312" w:hAnsi="仿宋_GB2312" w:eastAsia="仿宋_GB2312" w:cs="仿宋_GB2312"/>
          <w:b w:val="0"/>
          <w:bCs w:val="0"/>
          <w:spacing w:val="-4"/>
          <w:sz w:val="32"/>
          <w:szCs w:val="32"/>
        </w:rPr>
        <w:t>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立项依据充分性：比较法、文献法，查找法律法规政策以及规划，对比实际执行内容和政策支持内容是否匹配。</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立项程序规范性：比较法、文献法，查找相关项目设立的政策和文件要求，对比分析实际执行程序是否按照政策及文件要求执行，分析立项程序的规范性。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绩效目标合理性：比较法，对比分析年初编制项目支出绩效目标表与项目内容的相关性、资金的匹配性等。</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绩效指标明确性：比较法，比较分析年初编制项目支出绩效目标表是否符合双七原则，是否可衡量。</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预算编制科学性：成本效益分析法，分析在产出一定的情况下，成本取值是否有依据，是否经过询价，是否按照市场最低成本编制。</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资金分配合理性：因素分析法，综合分析资金的分配依据是否充分，分配金额是否与项目实施单位需求金额一致，</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资金到位率：比较法，资金到位率预期指标值应为100%，通过实际计算，分析实际完成值和预期指标值之间的差距和原因。</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预算执行率：比较法，预算执行率预期指标值应为100%，通过实际计算，分析实际完成值和预期指标值之间的差距和原因。</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资金使用合规性：文献法、实地勘察法，一是查找资金管理办法，包括专项资金管理办法和单位自有资金管理办法；二是通过查账了解具体开支情况，是否专用专用，是否按照标准支出。</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制度执行有效性：比较法，结合项目实际实施过程性文件，根据已建设的财务管理制度和项目管理制度综合分析制度执行的有效性。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定性指标：公众评判法，通过问卷及抽样调查等方式评价本项目实施后社会公众对于其实施效果的满意程度。</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4.评价标准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DC706BA">
      <w:pPr>
        <w:spacing w:line="540" w:lineRule="exact"/>
        <w:ind w:firstLine="567" w:firstLineChars="181"/>
        <w:rPr>
          <w:rStyle w:val="19"/>
          <w:rFonts w:hint="eastAsia" w:ascii="方正楷体_GB2312" w:hAnsi="方正楷体_GB2312" w:eastAsia="方正楷体_GB2312" w:cs="方正楷体_GB2312"/>
          <w:b/>
          <w:bCs/>
          <w:spacing w:val="-4"/>
          <w:sz w:val="32"/>
          <w:szCs w:val="32"/>
        </w:rPr>
      </w:pPr>
      <w:r>
        <w:rPr>
          <w:rStyle w:val="19"/>
          <w:rFonts w:hint="eastAsia" w:ascii="方正楷体_GB2312" w:hAnsi="方正楷体_GB2312" w:eastAsia="方正楷体_GB2312" w:cs="方正楷体_GB2312"/>
          <w:b/>
          <w:bCs/>
          <w:spacing w:val="-4"/>
          <w:sz w:val="32"/>
          <w:szCs w:val="32"/>
        </w:rPr>
        <w:t>（三）绩效评价工作过程</w:t>
      </w:r>
    </w:p>
    <w:p w14:paraId="26B0A009">
      <w:pPr>
        <w:spacing w:line="540" w:lineRule="exact"/>
        <w:ind w:firstLine="627" w:firstLineChars="200"/>
        <w:rPr>
          <w:rStyle w:val="19"/>
          <w:rFonts w:hint="eastAsia" w:ascii="仿宋_GB2312" w:hAnsi="仿宋_GB2312" w:eastAsia="仿宋_GB2312" w:cs="仿宋_GB2312"/>
          <w:b w:val="0"/>
          <w:bCs w:val="0"/>
          <w:spacing w:val="-4"/>
          <w:sz w:val="32"/>
          <w:szCs w:val="32"/>
        </w:rPr>
      </w:pPr>
      <w:r>
        <w:rPr>
          <w:rStyle w:val="19"/>
          <w:rFonts w:hint="eastAsia" w:ascii="方正楷体_GB2312" w:hAnsi="方正楷体_GB2312" w:eastAsia="方正楷体_GB2312" w:cs="方正楷体_GB2312"/>
          <w:b/>
          <w:bCs/>
          <w:spacing w:val="-4"/>
          <w:sz w:val="32"/>
          <w:szCs w:val="32"/>
        </w:rPr>
        <w:t>1.前期准备</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我单位于2025年1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郭凌云（评价小组组长）：主要负责审核并解决项目实施过程所有相关问题，复核绩效评价报告质量;</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高云东（评价小组组员）：主要负责收集项目绩效相关所有资料，负责报告中数据的核实;</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李存芳（评价小组组员）：主要负责编制绩效评价报告，编制绩效评价附件表格。</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2.组织实施</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2025年2月25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3.分析评价</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2025年3月16日-4月1日，评价小组按照绩效评价的原则和规范，对取得的资料进行审查核实，对采集的数据进行分析，按照绩效评价指标评分表逐项进行打分、分析、汇总各方评价结果。</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4.撰写与提交评价报告</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2025年4月1日-4月15日评价小组撰写绩效评价报告，按照新疆维吾尔自治区财政绩效管理信息系统绩效评价模块中统一格式和文本框架撰写绩效评价报告并提交审核。</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5.问题整改</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6.档案整理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14:paraId="034F32D9">
      <w:pPr>
        <w:spacing w:line="540" w:lineRule="exact"/>
        <w:ind w:firstLine="640"/>
        <w:rPr>
          <w:rStyle w:val="19"/>
          <w:rFonts w:hint="eastAsia" w:ascii="方正楷体_GB2312" w:hAnsi="方正楷体_GB2312" w:eastAsia="方正楷体_GB2312" w:cs="方正楷体_GB2312"/>
          <w:b/>
          <w:bCs w:val="0"/>
          <w:spacing w:val="-4"/>
          <w:sz w:val="32"/>
          <w:szCs w:val="32"/>
        </w:rPr>
      </w:pPr>
      <w:r>
        <w:rPr>
          <w:rStyle w:val="19"/>
          <w:rFonts w:hint="eastAsia" w:ascii="方正楷体_GB2312" w:hAnsi="方正楷体_GB2312" w:eastAsia="方正楷体_GB2312" w:cs="方正楷体_GB2312"/>
          <w:b/>
          <w:bCs w:val="0"/>
          <w:spacing w:val="-4"/>
          <w:sz w:val="32"/>
          <w:szCs w:val="32"/>
        </w:rPr>
        <w:t>三、综合评价情况及评价结论</w:t>
      </w:r>
    </w:p>
    <w:p w14:paraId="7AB58AA9">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方正楷体_GB2312" w:hAnsi="方正楷体_GB2312" w:eastAsia="方正楷体_GB2312" w:cs="方正楷体_GB2312"/>
          <w:b/>
          <w:bCs w:val="0"/>
          <w:spacing w:val="-4"/>
          <w:sz w:val="32"/>
          <w:szCs w:val="32"/>
        </w:rPr>
        <w:t>（一）综合评价情况</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经评价，本项目达成年初设立的绩效目标，在实施过程中取得了良好的成效，具体表现在以下三方面：</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一是：</w:t>
      </w:r>
      <w:r>
        <w:rPr>
          <w:rStyle w:val="19"/>
          <w:rFonts w:hint="eastAsia" w:ascii="仿宋_GB2312" w:hAnsi="仿宋_GB2312" w:eastAsia="仿宋_GB2312" w:cs="仿宋_GB2312"/>
          <w:b w:val="0"/>
          <w:bCs w:val="0"/>
          <w:spacing w:val="-4"/>
          <w:sz w:val="32"/>
          <w:szCs w:val="32"/>
        </w:rPr>
        <w:t>项目管理方面，项目资金使用合规，项目财务管理制度健全，财务</w:t>
      </w:r>
      <w:r>
        <w:rPr>
          <w:rStyle w:val="19"/>
          <w:rFonts w:hint="eastAsia" w:ascii="仿宋_GB2312" w:hAnsi="仿宋_GB2312" w:eastAsia="仿宋_GB2312" w:cs="仿宋_GB2312"/>
          <w:b w:val="0"/>
          <w:bCs w:val="0"/>
          <w:spacing w:val="-4"/>
          <w:sz w:val="32"/>
          <w:szCs w:val="32"/>
          <w:lang w:eastAsia="zh-CN"/>
        </w:rPr>
        <w:t>监督</w:t>
      </w:r>
      <w:r>
        <w:rPr>
          <w:rStyle w:val="19"/>
          <w:rFonts w:hint="eastAsia" w:ascii="仿宋_GB2312" w:hAnsi="仿宋_GB2312" w:eastAsia="仿宋_GB2312" w:cs="仿宋_GB2312"/>
          <w:b w:val="0"/>
          <w:bCs w:val="0"/>
          <w:spacing w:val="-4"/>
          <w:sz w:val="32"/>
          <w:szCs w:val="32"/>
        </w:rPr>
        <w:t>到位，所有资金支付均按照国库集中支付制度严格执行，现有项目管理制度执行情况良好。</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二是：</w:t>
      </w:r>
      <w:r>
        <w:rPr>
          <w:rStyle w:val="19"/>
          <w:rFonts w:hint="eastAsia" w:ascii="仿宋_GB2312" w:hAnsi="仿宋_GB2312" w:eastAsia="仿宋_GB2312" w:cs="仿宋_GB2312"/>
          <w:b w:val="0"/>
          <w:bCs w:val="0"/>
          <w:spacing w:val="-4"/>
          <w:sz w:val="32"/>
          <w:szCs w:val="32"/>
        </w:rPr>
        <w:t>项目产出方面：和田地区驻乌一干所绿化面积达5500平方米以上，照明面积达32000平方米以上，每季度维护一次干休所消防设施、</w:t>
      </w:r>
      <w:r>
        <w:rPr>
          <w:rStyle w:val="19"/>
          <w:rFonts w:hint="eastAsia" w:ascii="仿宋_GB2312" w:hAnsi="仿宋_GB2312" w:eastAsia="仿宋_GB2312" w:cs="仿宋_GB2312"/>
          <w:b w:val="0"/>
          <w:bCs w:val="0"/>
          <w:spacing w:val="-4"/>
          <w:sz w:val="32"/>
          <w:szCs w:val="32"/>
          <w:lang w:eastAsia="zh-CN"/>
        </w:rPr>
        <w:t>智能电子</w:t>
      </w:r>
      <w:r>
        <w:rPr>
          <w:rStyle w:val="19"/>
          <w:rFonts w:hint="eastAsia" w:ascii="仿宋_GB2312" w:hAnsi="仿宋_GB2312" w:eastAsia="仿宋_GB2312" w:cs="仿宋_GB2312"/>
          <w:b w:val="0"/>
          <w:bCs w:val="0"/>
          <w:spacing w:val="-4"/>
          <w:sz w:val="32"/>
          <w:szCs w:val="32"/>
        </w:rPr>
        <w:t>设备及电梯。</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三是：</w:t>
      </w:r>
      <w:r>
        <w:rPr>
          <w:rStyle w:val="19"/>
          <w:rFonts w:hint="eastAsia" w:ascii="仿宋_GB2312" w:hAnsi="仿宋_GB2312" w:eastAsia="仿宋_GB2312" w:cs="仿宋_GB2312"/>
          <w:b w:val="0"/>
          <w:bCs w:val="0"/>
          <w:spacing w:val="-4"/>
          <w:sz w:val="32"/>
          <w:szCs w:val="32"/>
        </w:rPr>
        <w:t>项目效益方面：项目的实施有利于干休所日常运转，保障干休所公共设施正常运行，提高公共服务质量。</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（二）评价结论</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31个，实现三级指标数量31个，总体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项目决策类指标共设置6个，满分指标6个，权重分21分，得分21分，得分率100%；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过程管理类指标共设置5个，满分指标5个，权重分19分，得分19分，得分率100%；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项目产出类指标共设置17个，满分指标17个，权重分20分，得分20分，得分率100%；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项目效益类指标共设置3个，满分指标3个，权重分40分，得分40分，得分率100%。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详细情况见“附件2：项目综合得分表”。</w:t>
      </w:r>
    </w:p>
    <w:p w14:paraId="64159040">
      <w:pPr>
        <w:spacing w:line="540" w:lineRule="exact"/>
        <w:ind w:firstLine="640"/>
        <w:rPr>
          <w:rStyle w:val="19"/>
          <w:rFonts w:hint="eastAsia" w:ascii="仿宋_GB2312" w:hAnsi="仿宋_GB2312" w:eastAsia="仿宋_GB2312" w:cs="仿宋_GB2312"/>
          <w:sz w:val="32"/>
          <w:szCs w:val="32"/>
        </w:rPr>
      </w:pPr>
      <w:r>
        <w:rPr>
          <w:rStyle w:val="19"/>
          <w:rFonts w:hint="eastAsia" w:ascii="方正楷体_GB2312" w:hAnsi="方正楷体_GB2312" w:eastAsia="方正楷体_GB2312" w:cs="方正楷体_GB2312"/>
          <w:b w:val="0"/>
          <w:spacing w:val="-4"/>
          <w:sz w:val="32"/>
          <w:szCs w:val="32"/>
        </w:rPr>
        <w:t>四、绩效评价指标分析</w:t>
      </w:r>
      <w:r>
        <w:rPr>
          <w:rStyle w:val="19"/>
          <w:rFonts w:hint="eastAsia" w:ascii="仿宋_GB2312" w:hAnsi="仿宋_GB2312" w:eastAsia="仿宋_GB2312" w:cs="仿宋_GB2312"/>
          <w:sz w:val="32"/>
          <w:szCs w:val="32"/>
        </w:rPr>
        <w:t xml:space="preserve"> </w:t>
      </w:r>
    </w:p>
    <w:p w14:paraId="5D57C6F5">
      <w:pPr>
        <w:spacing w:line="540" w:lineRule="exact"/>
        <w:ind w:firstLine="567" w:firstLineChars="181"/>
        <w:rPr>
          <w:rFonts w:hint="eastAsia" w:ascii="方正楷体_GB2312" w:hAnsi="方正楷体_GB2312" w:eastAsia="方正楷体_GB2312" w:cs="方正楷体_GB2312"/>
          <w:b/>
          <w:spacing w:val="-4"/>
          <w:sz w:val="32"/>
          <w:szCs w:val="32"/>
        </w:rPr>
      </w:pPr>
      <w:r>
        <w:rPr>
          <w:rFonts w:hint="eastAsia" w:ascii="方正楷体_GB2312" w:hAnsi="方正楷体_GB2312" w:eastAsia="方正楷体_GB2312" w:cs="方正楷体_GB2312"/>
          <w:b/>
          <w:spacing w:val="-4"/>
          <w:sz w:val="32"/>
          <w:szCs w:val="32"/>
        </w:rPr>
        <w:t>（一）</w:t>
      </w:r>
      <w:r>
        <w:rPr>
          <w:rStyle w:val="19"/>
          <w:rFonts w:hint="eastAsia" w:ascii="方正楷体_GB2312" w:hAnsi="方正楷体_GB2312" w:eastAsia="方正楷体_GB2312" w:cs="方正楷体_GB2312"/>
          <w:spacing w:val="-4"/>
          <w:sz w:val="32"/>
          <w:szCs w:val="32"/>
        </w:rPr>
        <w:t>项目决策情况</w:t>
      </w:r>
    </w:p>
    <w:p w14:paraId="19FB8603">
      <w:pPr>
        <w:tabs>
          <w:tab w:val="center" w:pos="4295"/>
        </w:tabs>
        <w:spacing w:line="540" w:lineRule="exact"/>
        <w:ind w:firstLine="624" w:firstLineChars="200"/>
        <w:rPr>
          <w:rStyle w:val="19"/>
          <w:rFonts w:hint="eastAsia" w:ascii="仿宋_GB2312" w:hAnsi="仿宋_GB2312" w:eastAsia="仿宋_GB2312" w:cs="仿宋_GB2312"/>
          <w:b w:val="0"/>
          <w:bCs w:val="0"/>
          <w:spacing w:val="-4"/>
          <w:sz w:val="32"/>
          <w:szCs w:val="32"/>
          <w:lang w:eastAsia="zh-CN"/>
        </w:rPr>
      </w:pPr>
      <w:r>
        <w:rPr>
          <w:rStyle w:val="19"/>
          <w:rFonts w:hint="eastAsia" w:ascii="仿宋_GB2312" w:hAnsi="仿宋_GB2312" w:eastAsia="仿宋_GB2312" w:cs="仿宋_GB2312"/>
          <w:b w:val="0"/>
          <w:bCs w:val="0"/>
          <w:spacing w:val="-4"/>
          <w:sz w:val="32"/>
          <w:szCs w:val="32"/>
        </w:rPr>
        <w:t>项目决策类指标由3个二级指标和6个三级指标构成，权重分21分，实际得分21分。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1.项目立项情况分析</w:t>
      </w:r>
      <w:r>
        <w:cr/>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（1）立项依据充分性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立项符合项目立项符合国家法律法规、国民经济发展规划和相关政策，项目立项符合行业发展规划和政策要求，项目立项与部门职责范围相符，属干部门履职所需，项目属于公共财政支持范围，符合中央、地方事权支出责任划分原则，项目与相关部门同类项目或部门内部相关项目不重复。；本项目立项符合《和田驻乌一干单位配置内设机构和人员编制规定》中职责范围，属于我单位履职所需；根据《财政资金直接支付申请书》，本项目资金性质为“公共财政预算”功能分类为“2080599其他行政事业单位养老支出”经济分类为“30299商品和服务支出”属于公共财政支持范围，符合中央、地方事权支出责任划分原则；经检查我单位财政应用平台指标，本项目不存在重复。</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综上所述，本指标满分为5分，根据评分标准得5分，本项目立项依据充分。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val="0"/>
          <w:bCs w:val="0"/>
          <w:spacing w:val="-4"/>
          <w:sz w:val="32"/>
          <w:szCs w:val="32"/>
        </w:rPr>
        <w:t>（2）立项程序规范性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本级资金安排项目，不涉及事前绩效评估、可行性研究以及风险评估。</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综上所述，本指标满分为3分，根据评分标准得3分，本项目立项程序合规。</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2.绩效目标情况分析</w:t>
      </w:r>
      <w:r>
        <w:cr/>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（1）绩效目标合理性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本项目已设置年度绩效目标，具体内容为“保障干休所公共区域每月水电费正常缴纳、日常零星采购费用，每季度消防、电梯、</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维保费用、下水疏通费、按年支付垃圾清运费，使干休所正常运转。照明面积32000平方米，绿化面积5500平方米”；本项目实际工作为：保障电梯、消防、</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公共水电费的缴纳。绩效目标与实际工作内容一致，两者具有相关性;本项目按照绩效目标完成数量指标、质量指标、时效指标、成本指标，有效保障了干休所日常运转以及公共设施正常运行，年度绩效目标完成，预期产出效益和效果符合正常的业绩水平。</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综上所述，本指标满分为4分，根据评分标准得4分，本项目绩效目标设置合理。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val="0"/>
          <w:bCs w:val="0"/>
          <w:spacing w:val="-4"/>
          <w:sz w:val="32"/>
          <w:szCs w:val="32"/>
        </w:rPr>
        <w:t>（2）绩效指标明确性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经检查我单位年初设置的《项目支出绩效目标表》，得出如下结论：本项目已将年度绩效目标进行细化为绩效指标体系，共设置一级指标3个，二级指标6个，三级指标20个，定量指标18个，定性指标2个，指标量化率为90%，量化率达100%以上。</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综上所述，本指标满分为3分，根据评分标准得3分，本项目所设置绩效指标明确。</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3.资金投入情况分析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（1）预算编制科学性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本项目预算编制通过市场询价，由新疆海纳消防设施检测有限公司、新疆皇冠工业消防设备工程有限责任公司、新疆中煌亿佳消防科技有限公司三家单位报价得出，即预算编制较科学且经过论证；</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预算申请内容为水电费、消防、</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、电梯维保等，项目实际内容为用于保障干休所公共区域每月水电费正常缴纳、日常零星采购费用，每季度消防、电梯、</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维保费用、下水疏通费、按年支付垃圾清运费，使干休所正常运转。照明面积32000平方米，绿化面积5500平方米。预算申请与《运行维护项目实施方案》中涉及的项目内容匹配；</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本项目预算申请资金39.57万元，我单位在预算申请中严格按照单位标准和数量进行核算，其中：电费8万元、电梯维保费8万元、</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维保费3万元、绿化水费4.25万元、消防维保9万元、垃圾清运费4.32万元，日常采购费3万元。本项目预算额度测算依据充分，严格按照标准编制，预算确定资金量与实际工作任务相匹配；</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综上所述，本指标满分为4分，根据评分标准得4分，本项目预算编制科学。</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（2）资金分配合理性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本项目实际分配资金以《关于申请运行维护项目资金的请示》和《运行维护项目实施方案》为依据进行资金分配，预算资金分配依据充分。根据《关于下达2024年度部门预算批复的通知》(和地财预〔2024〕1号)</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文件显示，本项目实际到位资金39.57万元，实际分配资金与我单位提交申请的资金额度一致，资金分配额度合理，与我单位实际需求相适应。</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综上所述，本指标满分为2分，根据评分标准得2分，本项目资金分配合理。</w:t>
      </w:r>
      <w:r>
        <w:rPr>
          <w:rStyle w:val="19"/>
          <w:rFonts w:hint="eastAsia" w:ascii="仿宋_GB2312" w:hAnsi="仿宋_GB2312" w:eastAsia="仿宋_GB2312" w:cs="仿宋_GB2312"/>
          <w:b w:val="0"/>
          <w:bCs w:val="0"/>
          <w:spacing w:val="-4"/>
          <w:sz w:val="32"/>
          <w:szCs w:val="32"/>
          <w:lang w:eastAsia="zh-CN"/>
        </w:rPr>
        <w:tab/>
      </w:r>
    </w:p>
    <w:p w14:paraId="4E8B792F">
      <w:pPr>
        <w:spacing w:line="540" w:lineRule="exact"/>
        <w:ind w:firstLine="567" w:firstLineChars="181"/>
        <w:rPr>
          <w:rStyle w:val="19"/>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9"/>
          <w:rFonts w:hint="eastAsia" w:ascii="仿宋_GB2312" w:hAnsi="仿宋_GB2312" w:eastAsia="仿宋_GB2312" w:cs="仿宋_GB2312"/>
          <w:spacing w:val="-4"/>
          <w:sz w:val="32"/>
          <w:szCs w:val="32"/>
        </w:rPr>
        <w:t>项目过程情况</w:t>
      </w:r>
    </w:p>
    <w:p w14:paraId="764CDC6A">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项目过程管理类指标由2个二级指标和5个三级指标构成，权重分19分，实际得分19分。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1.资金管理情况分析</w:t>
      </w:r>
      <w:r>
        <w:cr/>
      </w:r>
      <w:r>
        <w:rPr>
          <w:rStyle w:val="19"/>
          <w:rFonts w:hint="eastAsia" w:ascii="方正楷体_GB2312" w:hAnsi="方正楷体_GB2312" w:eastAsia="方正楷体_GB2312" w:cs="方正楷体_GB2312"/>
          <w:b/>
          <w:bCs/>
          <w:spacing w:val="-4"/>
          <w:sz w:val="32"/>
          <w:szCs w:val="32"/>
          <w:lang w:val="en-US" w:eastAsia="zh-CN"/>
        </w:rPr>
        <w:t xml:space="preserve">    （1）资金到位率</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本项目预算资金为39.57万元，其中：本级财政安排资金39.57万元，其他资金0万元，实际到位资金39.57万元，资金到位率=（实际到位资金/预算资金）×100%=（39.57/39.57）*100%=100%。得分=资金到位率*分值=100%*4=4分。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综上所述，本指标满分为4分，根据评分标准得4分，本项目资金分配合理。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（2）预算执行率</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本项目实际支出资金39.57万元，预算执行率=（实际支出资金/实际到位资金）×100%=39.57/39.57）*100%=100%。得分=预算执行率*分值=100%*5=5分。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综上所述，本指标满分为5分，根据评分标准得5分，本项目资金分配合理。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（3）资金使用合规性</w:t>
      </w:r>
      <w:r>
        <w:cr/>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通过检查本项目签订的合同、资金申请文件、发票等财务付款凭证，得出本项目资金支出符合国家财经法规、《政府会计制度》以及《和田驻乌一干单位资金管理办法》《项目管理办法》，资金的拨付有完整的审批程序和手续，资金实际使用方向与预算批复用途一致，不存在截留、挤占、挪用、虚列支出的情况。</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综上所述，本指标满分为4分，根据评分标准得4分，资金支出符合我单位财务管理制度规定。</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2.组织实施情况分析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（1）管理制度健全性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我单位已制定《</w:t>
      </w:r>
      <w:r>
        <w:rPr>
          <w:rStyle w:val="19"/>
          <w:rFonts w:hint="eastAsia" w:ascii="仿宋_GB2312" w:hAnsi="仿宋_GB2312" w:eastAsia="仿宋_GB2312" w:cs="仿宋_GB2312"/>
          <w:b w:val="0"/>
          <w:bCs w:val="0"/>
          <w:spacing w:val="-4"/>
          <w:sz w:val="32"/>
          <w:szCs w:val="32"/>
          <w:lang w:eastAsia="zh-CN"/>
        </w:rPr>
        <w:t>和田</w:t>
      </w:r>
      <w:r>
        <w:rPr>
          <w:rStyle w:val="19"/>
          <w:rFonts w:hint="eastAsia" w:ascii="仿宋_GB2312" w:hAnsi="仿宋_GB2312" w:eastAsia="仿宋_GB2312" w:cs="仿宋_GB2312"/>
          <w:b w:val="0"/>
          <w:bCs w:val="0"/>
          <w:spacing w:val="-4"/>
          <w:sz w:val="32"/>
          <w:szCs w:val="32"/>
        </w:rPr>
        <w:t>驻乌一干资金管理办法》、《</w:t>
      </w:r>
      <w:r>
        <w:rPr>
          <w:rStyle w:val="19"/>
          <w:rFonts w:hint="eastAsia" w:ascii="仿宋_GB2312" w:hAnsi="仿宋_GB2312" w:eastAsia="仿宋_GB2312" w:cs="仿宋_GB2312"/>
          <w:b w:val="0"/>
          <w:bCs w:val="0"/>
          <w:spacing w:val="-4"/>
          <w:sz w:val="32"/>
          <w:szCs w:val="32"/>
          <w:lang w:eastAsia="zh-CN"/>
        </w:rPr>
        <w:t>和田</w:t>
      </w:r>
      <w:r>
        <w:rPr>
          <w:rStyle w:val="19"/>
          <w:rFonts w:hint="eastAsia" w:ascii="仿宋_GB2312" w:hAnsi="仿宋_GB2312" w:eastAsia="仿宋_GB2312" w:cs="仿宋_GB2312"/>
          <w:b w:val="0"/>
          <w:bCs w:val="0"/>
          <w:spacing w:val="-4"/>
          <w:sz w:val="32"/>
          <w:szCs w:val="32"/>
        </w:rPr>
        <w:t>驻乌一干收支业务管理制度》、《</w:t>
      </w:r>
      <w:r>
        <w:rPr>
          <w:rStyle w:val="19"/>
          <w:rFonts w:hint="eastAsia" w:ascii="仿宋_GB2312" w:hAnsi="仿宋_GB2312" w:eastAsia="仿宋_GB2312" w:cs="仿宋_GB2312"/>
          <w:b w:val="0"/>
          <w:bCs w:val="0"/>
          <w:spacing w:val="-4"/>
          <w:sz w:val="32"/>
          <w:szCs w:val="32"/>
          <w:lang w:eastAsia="zh-CN"/>
        </w:rPr>
        <w:t>和田</w:t>
      </w:r>
      <w:r>
        <w:rPr>
          <w:rStyle w:val="19"/>
          <w:rFonts w:hint="eastAsia" w:ascii="仿宋_GB2312" w:hAnsi="仿宋_GB2312" w:eastAsia="仿宋_GB2312" w:cs="仿宋_GB2312"/>
          <w:b w:val="0"/>
          <w:bCs w:val="0"/>
          <w:spacing w:val="-4"/>
          <w:sz w:val="32"/>
          <w:szCs w:val="32"/>
        </w:rPr>
        <w:t>驻乌一干政府采购业务管理制度》、《</w:t>
      </w:r>
      <w:r>
        <w:rPr>
          <w:rStyle w:val="19"/>
          <w:rFonts w:hint="eastAsia" w:ascii="仿宋_GB2312" w:hAnsi="仿宋_GB2312" w:eastAsia="仿宋_GB2312" w:cs="仿宋_GB2312"/>
          <w:b w:val="0"/>
          <w:bCs w:val="0"/>
          <w:spacing w:val="-4"/>
          <w:sz w:val="32"/>
          <w:szCs w:val="32"/>
          <w:lang w:eastAsia="zh-CN"/>
        </w:rPr>
        <w:t>和田</w:t>
      </w:r>
      <w:r>
        <w:rPr>
          <w:rStyle w:val="19"/>
          <w:rFonts w:hint="eastAsia" w:ascii="仿宋_GB2312" w:hAnsi="仿宋_GB2312" w:eastAsia="仿宋_GB2312" w:cs="仿宋_GB2312"/>
          <w:b w:val="0"/>
          <w:bCs w:val="0"/>
          <w:spacing w:val="-4"/>
          <w:sz w:val="32"/>
          <w:szCs w:val="32"/>
        </w:rPr>
        <w:t>驻乌一干合同管理制度》，上述已建立的制度均符合行政事业单位内控管理要求，财务和业务管理制度合法、合规、完整，本项目执行符合上述制度规定。</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综上所述，本指标满分为2分，根据评分标准得2分，项目制度建设健全。</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（2）制度执行有效性</w:t>
      </w:r>
      <w:r>
        <w:cr/>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经对比分析本项目实际执行过程资料和已建立的项目管理制度和财务管理制度，得出本项目严格按照本单位已建立制度执行。项目资金支出严格按照自治区、地区以及本单位资金管理办法执行，项目启动实施后，为了加快本项目的实施，成立了运行维护项目工作领导小组，由党组书记郭凌云任组长，负责项目的组织工作；高云东任副组长，负责项目的实施工作；组员包括：李存芳和牛雷，主要负责项目监督管理、验收以及资金核拨等工作。</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综上所述，本指标满分为4分，根据评分标准得4分，本项目所建立制度执行有效。</w:t>
      </w:r>
    </w:p>
    <w:p w14:paraId="694E93FE">
      <w:pPr>
        <w:spacing w:line="540" w:lineRule="exact"/>
        <w:ind w:firstLine="627" w:firstLineChars="200"/>
        <w:rPr>
          <w:rStyle w:val="19"/>
          <w:rFonts w:hint="eastAsia" w:ascii="方正楷体_GB2312" w:hAnsi="方正楷体_GB2312" w:eastAsia="方正楷体_GB2312" w:cs="方正楷体_GB2312"/>
          <w:b/>
          <w:bCs/>
          <w:spacing w:val="-4"/>
          <w:sz w:val="32"/>
          <w:szCs w:val="32"/>
          <w:lang w:val="en-US" w:eastAsia="zh-CN"/>
        </w:rPr>
      </w:pPr>
      <w:r>
        <w:rPr>
          <w:rStyle w:val="19"/>
          <w:rFonts w:hint="eastAsia" w:ascii="方正楷体_GB2312" w:hAnsi="方正楷体_GB2312" w:eastAsia="方正楷体_GB2312" w:cs="方正楷体_GB2312"/>
          <w:b/>
          <w:bCs/>
          <w:spacing w:val="-4"/>
          <w:sz w:val="32"/>
          <w:szCs w:val="32"/>
          <w:lang w:val="en-US" w:eastAsia="zh-CN"/>
        </w:rPr>
        <w:t>（三）项目产出情况</w:t>
      </w:r>
    </w:p>
    <w:p w14:paraId="51F62F57">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项目产出类指标由4个二级指标和17个三级指标构成，权重分20分，实际得分20分。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1.数量指标完成情况分析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消防设施维护次数（次/季度）:预期指标值为≥4次/季度，实际完成值为=4次/季度,指标完成率为100%。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电梯维护次数（次/季）:预期指标值为≥4次/季度，实际完成值为=4次/季度,指标完成率为100%。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垃圾清运次数（次/日）:预期指标值为≥1天，实际完成值为=1天,指标完成率为100%。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维护次数（次/季）:预期指标值为≥4次/季度，实际完成值为=4次/季度,指标完成率为100%。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照明面积（平方米）:预期指标值为≥32000平方米，实际完成值为=32000平方米,指标完成率为100%。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绿化面积（平方米）:预期指标值为≥5500平方米，实际完成值为=5500平方米,指标完成率为100%。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2.质量指标完成情况分析</w:t>
      </w:r>
      <w:r>
        <w:cr/>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资金使用合格率（%）:预期指标值为=100%，实际完成值为=100%,指标完成率为100%。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绿化面积和照明率（%）:预期指标值为=100%，实际完成值为=100%,指标完成率为100%。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3.时效指标完成情况分析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公共设施维护验收合规率（%）:预期指标值为=100%，实际完成值为=100%,指标完成率为100%。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资金支付及时率（%）:预期指标值为=100%，实际完成值为=100%,指标完成率为100%。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4.成本指标完成情况分析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公共照明电费:预期指标值为≤8万元，实际完成值为=8万元,指标完成率为100%。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绿化水费:预期指标值为≤4.25万元，实际完成值为=4.25万元,指标完成率为100%。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电梯维保费:预期指标值为≤8万元，实际完成值为=8万元,指标完成率为100%。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消防维保费:预期指标值为≤9万元，实际完成值为=9万元,指标完成率为100%。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lang w:eastAsia="zh-CN"/>
        </w:rPr>
        <w:t>智能电子设备</w:t>
      </w:r>
      <w:r>
        <w:rPr>
          <w:rStyle w:val="19"/>
          <w:rFonts w:hint="eastAsia" w:ascii="仿宋_GB2312" w:hAnsi="仿宋_GB2312" w:eastAsia="仿宋_GB2312" w:cs="仿宋_GB2312"/>
          <w:b w:val="0"/>
          <w:bCs w:val="0"/>
          <w:spacing w:val="-4"/>
          <w:sz w:val="32"/>
          <w:szCs w:val="32"/>
        </w:rPr>
        <w:t>维保费:预期指标值为≤3万元，实际完成值为=3万元,指标完成率为100%。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垃圾清运费:预期指标值为≤4.32万元，实际完成值为=4.32万元,指标完成率为100%。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日常采购费:预期指标值为≤3万元，实际完成值为=3万元,指标完成率为100%。</w:t>
      </w:r>
    </w:p>
    <w:p w14:paraId="15E8E2A6">
      <w:pPr>
        <w:spacing w:line="540" w:lineRule="exact"/>
        <w:ind w:firstLine="567" w:firstLineChars="181"/>
        <w:rPr>
          <w:rFonts w:hint="eastAsia" w:ascii="方正楷体_GB2312" w:hAnsi="方正楷体_GB2312" w:eastAsia="方正楷体_GB2312" w:cs="方正楷体_GB2312"/>
          <w:b/>
          <w:spacing w:val="-4"/>
          <w:sz w:val="32"/>
          <w:szCs w:val="32"/>
        </w:rPr>
      </w:pPr>
      <w:r>
        <w:rPr>
          <w:rFonts w:hint="eastAsia" w:ascii="方正楷体_GB2312" w:hAnsi="方正楷体_GB2312" w:eastAsia="方正楷体_GB2312" w:cs="方正楷体_GB2312"/>
          <w:b/>
          <w:spacing w:val="-4"/>
          <w:sz w:val="32"/>
          <w:szCs w:val="32"/>
        </w:rPr>
        <w:t>（</w:t>
      </w:r>
      <w:r>
        <w:rPr>
          <w:rFonts w:hint="eastAsia" w:ascii="方正楷体_GB2312" w:hAnsi="方正楷体_GB2312" w:eastAsia="方正楷体_GB2312" w:cs="方正楷体_GB2312"/>
          <w:b/>
          <w:spacing w:val="-4"/>
          <w:sz w:val="32"/>
          <w:szCs w:val="32"/>
          <w:lang w:val="en-US" w:eastAsia="zh-CN"/>
        </w:rPr>
        <w:t>四</w:t>
      </w:r>
      <w:r>
        <w:rPr>
          <w:rFonts w:hint="eastAsia" w:ascii="方正楷体_GB2312" w:hAnsi="方正楷体_GB2312" w:eastAsia="方正楷体_GB2312" w:cs="方正楷体_GB2312"/>
          <w:b/>
          <w:spacing w:val="-4"/>
          <w:sz w:val="32"/>
          <w:szCs w:val="32"/>
        </w:rPr>
        <w:t>）</w:t>
      </w:r>
      <w:r>
        <w:rPr>
          <w:rStyle w:val="19"/>
          <w:rFonts w:hint="eastAsia" w:ascii="方正楷体_GB2312" w:hAnsi="方正楷体_GB2312" w:eastAsia="方正楷体_GB2312" w:cs="方正楷体_GB2312"/>
          <w:spacing w:val="-4"/>
          <w:sz w:val="32"/>
          <w:szCs w:val="32"/>
        </w:rPr>
        <w:t>项目效益情况</w:t>
      </w:r>
    </w:p>
    <w:p w14:paraId="127EDD85">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项目效益类指标由2个二级指标和3个三级指标构成，权重分40分，实际得分40分。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1.经济效益完成情况分析</w:t>
      </w:r>
      <w:r>
        <w:cr/>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无此类指标。</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2.社会效益完成情况分析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保障干休所日常运转:预期指标值为有效保障，实际完成值为有效保障,指标完成率为100%。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保障公共设施正常运行:预期指标值为有效保障，实际完成值为有效保障,指标完成率为100%。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3.生态效益完成情况分析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无此类指标。</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4.可持续影响完成情况分析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无此类指标。</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5.满意度指标完成情况分析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社会公众满意度（%）:预期指标值为≥90%，实际完成值为=95%,指标完成率为100%。</w:t>
      </w:r>
    </w:p>
    <w:p w14:paraId="0F44561B">
      <w:pPr>
        <w:spacing w:line="540" w:lineRule="exact"/>
        <w:ind w:firstLine="640"/>
        <w:rPr>
          <w:rStyle w:val="19"/>
          <w:rFonts w:hint="eastAsia" w:ascii="仿宋_GB2312" w:hAnsi="仿宋_GB2312" w:eastAsia="仿宋_GB2312" w:cs="仿宋_GB2312"/>
          <w:b w:val="0"/>
          <w:spacing w:val="-4"/>
          <w:sz w:val="32"/>
          <w:szCs w:val="32"/>
        </w:rPr>
      </w:pPr>
      <w:r>
        <w:rPr>
          <w:rStyle w:val="19"/>
          <w:rFonts w:hint="eastAsia" w:ascii="方正楷体_GB2312" w:hAnsi="方正楷体_GB2312" w:eastAsia="方正楷体_GB2312" w:cs="方正楷体_GB2312"/>
          <w:b/>
          <w:bCs/>
          <w:spacing w:val="-4"/>
          <w:sz w:val="32"/>
          <w:szCs w:val="32"/>
        </w:rPr>
        <w:t>五、预算执行进度与绩效指标偏差</w:t>
      </w:r>
    </w:p>
    <w:p w14:paraId="4807DC01">
      <w:pPr>
        <w:spacing w:line="540" w:lineRule="exact"/>
        <w:ind w:firstLine="567"/>
        <w:rPr>
          <w:rStyle w:val="19"/>
          <w:rFonts w:hint="eastAsia" w:ascii="仿宋_GB2312" w:hAnsi="仿宋_GB2312" w:eastAsia="仿宋_GB2312" w:cs="仿宋_GB2312"/>
          <w:spacing w:val="-4"/>
          <w:sz w:val="32"/>
          <w:szCs w:val="32"/>
        </w:rPr>
      </w:pPr>
      <w:r>
        <w:rPr>
          <w:rStyle w:val="19"/>
          <w:rFonts w:hint="eastAsia" w:ascii="仿宋_GB2312" w:hAnsi="仿宋_GB2312" w:eastAsia="仿宋_GB2312" w:cs="仿宋_GB2312"/>
          <w:b w:val="0"/>
          <w:bCs w:val="0"/>
          <w:spacing w:val="-4"/>
          <w:sz w:val="32"/>
          <w:szCs w:val="32"/>
        </w:rPr>
        <w:t>本项目年初预算资金总额为39.57万元，全年预算数为39.57万元，全年执行数为39.57万元，预算执行率为100%。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本项目共设置三级指标数量20个，满分指标数量20个，扣分指标数量0个，经分析计算所有三级指标完成率得出，本项目总体完成率为100%。</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综上所述本项目预算执行率与总体完成率之间的偏差为0%。</w:t>
      </w:r>
    </w:p>
    <w:p w14:paraId="491FFC48">
      <w:pPr>
        <w:spacing w:line="540" w:lineRule="exact"/>
        <w:ind w:firstLine="640"/>
        <w:rPr>
          <w:rStyle w:val="19"/>
          <w:rFonts w:hint="eastAsia" w:ascii="方正楷体_GB2312" w:hAnsi="方正楷体_GB2312" w:eastAsia="方正楷体_GB2312" w:cs="方正楷体_GB2312"/>
          <w:b/>
          <w:bCs w:val="0"/>
          <w:spacing w:val="-4"/>
          <w:sz w:val="32"/>
          <w:szCs w:val="32"/>
        </w:rPr>
      </w:pPr>
      <w:r>
        <w:rPr>
          <w:rStyle w:val="19"/>
          <w:rFonts w:hint="eastAsia" w:ascii="方正楷体_GB2312" w:hAnsi="方正楷体_GB2312" w:eastAsia="方正楷体_GB2312" w:cs="方正楷体_GB2312"/>
          <w:b/>
          <w:bCs w:val="0"/>
          <w:spacing w:val="-4"/>
          <w:sz w:val="32"/>
          <w:szCs w:val="32"/>
        </w:rPr>
        <w:t>六、主要经验及做法、存在的问题及原因分析</w:t>
      </w:r>
    </w:p>
    <w:p w14:paraId="450962CC">
      <w:pPr>
        <w:spacing w:line="540" w:lineRule="exact"/>
        <w:ind w:firstLine="567"/>
        <w:rPr>
          <w:rFonts w:hint="eastAsia" w:ascii="仿宋_GB2312" w:hAnsi="仿宋_GB2312" w:eastAsia="仿宋_GB2312" w:cs="仿宋_GB2312"/>
          <w:spacing w:val="-4"/>
          <w:sz w:val="32"/>
          <w:szCs w:val="32"/>
        </w:rPr>
      </w:pPr>
      <w:r>
        <w:rPr>
          <w:rStyle w:val="19"/>
          <w:rFonts w:hint="eastAsia" w:ascii="方正楷体_GB2312" w:hAnsi="方正楷体_GB2312" w:eastAsia="方正楷体_GB2312" w:cs="方正楷体_GB2312"/>
          <w:b/>
          <w:bCs w:val="0"/>
          <w:spacing w:val="-4"/>
          <w:sz w:val="32"/>
          <w:szCs w:val="32"/>
        </w:rPr>
        <w:t>（一）主要经验及做法</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1．不断完善各项预算管理制度，</w:t>
      </w:r>
      <w:r>
        <w:rPr>
          <w:rStyle w:val="19"/>
          <w:rFonts w:hint="eastAsia" w:ascii="仿宋_GB2312" w:hAnsi="仿宋_GB2312" w:eastAsia="仿宋_GB2312" w:cs="仿宋_GB2312"/>
          <w:b w:val="0"/>
          <w:bCs w:val="0"/>
          <w:spacing w:val="-4"/>
          <w:sz w:val="32"/>
          <w:szCs w:val="32"/>
        </w:rPr>
        <w:t>根据新形势和新要求，结合不断出台的各项制度，制定相应的预算管理制度。强化预算管理，事前必编预算，控制经费使用，使用必问绩效，将绩效管理贯穿于预算编制、执行及决算等环节。</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lang w:val="en-US" w:eastAsia="zh-CN"/>
        </w:rPr>
        <w:t>2．加强宣传，</w:t>
      </w:r>
      <w:r>
        <w:rPr>
          <w:rStyle w:val="19"/>
          <w:rFonts w:hint="eastAsia" w:ascii="仿宋_GB2312" w:hAnsi="仿宋_GB2312" w:eastAsia="仿宋_GB2312" w:cs="仿宋_GB2312"/>
          <w:b w:val="0"/>
          <w:bCs w:val="0"/>
          <w:spacing w:val="-4"/>
          <w:sz w:val="32"/>
          <w:szCs w:val="32"/>
        </w:rPr>
        <w:t>加强对各项制度的执行力度，杜绝有令不行、有禁不止的情况发生。</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（二）存在的问题及原因分析</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一是</w:t>
      </w:r>
      <w:r>
        <w:rPr>
          <w:rStyle w:val="19"/>
          <w:rFonts w:hint="eastAsia" w:ascii="仿宋_GB2312" w:hAnsi="仿宋_GB2312" w:eastAsia="仿宋_GB2312" w:cs="仿宋_GB2312"/>
          <w:b w:val="0"/>
          <w:bCs w:val="0"/>
          <w:spacing w:val="-4"/>
          <w:sz w:val="32"/>
          <w:szCs w:val="32"/>
        </w:rPr>
        <w:t>对各项指标和指标值要进一步优化、完善，主要在细化、量化上改进。</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二是</w:t>
      </w:r>
      <w:r>
        <w:rPr>
          <w:rStyle w:val="19"/>
          <w:rFonts w:hint="eastAsia" w:ascii="仿宋_GB2312" w:hAnsi="仿宋_GB2312" w:eastAsia="仿宋_GB2312" w:cs="仿宋_GB2312"/>
          <w:b w:val="0"/>
          <w:bCs w:val="0"/>
          <w:spacing w:val="-4"/>
          <w:sz w:val="32"/>
          <w:szCs w:val="32"/>
        </w:rPr>
        <w:t>自评价工作还存在自我审定的局限性，会影响评价质量，容易造成问题的疏漏，在客观性和公正性上说服力不强。</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三是</w:t>
      </w:r>
      <w:r>
        <w:rPr>
          <w:rStyle w:val="19"/>
          <w:rFonts w:hint="eastAsia" w:ascii="仿宋_GB2312" w:hAnsi="仿宋_GB2312" w:eastAsia="仿宋_GB2312" w:cs="仿宋_GB2312"/>
          <w:b w:val="0"/>
          <w:bCs w:val="0"/>
          <w:spacing w:val="-4"/>
          <w:sz w:val="32"/>
          <w:szCs w:val="32"/>
        </w:rPr>
        <w:t>缺少带着问题去评价的意识。</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bCs/>
          <w:spacing w:val="-4"/>
          <w:sz w:val="32"/>
          <w:szCs w:val="32"/>
        </w:rPr>
        <w:t>四是</w:t>
      </w:r>
      <w:r>
        <w:rPr>
          <w:rStyle w:val="19"/>
          <w:rFonts w:hint="eastAsia" w:ascii="仿宋_GB2312" w:hAnsi="仿宋_GB2312" w:eastAsia="仿宋_GB2312" w:cs="仿宋_GB2312"/>
          <w:b w:val="0"/>
          <w:bCs w:val="0"/>
          <w:spacing w:val="-4"/>
          <w:sz w:val="32"/>
          <w:szCs w:val="32"/>
        </w:rPr>
        <w:t>现场评价的工作量少，后续效益评价具体措施和方法较少。</w:t>
      </w:r>
    </w:p>
    <w:p w14:paraId="3EE7B393">
      <w:pPr>
        <w:spacing w:line="540" w:lineRule="exact"/>
        <w:ind w:firstLine="640"/>
        <w:rPr>
          <w:rStyle w:val="19"/>
          <w:rFonts w:hint="eastAsia" w:ascii="方正楷体_GB2312" w:hAnsi="方正楷体_GB2312" w:eastAsia="方正楷体_GB2312" w:cs="方正楷体_GB2312"/>
          <w:b/>
          <w:bCs w:val="0"/>
          <w:spacing w:val="-4"/>
          <w:sz w:val="32"/>
          <w:szCs w:val="32"/>
        </w:rPr>
      </w:pPr>
      <w:r>
        <w:rPr>
          <w:rStyle w:val="19"/>
          <w:rFonts w:hint="eastAsia" w:ascii="方正楷体_GB2312" w:hAnsi="方正楷体_GB2312" w:eastAsia="方正楷体_GB2312" w:cs="方正楷体_GB2312"/>
          <w:b/>
          <w:bCs w:val="0"/>
          <w:spacing w:val="-4"/>
          <w:sz w:val="32"/>
          <w:szCs w:val="32"/>
          <w:lang w:val="en-US" w:eastAsia="zh-CN"/>
        </w:rPr>
        <w:t>七</w:t>
      </w:r>
      <w:r>
        <w:rPr>
          <w:rStyle w:val="19"/>
          <w:rFonts w:hint="eastAsia" w:ascii="方正楷体_GB2312" w:hAnsi="方正楷体_GB2312" w:eastAsia="方正楷体_GB2312" w:cs="方正楷体_GB2312"/>
          <w:b/>
          <w:bCs w:val="0"/>
          <w:spacing w:val="-4"/>
          <w:sz w:val="32"/>
          <w:szCs w:val="32"/>
        </w:rPr>
        <w:t>、有关建议</w:t>
      </w:r>
    </w:p>
    <w:p w14:paraId="15A0E988">
      <w:pPr>
        <w:spacing w:line="540" w:lineRule="exact"/>
        <w:ind w:firstLine="627" w:firstLineChars="200"/>
        <w:rPr>
          <w:rStyle w:val="19"/>
          <w:rFonts w:hint="eastAsia" w:ascii="仿宋_GB2312" w:hAnsi="仿宋_GB2312" w:eastAsia="仿宋_GB2312" w:cs="仿宋_GB2312"/>
          <w:spacing w:val="-4"/>
          <w:sz w:val="32"/>
          <w:szCs w:val="32"/>
        </w:rPr>
      </w:pPr>
      <w:r>
        <w:rPr>
          <w:rStyle w:val="19"/>
          <w:rFonts w:hint="eastAsia" w:ascii="方正楷体_GB2312" w:hAnsi="方正楷体_GB2312" w:eastAsia="方正楷体_GB2312" w:cs="方正楷体_GB2312"/>
          <w:b/>
          <w:bCs/>
          <w:spacing w:val="-4"/>
          <w:sz w:val="32"/>
          <w:szCs w:val="32"/>
        </w:rPr>
        <w:t>（一）建议充分落实绩效目标管理政策要求</w:t>
      </w:r>
      <w:r>
        <w:rPr>
          <w:rStyle w:val="19"/>
          <w:rFonts w:hint="eastAsia" w:ascii="仿宋_GB2312" w:hAnsi="仿宋_GB2312" w:eastAsia="仿宋_GB2312" w:cs="仿宋_GB2312"/>
          <w:b w:val="0"/>
          <w:bCs w:val="0"/>
          <w:spacing w:val="-4"/>
          <w:sz w:val="32"/>
          <w:szCs w:val="32"/>
        </w:rPr>
        <w:t>，提升绩效目标与项目实施内容的匹配度：</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（二）建议项目实施单位单位严格落实</w:t>
      </w:r>
      <w:r>
        <w:rPr>
          <w:rStyle w:val="19"/>
          <w:rFonts w:hint="eastAsia" w:ascii="仿宋_GB2312" w:hAnsi="仿宋_GB2312" w:eastAsia="仿宋_GB2312" w:cs="仿宋_GB2312"/>
          <w:b w:val="0"/>
          <w:bCs w:val="0"/>
          <w:spacing w:val="-4"/>
          <w:sz w:val="32"/>
          <w:szCs w:val="32"/>
        </w:rPr>
        <w:t>《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val="0"/>
          <w:spacing w:val="-4"/>
          <w:sz w:val="32"/>
          <w:szCs w:val="32"/>
          <w:lang w:val="en-US" w:eastAsia="zh-CN"/>
        </w:rPr>
        <w:t>（三）建议项目实施单位通过组织行业专家团队</w:t>
      </w:r>
      <w:r>
        <w:rPr>
          <w:rStyle w:val="19"/>
          <w:rFonts w:hint="eastAsia" w:ascii="仿宋_GB2312" w:hAnsi="仿宋_GB2312" w:eastAsia="仿宋_GB2312" w:cs="仿宋_GB2312"/>
          <w:b w:val="0"/>
          <w:bCs w:val="0"/>
          <w:spacing w:val="-4"/>
          <w:sz w:val="32"/>
          <w:szCs w:val="32"/>
        </w:rPr>
        <w:t>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val="0"/>
          <w:spacing w:val="-4"/>
          <w:sz w:val="32"/>
          <w:szCs w:val="32"/>
          <w:lang w:val="en-US" w:eastAsia="zh-CN"/>
        </w:rPr>
        <w:t>（四）建议项目实施单位做好项目绩效跟踪监控工作，</w:t>
      </w:r>
      <w:r>
        <w:rPr>
          <w:rStyle w:val="19"/>
          <w:rFonts w:hint="eastAsia" w:ascii="仿宋_GB2312" w:hAnsi="仿宋_GB2312" w:eastAsia="仿宋_GB2312" w:cs="仿宋_GB2312"/>
          <w:b w:val="0"/>
          <w:bCs w:val="0"/>
          <w:spacing w:val="-4"/>
          <w:sz w:val="32"/>
          <w:szCs w:val="32"/>
        </w:rPr>
        <w:t>对实际开展工作与预期目标值产生较大偏差情况，应及时做好偏差原因分析和纠偏工作，不断提升绩效目标与项目实际工作的匹配度。</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val="0"/>
          <w:spacing w:val="-4"/>
          <w:sz w:val="32"/>
          <w:szCs w:val="32"/>
          <w:lang w:val="en-US" w:eastAsia="zh-CN"/>
        </w:rPr>
        <w:t>（五）建议加强预算资金管理，</w:t>
      </w:r>
      <w:r>
        <w:rPr>
          <w:rStyle w:val="19"/>
          <w:rFonts w:hint="eastAsia" w:ascii="仿宋_GB2312" w:hAnsi="仿宋_GB2312" w:eastAsia="仿宋_GB2312" w:cs="仿宋_GB2312"/>
          <w:b w:val="0"/>
          <w:bCs w:val="0"/>
          <w:spacing w:val="-4"/>
          <w:sz w:val="32"/>
          <w:szCs w:val="32"/>
        </w:rPr>
        <w:t>严格落实项目申报、专家评审、确定项目后进行资金分配与资金拨付，规范资金拨付流程。</w:t>
      </w:r>
    </w:p>
    <w:p w14:paraId="359A0022">
      <w:pPr>
        <w:spacing w:line="540" w:lineRule="exact"/>
        <w:ind w:firstLine="640"/>
        <w:rPr>
          <w:rStyle w:val="19"/>
          <w:rFonts w:hint="eastAsia" w:ascii="方正楷体_GB2312" w:hAnsi="方正楷体_GB2312" w:eastAsia="方正楷体_GB2312" w:cs="方正楷体_GB2312"/>
          <w:b/>
          <w:bCs w:val="0"/>
          <w:spacing w:val="-4"/>
          <w:sz w:val="32"/>
          <w:szCs w:val="32"/>
        </w:rPr>
      </w:pPr>
      <w:r>
        <w:rPr>
          <w:rStyle w:val="19"/>
          <w:rFonts w:hint="eastAsia" w:ascii="方正楷体_GB2312" w:hAnsi="方正楷体_GB2312" w:eastAsia="方正楷体_GB2312" w:cs="方正楷体_GB2312"/>
          <w:b/>
          <w:bCs w:val="0"/>
          <w:spacing w:val="-4"/>
          <w:sz w:val="32"/>
          <w:szCs w:val="32"/>
          <w:lang w:val="en-US" w:eastAsia="zh-CN"/>
        </w:rPr>
        <w:t>八</w:t>
      </w:r>
      <w:r>
        <w:rPr>
          <w:rStyle w:val="19"/>
          <w:rFonts w:hint="eastAsia" w:ascii="方正楷体_GB2312" w:hAnsi="方正楷体_GB2312" w:eastAsia="方正楷体_GB2312" w:cs="方正楷体_GB2312"/>
          <w:b/>
          <w:bCs w:val="0"/>
          <w:spacing w:val="-4"/>
          <w:sz w:val="32"/>
          <w:szCs w:val="32"/>
        </w:rPr>
        <w:t>、其他需要说明的问题</w:t>
      </w:r>
    </w:p>
    <w:p w14:paraId="709104EF">
      <w:pPr>
        <w:spacing w:line="540" w:lineRule="exact"/>
        <w:ind w:firstLine="627" w:firstLineChars="200"/>
        <w:rPr>
          <w:rStyle w:val="19"/>
          <w:rFonts w:hint="eastAsia" w:ascii="仿宋_GB2312" w:hAnsi="仿宋_GB2312" w:eastAsia="仿宋_GB2312" w:cs="仿宋_GB2312"/>
          <w:b w:val="0"/>
          <w:spacing w:val="-4"/>
          <w:sz w:val="32"/>
          <w:szCs w:val="32"/>
        </w:rPr>
      </w:pPr>
      <w:r>
        <w:rPr>
          <w:rStyle w:val="19"/>
          <w:rFonts w:hint="eastAsia" w:ascii="方正楷体_GB2312" w:hAnsi="方正楷体_GB2312" w:eastAsia="方正楷体_GB2312" w:cs="方正楷体_GB2312"/>
          <w:b/>
          <w:bCs w:val="0"/>
          <w:spacing w:val="-4"/>
          <w:sz w:val="32"/>
          <w:szCs w:val="32"/>
        </w:rPr>
        <w:t>（一）本项目部分间接产生的效</w:t>
      </w:r>
      <w:bookmarkStart w:id="0" w:name="_GoBack"/>
      <w:bookmarkEnd w:id="0"/>
      <w:r>
        <w:rPr>
          <w:rStyle w:val="19"/>
          <w:rFonts w:hint="eastAsia" w:ascii="方正楷体_GB2312" w:hAnsi="方正楷体_GB2312" w:eastAsia="方正楷体_GB2312" w:cs="方正楷体_GB2312"/>
          <w:b/>
          <w:bCs w:val="0"/>
          <w:spacing w:val="-4"/>
          <w:sz w:val="32"/>
          <w:szCs w:val="32"/>
        </w:rPr>
        <w:t>果</w:t>
      </w:r>
      <w:r>
        <w:rPr>
          <w:rStyle w:val="19"/>
          <w:rFonts w:hint="eastAsia" w:ascii="仿宋_GB2312" w:hAnsi="仿宋_GB2312" w:eastAsia="仿宋_GB2312" w:cs="仿宋_GB2312"/>
          <w:b w:val="0"/>
          <w:bCs w:val="0"/>
          <w:spacing w:val="-4"/>
          <w:sz w:val="32"/>
          <w:szCs w:val="32"/>
        </w:rPr>
        <w:t>无法准确在短期内衡量，因此很难认定项目产生的全部效果。通过指标来反映绩效，指标的科学性和全面性需要不断地完善和研究。</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val="0"/>
          <w:spacing w:val="-4"/>
          <w:sz w:val="32"/>
          <w:szCs w:val="32"/>
          <w:lang w:val="en-US" w:eastAsia="zh-CN"/>
        </w:rPr>
        <w:t>（</w:t>
      </w:r>
      <w:r>
        <w:rPr>
          <w:rStyle w:val="19"/>
          <w:rFonts w:hint="eastAsia" w:ascii="方正楷体_GB2312" w:hAnsi="方正楷体_GB2312" w:eastAsia="方正楷体_GB2312" w:cs="方正楷体_GB2312"/>
          <w:b/>
          <w:bCs w:val="0"/>
          <w:spacing w:val="-4"/>
          <w:sz w:val="32"/>
          <w:szCs w:val="32"/>
        </w:rPr>
        <w:t>二）评价结果作为安排政府预算</w:t>
      </w:r>
      <w:r>
        <w:rPr>
          <w:rStyle w:val="19"/>
          <w:rFonts w:hint="eastAsia" w:ascii="仿宋_GB2312" w:hAnsi="仿宋_GB2312" w:eastAsia="仿宋_GB2312" w:cs="仿宋_GB2312"/>
          <w:b w:val="0"/>
          <w:bCs w:val="0"/>
          <w:spacing w:val="-4"/>
          <w:sz w:val="32"/>
          <w:szCs w:val="32"/>
        </w:rPr>
        <w:t>、完善政策和改进管理的重要依据。原则上，对评价等级为优、良的，根据情况予以支持；对评价等级为中、差的，要完善政策、改进管理，根据情况核减预算。</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（三）评价结果分别编入政府决算和部门预算</w:t>
      </w:r>
      <w:r>
        <w:rPr>
          <w:rStyle w:val="19"/>
          <w:rFonts w:hint="eastAsia" w:ascii="仿宋_GB2312" w:hAnsi="仿宋_GB2312" w:eastAsia="仿宋_GB2312" w:cs="仿宋_GB2312"/>
          <w:b w:val="0"/>
          <w:bCs w:val="0"/>
          <w:spacing w:val="-4"/>
          <w:sz w:val="32"/>
          <w:szCs w:val="32"/>
        </w:rPr>
        <w:t>，报送本级人民代表大会常务委员会，并依法予以公开。</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（四）对使用财政资金严重低效无效并造成重大损失的责任人，要按照相关规定追责问责</w:t>
      </w:r>
      <w:r>
        <w:rPr>
          <w:rStyle w:val="19"/>
          <w:rFonts w:hint="eastAsia" w:ascii="方正楷体_GB2312" w:hAnsi="方正楷体_GB2312" w:eastAsia="方正楷体_GB2312" w:cs="方正楷体_GB2312"/>
          <w:b/>
          <w:bCs/>
          <w:spacing w:val="-4"/>
          <w:sz w:val="32"/>
          <w:szCs w:val="32"/>
          <w:lang w:val="en-US" w:eastAsia="zh-CN"/>
        </w:rPr>
        <w:t>,</w:t>
      </w:r>
      <w:r>
        <w:rPr>
          <w:rStyle w:val="19"/>
          <w:rFonts w:hint="eastAsia" w:ascii="仿宋_GB2312" w:hAnsi="仿宋_GB2312" w:eastAsia="仿宋_GB2312" w:cs="仿宋_GB2312"/>
          <w:b w:val="0"/>
          <w:bCs w:val="0"/>
          <w:spacing w:val="-4"/>
          <w:sz w:val="32"/>
          <w:szCs w:val="32"/>
        </w:rPr>
        <w:t>对绩效评价过程中发现的资金使用单位和个人的财政违法行为，依照《中华人民共和国预算法》《财政违法行为处罚处分条例》等有关规定追究责任，发现违纪违法问题线索的，应当及时移送纪检监察机关。</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方正楷体_GB2312" w:hAnsi="方正楷体_GB2312" w:eastAsia="方正楷体_GB2312" w:cs="方正楷体_GB2312"/>
          <w:b/>
          <w:bCs/>
          <w:spacing w:val="-4"/>
          <w:sz w:val="32"/>
          <w:szCs w:val="32"/>
        </w:rPr>
        <w:t>（五）工作人员在绩效评价管理工作中存在违反《项目支出绩效评价管理办法》（财预〔2020〕10号）文件行为的，</w:t>
      </w:r>
      <w:r>
        <w:rPr>
          <w:rStyle w:val="19"/>
          <w:rFonts w:hint="eastAsia" w:ascii="仿宋_GB2312" w:hAnsi="仿宋_GB2312" w:eastAsia="仿宋_GB2312" w:cs="仿宋_GB2312"/>
          <w:b w:val="0"/>
          <w:bCs w:val="0"/>
          <w:spacing w:val="-4"/>
          <w:sz w:val="32"/>
          <w:szCs w:val="32"/>
        </w:rPr>
        <w:t>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55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A6C48E9">
        <w:pPr>
          <w:pStyle w:val="12"/>
          <w:jc w:val="center"/>
        </w:pPr>
        <w:r>
          <w:fldChar w:fldCharType="begin"/>
        </w:r>
        <w:r>
          <w:instrText xml:space="preserve">PAGE   \* MERGEFORMAT</w:instrText>
        </w:r>
        <w:r>
          <w:fldChar w:fldCharType="separate"/>
        </w:r>
        <w:r>
          <w:rPr>
            <w:lang w:val="zh-CN"/>
          </w:rPr>
          <w:t>1</w:t>
        </w:r>
        <w:r>
          <w:fldChar w:fldCharType="end"/>
        </w:r>
      </w:p>
    </w:sdtContent>
  </w:sdt>
  <w:p w14:paraId="529AB01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328C1"/>
    <w:rsid w:val="0AB6328D"/>
    <w:rsid w:val="0B3621D6"/>
    <w:rsid w:val="0BCB54BB"/>
    <w:rsid w:val="0C0F5923"/>
    <w:rsid w:val="11BB6C8F"/>
    <w:rsid w:val="16B83C47"/>
    <w:rsid w:val="19CA0B03"/>
    <w:rsid w:val="23AB3753"/>
    <w:rsid w:val="2A7C3749"/>
    <w:rsid w:val="46205483"/>
    <w:rsid w:val="47B9793D"/>
    <w:rsid w:val="4A8013A5"/>
    <w:rsid w:val="53FF10CB"/>
    <w:rsid w:val="5F334021"/>
    <w:rsid w:val="6599309E"/>
    <w:rsid w:val="6B5670CE"/>
    <w:rsid w:val="716024DB"/>
    <w:rsid w:val="77D9530E"/>
    <w:rsid w:val="7FF367C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eyJoZGlkIjoiMGU3ODcwNTJlZmVkZjBhZWEwOTVhNTRkYjg3MDMzMjMiLCJ1c2VySWQiOiI0ODAyNzYxOTAifQ==</vt:lpwstr>
  </property>
</Properties>
</file>

<file path=customXml/itemProps1.xml><?xml version="1.0" encoding="utf-8"?>
<ds:datastoreItem xmlns:ds="http://schemas.openxmlformats.org/officeDocument/2006/customXml" ds:itemID="{09f21f6c-5a68-474f-8b37-bfc52562a3dd}">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10778</Words>
  <Characters>11315</Characters>
  <Lines>5</Lines>
  <Paragraphs>1</Paragraphs>
  <TotalTime>7</TotalTime>
  <ScaleCrop>false</ScaleCrop>
  <LinksUpToDate>false</LinksUpToDate>
  <CharactersWithSpaces>11958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2025-09-12T03:28:49Z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C734C92AAAF24344A0E4232D8EB3359B</vt:lpwstr>
  </property>
  <property fmtid="{D5CDD505-2E9C-101B-9397-08002B2CF9AE}" pid="4" name="KSOTemplateDocerSaveRecord">
    <vt:lpwstr>eyJoZGlkIjoiOGQxMjE2ZjA5OWRlNjcxZTlhNzA1NGJhNzI0MDYwNjgifQ==</vt:lpwstr>
  </property>
</Properties>
</file>