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8243F4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新疆和田地区驻乌鲁木齐第二干休所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905B335">
      <w:r>
        <w:br w:type="page"/>
      </w:r>
    </w:p>
    <w:p w14:paraId="452EEC03">
      <w:pPr>
        <w:spacing w:line="640" w:lineRule="exact"/>
        <w:jc w:val="center"/>
        <w:outlineLvl w:val="1"/>
      </w:pPr>
      <w:r>
        <w:rPr>
          <w:rFonts w:ascii="黑体" w:hAnsi="黑体" w:eastAsia="黑体"/>
          <w:sz w:val="32"/>
        </w:rPr>
        <w:t>第一部分 单位概况</w:t>
      </w:r>
    </w:p>
    <w:p w14:paraId="73FAF9ED">
      <w:pPr>
        <w:spacing w:line="640" w:lineRule="exact"/>
        <w:ind w:firstLine="640"/>
        <w:jc w:val="both"/>
        <w:outlineLvl w:val="2"/>
      </w:pPr>
      <w:r>
        <w:rPr>
          <w:rFonts w:ascii="黑体" w:hAnsi="黑体" w:eastAsia="黑体"/>
          <w:sz w:val="32"/>
        </w:rPr>
        <w:t>一、主要职能</w:t>
      </w:r>
    </w:p>
    <w:p w14:paraId="0FCE7A59">
      <w:pPr>
        <w:spacing w:line="580" w:lineRule="exact"/>
        <w:ind w:firstLine="640"/>
        <w:jc w:val="both"/>
      </w:pPr>
      <w:r>
        <w:rPr>
          <w:rFonts w:ascii="仿宋_GB2312" w:hAnsi="仿宋_GB2312" w:eastAsia="仿宋_GB2312"/>
          <w:sz w:val="32"/>
        </w:rPr>
        <w:t>贯彻党和政府对老干部的方针政策，协调老干部与原单位之间的有关问题，落实老干部的“两个待遇”；向上级反映老干部的意见、要求、建议。负责做好住所老干部思想教育及医疗保健，组织健康活动，帮助他们解决看病、吃药、住院中存在的困难。为他们排忧解难，做好后勤服务。办好老干部活动室、阅览室，搞好老干部的文化娱乐活动。有计划</w:t>
      </w:r>
      <w:r>
        <w:rPr>
          <w:rFonts w:hint="eastAsia" w:ascii="仿宋_GB2312" w:hAnsi="仿宋_GB2312" w:eastAsia="仿宋_GB2312"/>
          <w:sz w:val="32"/>
          <w:lang w:eastAsia="zh-CN"/>
        </w:rPr>
        <w:t>地</w:t>
      </w:r>
      <w:r>
        <w:rPr>
          <w:rFonts w:ascii="仿宋_GB2312" w:hAnsi="仿宋_GB2312" w:eastAsia="仿宋_GB2312"/>
          <w:sz w:val="32"/>
        </w:rPr>
        <w:t>组织老干部去外地健康疗养活动。办好老干部及遗属的丧葬事宜，关心遗属生活。组织发挥老干部的余热，为三个文明服务。做好各项工作及净化、美化、绿化工作，管好公共设施，为住所老干部创造良好的生活环境。</w:t>
      </w:r>
    </w:p>
    <w:p w14:paraId="1D26667E">
      <w:pPr>
        <w:spacing w:line="640" w:lineRule="exact"/>
        <w:ind w:firstLine="640"/>
        <w:jc w:val="both"/>
        <w:outlineLvl w:val="2"/>
      </w:pPr>
      <w:r>
        <w:rPr>
          <w:rFonts w:ascii="黑体" w:hAnsi="黑体" w:eastAsia="黑体"/>
          <w:sz w:val="32"/>
        </w:rPr>
        <w:t>二、机构设置及人员情况</w:t>
      </w:r>
    </w:p>
    <w:p w14:paraId="53B5EA87">
      <w:pPr>
        <w:spacing w:line="580" w:lineRule="exact"/>
        <w:ind w:firstLine="640"/>
        <w:jc w:val="both"/>
      </w:pPr>
      <w:r>
        <w:rPr>
          <w:rFonts w:ascii="仿宋_GB2312" w:hAnsi="仿宋_GB2312" w:eastAsia="仿宋_GB2312"/>
          <w:sz w:val="32"/>
        </w:rPr>
        <w:t>新疆和田地区驻乌鲁木齐第二干休所2024年度，实有人数13人，其中：在职人员3人，增加0人；离休人员0人，增加0人；退休人员10人,增加0人。</w:t>
      </w:r>
    </w:p>
    <w:p w14:paraId="2F7B39D2">
      <w:pPr>
        <w:spacing w:line="580" w:lineRule="exact"/>
        <w:ind w:firstLine="640"/>
        <w:jc w:val="both"/>
      </w:pPr>
      <w:r>
        <w:rPr>
          <w:rFonts w:ascii="仿宋_GB2312" w:hAnsi="仿宋_GB2312" w:eastAsia="仿宋_GB2312"/>
          <w:sz w:val="32"/>
        </w:rPr>
        <w:t>新疆和田地区驻乌鲁木齐第二干休所无下属预算单位，下设3个科室，分别是：所长室、财务室、总务室。</w:t>
      </w:r>
    </w:p>
    <w:p w14:paraId="150C6A12">
      <w:r>
        <w:br w:type="page"/>
      </w:r>
    </w:p>
    <w:p w14:paraId="63C06D57">
      <w:pPr>
        <w:spacing w:line="240" w:lineRule="auto"/>
        <w:jc w:val="center"/>
        <w:outlineLvl w:val="1"/>
      </w:pPr>
      <w:r>
        <w:rPr>
          <w:rFonts w:ascii="黑体" w:hAnsi="黑体" w:eastAsia="黑体"/>
          <w:sz w:val="32"/>
        </w:rPr>
        <w:t>第二部分 部门决算情况说明</w:t>
      </w:r>
    </w:p>
    <w:p w14:paraId="0054F8D0">
      <w:pPr>
        <w:spacing w:line="640" w:lineRule="exact"/>
        <w:ind w:firstLine="640"/>
        <w:jc w:val="both"/>
        <w:outlineLvl w:val="2"/>
      </w:pPr>
      <w:r>
        <w:rPr>
          <w:rFonts w:ascii="黑体" w:hAnsi="黑体" w:eastAsia="黑体"/>
          <w:sz w:val="32"/>
        </w:rPr>
        <w:t>一、收入支出决算总体情况说明</w:t>
      </w:r>
    </w:p>
    <w:p w14:paraId="6EE5E337">
      <w:pPr>
        <w:spacing w:line="580" w:lineRule="exact"/>
        <w:ind w:firstLine="640"/>
        <w:jc w:val="both"/>
      </w:pPr>
      <w:r>
        <w:rPr>
          <w:rFonts w:ascii="仿宋_GB2312" w:hAnsi="仿宋_GB2312" w:eastAsia="仿宋_GB2312"/>
          <w:b/>
          <w:sz w:val="32"/>
        </w:rPr>
        <w:t>2024年度收入总计116.22万元，</w:t>
      </w:r>
      <w:r>
        <w:rPr>
          <w:rFonts w:ascii="仿宋_GB2312" w:hAnsi="仿宋_GB2312" w:eastAsia="仿宋_GB2312"/>
          <w:b w:val="0"/>
          <w:sz w:val="32"/>
        </w:rPr>
        <w:t>其中：本年收入合计116.22万元，使用非财政拨款结余（含专用结余）0.00万元，年初结转和结余0.00万元。</w:t>
      </w:r>
    </w:p>
    <w:p w14:paraId="7520599D">
      <w:pPr>
        <w:spacing w:line="580" w:lineRule="exact"/>
        <w:ind w:firstLine="640"/>
        <w:jc w:val="both"/>
      </w:pPr>
      <w:r>
        <w:rPr>
          <w:rFonts w:ascii="仿宋_GB2312" w:hAnsi="仿宋_GB2312" w:eastAsia="仿宋_GB2312"/>
          <w:b/>
          <w:sz w:val="32"/>
        </w:rPr>
        <w:t>2024年度支出总计116.22万元，</w:t>
      </w:r>
      <w:r>
        <w:rPr>
          <w:rFonts w:ascii="仿宋_GB2312" w:hAnsi="仿宋_GB2312" w:eastAsia="仿宋_GB2312"/>
          <w:b w:val="0"/>
          <w:sz w:val="32"/>
        </w:rPr>
        <w:t>其中：本年支出合计108.57万元，结余分配0.00万元，年末结转和结余7.65万元。</w:t>
      </w:r>
    </w:p>
    <w:p w14:paraId="6A3C052C">
      <w:pPr>
        <w:spacing w:line="580" w:lineRule="exact"/>
        <w:ind w:firstLine="640"/>
        <w:jc w:val="both"/>
      </w:pPr>
      <w:r>
        <w:rPr>
          <w:rFonts w:ascii="仿宋_GB2312" w:hAnsi="仿宋_GB2312" w:eastAsia="仿宋_GB2312"/>
          <w:b w:val="0"/>
          <w:sz w:val="32"/>
        </w:rPr>
        <w:t>收入支出总体与上年相比，减少28.79万元，下降19.85%，主要原因是：</w:t>
      </w:r>
      <w:r>
        <w:rPr>
          <w:rFonts w:hint="eastAsia" w:ascii="仿宋_GB2312" w:hAnsi="仿宋_GB2312" w:eastAsia="仿宋_GB2312"/>
          <w:b w:val="0"/>
          <w:sz w:val="32"/>
          <w:lang w:val="en-US" w:eastAsia="zh-CN"/>
        </w:rPr>
        <w:t>2</w:t>
      </w:r>
      <w:r>
        <w:rPr>
          <w:rFonts w:ascii="仿宋_GB2312" w:hAnsi="仿宋_GB2312" w:eastAsia="仿宋_GB2312"/>
          <w:b w:val="0"/>
          <w:sz w:val="32"/>
        </w:rPr>
        <w:t>023年6月1名在职人员退休，</w:t>
      </w:r>
      <w:r>
        <w:rPr>
          <w:rFonts w:hint="eastAsia" w:ascii="仿宋_GB2312" w:hAnsi="仿宋_GB2312" w:eastAsia="仿宋_GB2312"/>
          <w:b w:val="0"/>
          <w:sz w:val="32"/>
          <w:lang w:val="en-US" w:eastAsia="zh-CN"/>
        </w:rPr>
        <w:t>本年较上年减少该人员1-6月工资及公用经费</w:t>
      </w:r>
      <w:r>
        <w:rPr>
          <w:rFonts w:ascii="仿宋_GB2312" w:hAnsi="仿宋_GB2312" w:eastAsia="仿宋_GB2312"/>
          <w:b w:val="0"/>
          <w:sz w:val="32"/>
        </w:rPr>
        <w:t>。</w:t>
      </w:r>
    </w:p>
    <w:p w14:paraId="450A0DDE">
      <w:pPr>
        <w:spacing w:line="640" w:lineRule="exact"/>
        <w:ind w:firstLine="640"/>
        <w:jc w:val="both"/>
        <w:outlineLvl w:val="2"/>
      </w:pPr>
      <w:r>
        <w:rPr>
          <w:rFonts w:ascii="黑体" w:hAnsi="黑体" w:eastAsia="黑体"/>
          <w:sz w:val="32"/>
        </w:rPr>
        <w:t>二、收入决算情况说明</w:t>
      </w:r>
    </w:p>
    <w:p w14:paraId="197E65FE">
      <w:pPr>
        <w:spacing w:line="580" w:lineRule="exact"/>
        <w:ind w:firstLine="640"/>
        <w:jc w:val="both"/>
      </w:pPr>
      <w:r>
        <w:rPr>
          <w:rFonts w:ascii="仿宋_GB2312" w:hAnsi="仿宋_GB2312" w:eastAsia="仿宋_GB2312"/>
          <w:b/>
          <w:sz w:val="32"/>
        </w:rPr>
        <w:t>本年收入116.22万元，</w:t>
      </w:r>
      <w:r>
        <w:rPr>
          <w:rFonts w:ascii="仿宋_GB2312" w:hAnsi="仿宋_GB2312" w:eastAsia="仿宋_GB2312"/>
          <w:b w:val="0"/>
          <w:sz w:val="32"/>
        </w:rPr>
        <w:t>其中：财政拨款收入114.46万元，占98.49%；上级补助收入0.00万元，占0.00%；事业收入0.00万元，占0.00%；经营收入0.00万元，占0.00%；附属单位上缴收入0.00万元，占0.00%；其他收入1.76万元，占1.51%。</w:t>
      </w:r>
    </w:p>
    <w:p w14:paraId="5362CFE1">
      <w:pPr>
        <w:spacing w:line="640" w:lineRule="exact"/>
        <w:ind w:firstLine="640"/>
        <w:jc w:val="both"/>
        <w:outlineLvl w:val="2"/>
      </w:pPr>
      <w:r>
        <w:rPr>
          <w:rFonts w:ascii="黑体" w:hAnsi="黑体" w:eastAsia="黑体"/>
          <w:sz w:val="32"/>
        </w:rPr>
        <w:t>三、支出决算情况说明</w:t>
      </w:r>
    </w:p>
    <w:p w14:paraId="0CC572DF">
      <w:pPr>
        <w:spacing w:line="580" w:lineRule="exact"/>
        <w:ind w:firstLine="640"/>
        <w:jc w:val="both"/>
      </w:pPr>
      <w:r>
        <w:rPr>
          <w:rFonts w:ascii="仿宋_GB2312" w:hAnsi="仿宋_GB2312" w:eastAsia="仿宋_GB2312"/>
          <w:b/>
          <w:sz w:val="32"/>
        </w:rPr>
        <w:t>本年支出108.57万元，</w:t>
      </w:r>
      <w:r>
        <w:rPr>
          <w:rFonts w:ascii="仿宋_GB2312" w:hAnsi="仿宋_GB2312" w:eastAsia="仿宋_GB2312"/>
          <w:b w:val="0"/>
          <w:sz w:val="32"/>
        </w:rPr>
        <w:t>其中：基本支出103.45万元，占95.28%；项目支出5.12万元，占4.72%；上缴上级支出0.00万元，占0.00%；经营支出0.00万元，占0.00%；对附属单位补助支出0.00万元，占0.00%。</w:t>
      </w:r>
    </w:p>
    <w:p w14:paraId="2D7832D7">
      <w:pPr>
        <w:spacing w:line="640" w:lineRule="exact"/>
        <w:ind w:firstLine="640"/>
        <w:jc w:val="both"/>
        <w:outlineLvl w:val="2"/>
      </w:pPr>
      <w:r>
        <w:rPr>
          <w:rFonts w:ascii="黑体" w:hAnsi="黑体" w:eastAsia="黑体"/>
          <w:sz w:val="32"/>
        </w:rPr>
        <w:t>四、财政拨款收入支出决算总体情况说明</w:t>
      </w:r>
    </w:p>
    <w:p w14:paraId="0EE5F8F9">
      <w:pPr>
        <w:spacing w:line="580" w:lineRule="exact"/>
        <w:ind w:firstLine="640"/>
        <w:jc w:val="both"/>
      </w:pPr>
      <w:r>
        <w:rPr>
          <w:rFonts w:ascii="仿宋_GB2312" w:hAnsi="仿宋_GB2312" w:eastAsia="仿宋_GB2312"/>
          <w:b/>
          <w:sz w:val="32"/>
        </w:rPr>
        <w:t>2024年度财政拨款收入总计114.46万元，</w:t>
      </w:r>
      <w:r>
        <w:rPr>
          <w:rFonts w:ascii="仿宋_GB2312" w:hAnsi="仿宋_GB2312" w:eastAsia="仿宋_GB2312"/>
          <w:b w:val="0"/>
          <w:sz w:val="32"/>
        </w:rPr>
        <w:t>其中：年初财政拨款结转和结余0.00万元，本年财政拨款收入114.46万元。</w:t>
      </w:r>
      <w:r>
        <w:rPr>
          <w:rFonts w:ascii="仿宋_GB2312" w:hAnsi="仿宋_GB2312" w:eastAsia="仿宋_GB2312"/>
          <w:b/>
          <w:sz w:val="32"/>
        </w:rPr>
        <w:t>财政拨款支出总计114.46万元，</w:t>
      </w:r>
      <w:r>
        <w:rPr>
          <w:rFonts w:ascii="仿宋_GB2312" w:hAnsi="仿宋_GB2312" w:eastAsia="仿宋_GB2312"/>
          <w:b w:val="0"/>
          <w:sz w:val="32"/>
        </w:rPr>
        <w:t>其中：年末财政拨款结转和结余5.89万元，本年财政拨款支出108.57万元。</w:t>
      </w:r>
    </w:p>
    <w:p w14:paraId="37D95C1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减少26.34万元，下降18.71%，主要原因是：</w:t>
      </w:r>
      <w:r>
        <w:rPr>
          <w:rFonts w:hint="eastAsia" w:ascii="仿宋_GB2312" w:hAnsi="仿宋_GB2312" w:eastAsia="仿宋_GB2312"/>
          <w:b w:val="0"/>
          <w:sz w:val="32"/>
          <w:lang w:val="en-US" w:eastAsia="zh-CN"/>
        </w:rPr>
        <w:t>2</w:t>
      </w:r>
      <w:r>
        <w:rPr>
          <w:rFonts w:ascii="仿宋_GB2312" w:hAnsi="仿宋_GB2312" w:eastAsia="仿宋_GB2312"/>
          <w:b w:val="0"/>
          <w:sz w:val="32"/>
        </w:rPr>
        <w:t>023年6月1名在职人员退休，</w:t>
      </w:r>
      <w:r>
        <w:rPr>
          <w:rFonts w:hint="eastAsia" w:ascii="仿宋_GB2312" w:hAnsi="仿宋_GB2312" w:eastAsia="仿宋_GB2312"/>
          <w:b w:val="0"/>
          <w:sz w:val="32"/>
          <w:lang w:val="en-US" w:eastAsia="zh-CN"/>
        </w:rPr>
        <w:t>本年较上年减少该人员1-6月工资及公用经费</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年初预算数106.67万元，决算数114.46万元，预决算差异率7.30%，主要原因是：年中追加人员工资、社保、公积金基数调增部分资金，导致预决算存在差异。</w:t>
      </w:r>
    </w:p>
    <w:p w14:paraId="2454FA40">
      <w:pPr>
        <w:spacing w:line="640" w:lineRule="exact"/>
        <w:ind w:firstLine="640"/>
        <w:jc w:val="both"/>
        <w:outlineLvl w:val="2"/>
      </w:pPr>
      <w:r>
        <w:rPr>
          <w:rFonts w:ascii="黑体" w:hAnsi="黑体" w:eastAsia="黑体"/>
          <w:sz w:val="32"/>
        </w:rPr>
        <w:t>五、一般公共预算财政拨款支出决算情况说明</w:t>
      </w:r>
    </w:p>
    <w:p w14:paraId="3E91E78A">
      <w:pPr>
        <w:spacing w:line="640" w:lineRule="exact"/>
        <w:ind w:firstLine="640"/>
        <w:jc w:val="both"/>
        <w:outlineLvl w:val="3"/>
      </w:pPr>
      <w:r>
        <w:rPr>
          <w:rFonts w:ascii="楷体_GB2312" w:hAnsi="楷体_GB2312" w:eastAsia="楷体_GB2312"/>
          <w:b/>
          <w:sz w:val="32"/>
        </w:rPr>
        <w:t>（一）一般公共预算财政拨款支出决算总体情况</w:t>
      </w:r>
    </w:p>
    <w:p w14:paraId="5CC15C0E">
      <w:pPr>
        <w:spacing w:line="580" w:lineRule="exact"/>
        <w:ind w:firstLine="640"/>
        <w:jc w:val="both"/>
      </w:pPr>
      <w:r>
        <w:rPr>
          <w:rFonts w:ascii="仿宋_GB2312" w:hAnsi="仿宋_GB2312" w:eastAsia="仿宋_GB2312"/>
          <w:b/>
          <w:sz w:val="32"/>
        </w:rPr>
        <w:t>2024年度一般公共预算财政拨款支出108.57万元，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减少19.01万元，下降14.90%，主要原因是：</w:t>
      </w:r>
      <w:r>
        <w:rPr>
          <w:rFonts w:hint="eastAsia" w:ascii="仿宋_GB2312" w:hAnsi="仿宋_GB2312" w:eastAsia="仿宋_GB2312"/>
          <w:b w:val="0"/>
          <w:sz w:val="32"/>
          <w:lang w:val="en-US" w:eastAsia="zh-CN"/>
        </w:rPr>
        <w:t>2</w:t>
      </w:r>
      <w:r>
        <w:rPr>
          <w:rFonts w:ascii="仿宋_GB2312" w:hAnsi="仿宋_GB2312" w:eastAsia="仿宋_GB2312"/>
          <w:b w:val="0"/>
          <w:sz w:val="32"/>
        </w:rPr>
        <w:t>023年6月1名在职人员退休，</w:t>
      </w:r>
      <w:r>
        <w:rPr>
          <w:rFonts w:hint="eastAsia" w:ascii="仿宋_GB2312" w:hAnsi="仿宋_GB2312" w:eastAsia="仿宋_GB2312"/>
          <w:b w:val="0"/>
          <w:sz w:val="32"/>
          <w:lang w:val="en-US" w:eastAsia="zh-CN"/>
        </w:rPr>
        <w:t>本年较上年减少该人员1-6月工资及公用经费</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年初预算数106.67万元，决算数108.57万元，预决算差异率1.78%，主要原因是：年中追加人员工资、社保、公积金基数调增部分资金，导致预决算存在差异。</w:t>
      </w:r>
    </w:p>
    <w:p w14:paraId="55AAB88D">
      <w:pPr>
        <w:spacing w:line="640" w:lineRule="exact"/>
        <w:ind w:firstLine="640"/>
        <w:jc w:val="both"/>
        <w:outlineLvl w:val="3"/>
      </w:pPr>
      <w:r>
        <w:rPr>
          <w:rFonts w:ascii="楷体_GB2312" w:hAnsi="楷体_GB2312" w:eastAsia="楷体_GB2312"/>
          <w:b/>
          <w:sz w:val="32"/>
        </w:rPr>
        <w:t>（二）一般公共预算财政拨款支出决算结构情况</w:t>
      </w:r>
    </w:p>
    <w:p w14:paraId="729A4FA7">
      <w:pPr>
        <w:spacing w:line="580" w:lineRule="exact"/>
        <w:ind w:firstLine="640"/>
        <w:jc w:val="both"/>
      </w:pPr>
      <w:r>
        <w:rPr>
          <w:rFonts w:ascii="仿宋_GB2312" w:hAnsi="仿宋_GB2312" w:eastAsia="仿宋_GB2312"/>
          <w:b w:val="0"/>
          <w:sz w:val="32"/>
        </w:rPr>
        <w:t>1.社会保障和就业支出(类)98.02万元,占90.28%。</w:t>
      </w:r>
    </w:p>
    <w:p w14:paraId="7DBB3D61">
      <w:pPr>
        <w:spacing w:line="580" w:lineRule="exact"/>
        <w:ind w:firstLine="640"/>
        <w:jc w:val="both"/>
      </w:pPr>
      <w:r>
        <w:rPr>
          <w:rFonts w:ascii="仿宋_GB2312" w:hAnsi="仿宋_GB2312" w:eastAsia="仿宋_GB2312"/>
          <w:b w:val="0"/>
          <w:sz w:val="32"/>
        </w:rPr>
        <w:t>2.卫生健康支出(类)4.87万元,占4.49%。</w:t>
      </w:r>
    </w:p>
    <w:p w14:paraId="13606DCC">
      <w:pPr>
        <w:spacing w:line="580" w:lineRule="exact"/>
        <w:ind w:firstLine="640"/>
        <w:jc w:val="both"/>
      </w:pPr>
      <w:r>
        <w:rPr>
          <w:rFonts w:ascii="仿宋_GB2312" w:hAnsi="仿宋_GB2312" w:eastAsia="仿宋_GB2312"/>
          <w:b w:val="0"/>
          <w:sz w:val="32"/>
        </w:rPr>
        <w:t>3.住房保障支出(类)5.68万元,占5.23%。</w:t>
      </w:r>
    </w:p>
    <w:p w14:paraId="69799D5A">
      <w:pPr>
        <w:spacing w:line="640" w:lineRule="exact"/>
        <w:ind w:firstLine="640"/>
        <w:jc w:val="both"/>
        <w:outlineLvl w:val="3"/>
      </w:pPr>
      <w:r>
        <w:rPr>
          <w:rFonts w:ascii="楷体_GB2312" w:hAnsi="楷体_GB2312" w:eastAsia="楷体_GB2312"/>
          <w:b/>
          <w:sz w:val="32"/>
        </w:rPr>
        <w:t>（三）一般公共预算财政拨款支出决算具体情况</w:t>
      </w:r>
    </w:p>
    <w:p w14:paraId="42160A43">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14.27万元，比上年决算增加14.27万元，增长100.00%,主要原因是：本年功能科目调整，退休费上年度在主科目列支，本年单独列支，导致经费较上年增加。</w:t>
      </w:r>
    </w:p>
    <w:p w14:paraId="31A47E6C">
      <w:pPr>
        <w:spacing w:line="580" w:lineRule="exact"/>
        <w:ind w:firstLine="640"/>
        <w:jc w:val="both"/>
      </w:pPr>
      <w:r>
        <w:rPr>
          <w:rFonts w:ascii="仿宋_GB2312" w:hAnsi="仿宋_GB2312" w:eastAsia="仿宋_GB2312"/>
          <w:b w:val="0"/>
          <w:sz w:val="32"/>
        </w:rPr>
        <w:t>2.社会保障和就业支出(类)行政事业单位养老支出(款)离退休人员管理机构(项):支出决算数为71.22万元，比上年决算减少33.72万元，下降32.13%,主要原因是：2023年6月1名在职人员退休，</w:t>
      </w:r>
      <w:r>
        <w:rPr>
          <w:rFonts w:hint="eastAsia" w:ascii="仿宋_GB2312" w:hAnsi="仿宋_GB2312" w:eastAsia="仿宋_GB2312"/>
          <w:b w:val="0"/>
          <w:sz w:val="32"/>
          <w:lang w:val="en-US" w:eastAsia="zh-CN"/>
        </w:rPr>
        <w:t>本年较上年减少该人员1-6月工资和</w:t>
      </w:r>
      <w:r>
        <w:rPr>
          <w:rFonts w:ascii="仿宋_GB2312" w:hAnsi="仿宋_GB2312" w:eastAsia="仿宋_GB2312"/>
          <w:b w:val="0"/>
          <w:sz w:val="32"/>
        </w:rPr>
        <w:t>公用经费；本年功能科目调整，退休费、住房公积金、行政单位医疗、公务员医疗补助上年度在此科目列支，本年单独列支，导致经费较上年减少。</w:t>
      </w:r>
    </w:p>
    <w:p w14:paraId="062B609F">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3.社会保障和就业支出(类)行政事业单位养老支出(款)机关事业单位基本养老保险缴费支出(项):支出决算数为7.42万元，比上年决算减少0.07万元，下降0.93%,主要原因是：2023年6月1名在职人员退休，</w:t>
      </w:r>
      <w:r>
        <w:rPr>
          <w:rFonts w:hint="eastAsia" w:ascii="仿宋_GB2312" w:hAnsi="仿宋_GB2312" w:eastAsia="仿宋_GB2312"/>
          <w:b w:val="0"/>
          <w:sz w:val="32"/>
          <w:lang w:val="en-US" w:eastAsia="zh-CN"/>
        </w:rPr>
        <w:t>本年较上年减少1-6月该人员</w:t>
      </w:r>
      <w:r>
        <w:rPr>
          <w:rFonts w:ascii="仿宋_GB2312" w:hAnsi="仿宋_GB2312" w:eastAsia="仿宋_GB2312"/>
          <w:b w:val="0"/>
          <w:sz w:val="32"/>
        </w:rPr>
        <w:t>基本养老保险缴费。</w:t>
      </w:r>
    </w:p>
    <w:p w14:paraId="68C2EB17">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0.00万元，比上年决算减少9.02万元，下降100.00%,主要原因是：本年无新增退休人员，职业年金缴费较上年减少。</w:t>
      </w:r>
    </w:p>
    <w:p w14:paraId="51941903">
      <w:pPr>
        <w:spacing w:line="580" w:lineRule="exact"/>
        <w:ind w:firstLine="640"/>
        <w:jc w:val="both"/>
      </w:pPr>
      <w:r>
        <w:rPr>
          <w:rFonts w:ascii="仿宋_GB2312" w:hAnsi="仿宋_GB2312" w:eastAsia="仿宋_GB2312"/>
          <w:b w:val="0"/>
          <w:sz w:val="32"/>
        </w:rPr>
        <w:t>5.社会保障和就业支出(类)行政事业单位养老支出(款)其他行政事业单位养老支出(项):支出决算数为5.12万元，比上年决算减少1.00万元，下降16.34%,主要原因是：本年</w:t>
      </w:r>
      <w:r>
        <w:rPr>
          <w:rFonts w:hint="eastAsia" w:ascii="仿宋_GB2312" w:hAnsi="仿宋_GB2312" w:eastAsia="仿宋_GB2312"/>
          <w:b w:val="0"/>
          <w:sz w:val="32"/>
          <w:lang w:val="en-US" w:eastAsia="zh-CN"/>
        </w:rPr>
        <w:t>减少运行经费补助</w:t>
      </w:r>
      <w:r>
        <w:rPr>
          <w:rFonts w:ascii="仿宋_GB2312" w:hAnsi="仿宋_GB2312" w:eastAsia="仿宋_GB2312"/>
          <w:b w:val="0"/>
          <w:sz w:val="32"/>
        </w:rPr>
        <w:t>。</w:t>
      </w:r>
    </w:p>
    <w:p w14:paraId="05262E77">
      <w:pPr>
        <w:spacing w:line="580" w:lineRule="exact"/>
        <w:ind w:firstLine="640"/>
        <w:jc w:val="both"/>
      </w:pPr>
      <w:r>
        <w:rPr>
          <w:rFonts w:ascii="仿宋_GB2312" w:hAnsi="仿宋_GB2312" w:eastAsia="仿宋_GB2312"/>
          <w:b w:val="0"/>
          <w:sz w:val="32"/>
        </w:rPr>
        <w:t>6.卫生健康支出(类)行政事业单位医疗(款)行政单位医疗(项):支出决算数为3.01万元，比上年决算增加3.01万元，增长100.00%,主要原因是：本年功能科目调整，行政单位医疗支出上年度在主科目列支，本年单独列支，导致经费较上年增加。</w:t>
      </w:r>
    </w:p>
    <w:p w14:paraId="493B1CEF">
      <w:pPr>
        <w:spacing w:line="580" w:lineRule="exact"/>
        <w:ind w:firstLine="640"/>
        <w:jc w:val="both"/>
      </w:pPr>
      <w:r>
        <w:rPr>
          <w:rFonts w:ascii="仿宋_GB2312" w:hAnsi="仿宋_GB2312" w:eastAsia="仿宋_GB2312"/>
          <w:b w:val="0"/>
          <w:sz w:val="32"/>
        </w:rPr>
        <w:t>7.卫生健康支出(类)行政事业单位医疗(款)公务员医疗补助(项):支出决算数为1.85万元，比上年决算增加1.85万元，增长100.00%,主要原因是：本年功能科目调整，公务员医疗补助上年度在主科目列支，本年单独列支，导致经费较上年增加。</w:t>
      </w:r>
    </w:p>
    <w:p w14:paraId="6BA6A4AF">
      <w:pPr>
        <w:spacing w:line="580" w:lineRule="exact"/>
        <w:ind w:firstLine="640"/>
        <w:jc w:val="both"/>
      </w:pPr>
      <w:r>
        <w:rPr>
          <w:rFonts w:ascii="仿宋_GB2312" w:hAnsi="仿宋_GB2312" w:eastAsia="仿宋_GB2312"/>
          <w:b w:val="0"/>
          <w:sz w:val="32"/>
        </w:rPr>
        <w:t>8.住房保障支出(类)住房改革支出(款)住房公积金(项):支出决算数为5.68万元，比上年决算增加5.68万元，增长100.00%,主要原因是：本年功能科目调整，住房公积金上年度在主科目列支，本年单独列支，导致经费较上年增加。</w:t>
      </w:r>
    </w:p>
    <w:p w14:paraId="2EE732DE">
      <w:pPr>
        <w:spacing w:line="640" w:lineRule="exact"/>
        <w:ind w:firstLine="640"/>
        <w:jc w:val="both"/>
        <w:outlineLvl w:val="2"/>
      </w:pPr>
      <w:r>
        <w:rPr>
          <w:rFonts w:ascii="黑体" w:hAnsi="黑体" w:eastAsia="黑体"/>
          <w:sz w:val="32"/>
        </w:rPr>
        <w:t>六、一般公共预算财政拨款基本支出决算情况说明</w:t>
      </w:r>
    </w:p>
    <w:p w14:paraId="454514B1">
      <w:pPr>
        <w:spacing w:line="580" w:lineRule="exact"/>
        <w:ind w:firstLine="640"/>
        <w:jc w:val="both"/>
      </w:pPr>
      <w:r>
        <w:rPr>
          <w:rFonts w:ascii="仿宋_GB2312" w:hAnsi="仿宋_GB2312" w:eastAsia="仿宋_GB2312"/>
          <w:b w:val="0"/>
          <w:sz w:val="32"/>
        </w:rPr>
        <w:t>2024年度一般公共预算财政拨款基本支出103.45万元，其中：</w:t>
      </w:r>
      <w:r>
        <w:rPr>
          <w:rFonts w:ascii="仿宋_GB2312" w:hAnsi="仿宋_GB2312" w:eastAsia="仿宋_GB2312"/>
          <w:b/>
          <w:sz w:val="32"/>
        </w:rPr>
        <w:t>人员经费95.47万元，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包括：基本工资、津贴补贴、奖金、机关事业单位基本养老保险缴费、职工基本医疗保险缴费、公务员医疗补助缴费、其他社会保障缴费、住房公积金、其他工资福利支出、退休费、奖励金。</w:t>
      </w:r>
    </w:p>
    <w:p w14:paraId="79E0F091">
      <w:pPr>
        <w:spacing w:line="580" w:lineRule="exact"/>
        <w:ind w:firstLine="640"/>
        <w:jc w:val="both"/>
      </w:pPr>
      <w:r>
        <w:rPr>
          <w:rFonts w:ascii="仿宋_GB2312" w:hAnsi="仿宋_GB2312" w:eastAsia="仿宋_GB2312"/>
          <w:b/>
          <w:sz w:val="32"/>
        </w:rPr>
        <w:t>公用经费7.98万元，</w:t>
      </w:r>
      <w:r>
        <w:rPr>
          <w:rFonts w:ascii="仿宋_GB2312" w:hAnsi="仿宋_GB2312" w:eastAsia="仿宋_GB2312"/>
          <w:b w:val="0"/>
          <w:sz w:val="32"/>
        </w:rPr>
        <w:t>包括：办公费、手续费、水费、电费、邮电费、取暖费、工会经费、福利费、公务用车运行维护费。</w:t>
      </w:r>
    </w:p>
    <w:p w14:paraId="524DD583">
      <w:pPr>
        <w:spacing w:line="640" w:lineRule="exact"/>
        <w:ind w:firstLine="640"/>
        <w:jc w:val="both"/>
        <w:outlineLvl w:val="2"/>
      </w:pPr>
      <w:r>
        <w:rPr>
          <w:rFonts w:ascii="黑体" w:hAnsi="黑体" w:eastAsia="黑体"/>
          <w:sz w:val="32"/>
        </w:rPr>
        <w:t>七、政府性基金预算财政拨款收入支出决算情况说明</w:t>
      </w:r>
    </w:p>
    <w:p w14:paraId="671D9D66">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3E3614C">
      <w:pPr>
        <w:spacing w:line="640" w:lineRule="exact"/>
        <w:ind w:firstLine="640"/>
        <w:jc w:val="both"/>
        <w:outlineLvl w:val="2"/>
      </w:pPr>
      <w:r>
        <w:rPr>
          <w:rFonts w:ascii="黑体" w:hAnsi="黑体" w:eastAsia="黑体"/>
          <w:sz w:val="32"/>
        </w:rPr>
        <w:t>八、国有资本经营预算财政拨款收入支出决算情况说明</w:t>
      </w:r>
    </w:p>
    <w:p w14:paraId="73E8E55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E6437DB">
      <w:pPr>
        <w:spacing w:line="640" w:lineRule="exact"/>
        <w:ind w:firstLine="640"/>
        <w:jc w:val="both"/>
        <w:outlineLvl w:val="2"/>
      </w:pPr>
      <w:r>
        <w:rPr>
          <w:rFonts w:ascii="黑体" w:hAnsi="黑体" w:eastAsia="黑体"/>
          <w:sz w:val="32"/>
        </w:rPr>
        <w:t>九、财政拨款“三公”经费支出决算情况说明</w:t>
      </w:r>
    </w:p>
    <w:p w14:paraId="36F42D98">
      <w:pPr>
        <w:spacing w:line="580" w:lineRule="exact"/>
        <w:ind w:firstLine="640"/>
        <w:jc w:val="both"/>
      </w:pPr>
      <w:r>
        <w:rPr>
          <w:rFonts w:ascii="仿宋_GB2312" w:hAnsi="仿宋_GB2312" w:eastAsia="仿宋_GB2312"/>
          <w:b/>
          <w:sz w:val="32"/>
        </w:rPr>
        <w:t>2024年度财政拨款“三公”经费支出0.84万元，</w:t>
      </w:r>
      <w:r>
        <w:rPr>
          <w:rFonts w:ascii="仿宋_GB2312" w:hAnsi="仿宋_GB2312" w:eastAsia="仿宋_GB2312"/>
          <w:b w:val="0"/>
          <w:sz w:val="32"/>
        </w:rPr>
        <w:t>比上年增加0.11万元，增长15.07%，主要原因是：本年增加公务用车保养维修费用，导致公务用车运行维护费较上年增加。其中：因公出国（境）费支出0.00万元，占0.00%，比上年增加0.00万元，增长0.00%，主要原因是：2023年与2024年均未安排因公出国（境）费支出。公务用车购置及运行维护费支出0.84万元，占100.00%，比上年增加0.11万元，增长15.07%，主要原因是：本年增加公务用车保养维修费用，导致公务用车运行维护费较上年增加。公务接待费支出0.00万元，占0.00%，比上年增加0.00万元，增长0.00%，主要原因是：2023年与2024年均未安排公务接待费支出。</w:t>
      </w:r>
    </w:p>
    <w:p w14:paraId="04A7AA3C">
      <w:pPr>
        <w:spacing w:line="580" w:lineRule="exact"/>
        <w:ind w:firstLine="640"/>
        <w:jc w:val="both"/>
      </w:pPr>
      <w:r>
        <w:rPr>
          <w:rFonts w:ascii="仿宋_GB2312" w:hAnsi="仿宋_GB2312" w:eastAsia="仿宋_GB2312"/>
          <w:b/>
          <w:sz w:val="32"/>
        </w:rPr>
        <w:t>具体情况如下：</w:t>
      </w:r>
    </w:p>
    <w:p w14:paraId="5E1E578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00C480C">
      <w:pPr>
        <w:spacing w:line="580" w:lineRule="exact"/>
        <w:ind w:firstLine="640"/>
        <w:jc w:val="both"/>
      </w:pPr>
      <w:r>
        <w:rPr>
          <w:rFonts w:ascii="仿宋_GB2312" w:hAnsi="仿宋_GB2312" w:eastAsia="仿宋_GB2312"/>
          <w:b w:val="0"/>
          <w:sz w:val="32"/>
        </w:rPr>
        <w:t>公务用车购置及运行维护费0.84万元，其中：公务用车购置费0.00万元，公务用车运行维护费0.84万元。公务用车运行维护费开支内容包括车辆燃油费、维修保养费、保险费、审车费。公务用车购置数0辆，公务用车保有量2辆。国有资产占用情况中固定资产车辆2辆，与公务用车保有量差异原因是：本单位固定资产车辆与公务用车保有量一致无差异。</w:t>
      </w:r>
    </w:p>
    <w:p w14:paraId="3E7EB50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5334FC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0.84万元，决算数0.84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0.84万元，决算数0.84万元，预决算差异率0.00%，主要原因是：严格按照预算执行，预决算无差异。公务接待费全年预算数0.00万元，决算数0.00万元，预决算差异率0.00%，主要原因是：本单位无公务接待费。</w:t>
      </w:r>
    </w:p>
    <w:p w14:paraId="1C289F2C">
      <w:pPr>
        <w:spacing w:line="640" w:lineRule="exact"/>
        <w:ind w:firstLine="640"/>
        <w:jc w:val="both"/>
        <w:outlineLvl w:val="2"/>
      </w:pPr>
      <w:r>
        <w:rPr>
          <w:rFonts w:ascii="黑体" w:hAnsi="黑体" w:eastAsia="黑体"/>
          <w:sz w:val="32"/>
        </w:rPr>
        <w:t>十、其他重要事项的情况说明</w:t>
      </w:r>
    </w:p>
    <w:p w14:paraId="65389901">
      <w:pPr>
        <w:spacing w:line="640" w:lineRule="exact"/>
        <w:ind w:firstLine="640"/>
        <w:jc w:val="both"/>
        <w:outlineLvl w:val="3"/>
      </w:pPr>
      <w:r>
        <w:rPr>
          <w:rFonts w:ascii="楷体_GB2312" w:hAnsi="楷体_GB2312" w:eastAsia="楷体_GB2312"/>
          <w:b/>
          <w:sz w:val="32"/>
        </w:rPr>
        <w:t>（一）机关运行经费及公用经费支出情况</w:t>
      </w:r>
    </w:p>
    <w:p w14:paraId="751A888A">
      <w:pPr>
        <w:spacing w:line="580" w:lineRule="exact"/>
        <w:ind w:firstLine="640"/>
        <w:jc w:val="both"/>
      </w:pPr>
      <w:r>
        <w:rPr>
          <w:rFonts w:ascii="仿宋_GB2312" w:hAnsi="仿宋_GB2312" w:eastAsia="仿宋_GB2312"/>
          <w:b w:val="0"/>
          <w:sz w:val="32"/>
        </w:rPr>
        <w:t>2024年度新疆和田地区驻乌鲁木齐第二干休所（行政单位和参照公务员法管理事业单位）机关运行经费支出7.98万元，比上年减少0.17万元，下降2.09%，主要原因是：本年减少差旅费支出，导致公用经费减少。</w:t>
      </w:r>
    </w:p>
    <w:p w14:paraId="3655A4A2">
      <w:pPr>
        <w:spacing w:line="640" w:lineRule="exact"/>
        <w:ind w:firstLine="640"/>
        <w:jc w:val="both"/>
        <w:outlineLvl w:val="3"/>
      </w:pPr>
      <w:r>
        <w:rPr>
          <w:rFonts w:ascii="楷体_GB2312" w:hAnsi="楷体_GB2312" w:eastAsia="楷体_GB2312"/>
          <w:b/>
          <w:sz w:val="32"/>
        </w:rPr>
        <w:t>（二）政府采购情况</w:t>
      </w:r>
    </w:p>
    <w:p w14:paraId="24C5EC85">
      <w:pPr>
        <w:spacing w:line="580" w:lineRule="exact"/>
        <w:ind w:firstLine="640"/>
        <w:jc w:val="both"/>
      </w:pPr>
      <w:r>
        <w:rPr>
          <w:rFonts w:ascii="仿宋_GB2312" w:hAnsi="仿宋_GB2312" w:eastAsia="仿宋_GB2312"/>
          <w:b w:val="0"/>
          <w:sz w:val="32"/>
        </w:rPr>
        <w:t>2024年度政府采购支出总额0.38万元，其中：政府采购货物支出0.00万元、政府采购工程支出0.00万元、政府采购服务支出0.38万元。</w:t>
      </w:r>
    </w:p>
    <w:p w14:paraId="780FAF3A">
      <w:pPr>
        <w:spacing w:line="580" w:lineRule="exact"/>
        <w:ind w:firstLine="640"/>
        <w:jc w:val="both"/>
      </w:pPr>
      <w:r>
        <w:rPr>
          <w:rFonts w:ascii="仿宋_GB2312" w:hAnsi="仿宋_GB2312" w:eastAsia="仿宋_GB2312"/>
          <w:b w:val="0"/>
          <w:sz w:val="32"/>
        </w:rPr>
        <w:t>授予中小企业合同金额0.38万元，占政府采购支出总额的100.00%，其中：授予小微企业合同金额0.38万元，占政府采购支出总额的100.00%。</w:t>
      </w:r>
    </w:p>
    <w:p w14:paraId="51A4626A">
      <w:pPr>
        <w:spacing w:line="640" w:lineRule="exact"/>
        <w:ind w:firstLine="640"/>
        <w:jc w:val="both"/>
        <w:outlineLvl w:val="3"/>
      </w:pPr>
      <w:r>
        <w:rPr>
          <w:rFonts w:ascii="楷体_GB2312" w:hAnsi="楷体_GB2312" w:eastAsia="楷体_GB2312"/>
          <w:b/>
          <w:sz w:val="32"/>
        </w:rPr>
        <w:t>（三）国有资产占用情况说明</w:t>
      </w:r>
    </w:p>
    <w:p w14:paraId="6A934164">
      <w:pPr>
        <w:spacing w:line="580" w:lineRule="exact"/>
        <w:ind w:firstLine="640"/>
        <w:jc w:val="both"/>
      </w:pPr>
      <w:r>
        <w:rPr>
          <w:rFonts w:ascii="仿宋_GB2312" w:hAnsi="仿宋_GB2312" w:eastAsia="仿宋_GB2312"/>
          <w:b w:val="0"/>
          <w:sz w:val="32"/>
        </w:rPr>
        <w:t>截至2024年12月31日，房屋1,572.08平方米，价值127.60万元。车辆2辆，价值53.31万元，其中：副部（省）级及以上领导用车0辆、主要负责人用车0辆、机要通信用车0辆、应急保障用车0辆、执法执勤用车0辆、特种专业技术用车0辆、离退休干部服务用车0辆、其他用车2辆，其他用车主要是：一般公务用车和老干部活动车辆。单价100万元（含）以上设备（不含车辆）0台（套）。</w:t>
      </w:r>
    </w:p>
    <w:p w14:paraId="7776EA6C">
      <w:pPr>
        <w:spacing w:line="640" w:lineRule="exact"/>
        <w:ind w:firstLine="640"/>
        <w:jc w:val="both"/>
        <w:outlineLvl w:val="2"/>
      </w:pPr>
      <w:r>
        <w:rPr>
          <w:rFonts w:ascii="黑体" w:hAnsi="黑体" w:eastAsia="黑体"/>
          <w:sz w:val="32"/>
        </w:rPr>
        <w:t>十一、预算绩效的情况说明</w:t>
      </w:r>
    </w:p>
    <w:p w14:paraId="00A36BC8">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116.22万元，实际执行总额108.57万元；预算绩效评价项目1个，全年预算数5.12万元，全年执行数5.12万元。预算绩效管理取得的成效：一是本项目能够严格按照《项目实施方案》执行，项目执行情况较好；二是加强组织领导，项目绩效评价工作由单位主要领导亲自挂帅，从项目到资金，均能</w:t>
      </w:r>
      <w:r>
        <w:rPr>
          <w:rFonts w:hint="eastAsia" w:ascii="仿宋_GB2312" w:hAnsi="仿宋_GB2312" w:eastAsia="仿宋_GB2312"/>
          <w:b w:val="0"/>
          <w:sz w:val="32"/>
          <w:lang w:eastAsia="zh-CN"/>
        </w:rPr>
        <w:t>有</w:t>
      </w:r>
      <w:r>
        <w:rPr>
          <w:rFonts w:ascii="仿宋_GB2312" w:hAnsi="仿宋_GB2312" w:eastAsia="仿宋_GB2312"/>
          <w:b w:val="0"/>
          <w:sz w:val="32"/>
        </w:rPr>
        <w:t>很</w:t>
      </w:r>
      <w:r>
        <w:rPr>
          <w:rFonts w:hint="eastAsia" w:ascii="仿宋_GB2312" w:hAnsi="仿宋_GB2312" w:eastAsia="仿宋_GB2312"/>
          <w:b w:val="0"/>
          <w:sz w:val="32"/>
          <w:lang w:eastAsia="zh-CN"/>
        </w:rPr>
        <w:t>好地</w:t>
      </w:r>
      <w:r>
        <w:rPr>
          <w:rFonts w:ascii="仿宋_GB2312" w:hAnsi="仿宋_GB2312" w:eastAsia="仿宋_GB2312"/>
          <w:b w:val="0"/>
          <w:sz w:val="32"/>
        </w:rPr>
        <w:t>执行；三是加强沟通协调，</w:t>
      </w:r>
      <w:r>
        <w:rPr>
          <w:rFonts w:hint="eastAsia" w:ascii="仿宋_GB2312" w:hAnsi="仿宋_GB2312" w:eastAsia="仿宋_GB2312"/>
          <w:b w:val="0"/>
          <w:sz w:val="32"/>
          <w:lang w:eastAsia="zh-CN"/>
        </w:rPr>
        <w:t>本单位</w:t>
      </w:r>
      <w:r>
        <w:rPr>
          <w:rFonts w:ascii="仿宋_GB2312" w:hAnsi="仿宋_GB2312" w:eastAsia="仿宋_GB2312"/>
          <w:b w:val="0"/>
          <w:sz w:val="32"/>
        </w:rPr>
        <w:t>及时向上级主管部门主要领导汇报项目的计划和实施情况，加强与实施单位的沟通，确保项目按目标计划完成。发现的问题及原因：1.项目实施方案和项目目标的制定存在不够全面的问题，因本单位建成年限较长设备设施老化，下水管道、暖气管道及电路等方面存在不可预见的问题较多，在进行项目测算和项目申报时很难做到全面，会存在一定偏差。2.由于本单位在职人员较少，在职人员大多是一人兼任多项工作，单位没有专业的项目管理人员，对实施项目管理的意义认识程度不够高，对项目测算、实施、管理和评价不够专业，项目管理业务能力有限，有时对项目监管不够到位，会影响评价质量。下一步改进措施：1.组建由工程技术、后勤管理、财务预算等多部门人员构成的专项调研小组，对单位老化设备设施开展系统性排查，运用管道探测仪、电路检测仪等专业设备，结合历史维修记录建立问题台账；邀请建筑、水电领域的外部专家进行风险评估，梳理下水管道、暖气管道及电路可能存在的隐患及潜在风险；在项目测算与申报阶段，设置不低于总预算10%的弹性预备金，并采用动态调整机制，根据实际情况对实施方案和目标进行优化完善，同时建立与审批部门的沟通反馈渠道，及时说明特殊情况，确保项目规划的科学性与可行性。2.建立“内外结合”的人才培养与管理机制。对内，开展项目管理专题培训，邀请行业专家围绕项目测算、实施流程、监管要点、绩效评价等内容进行授课，组织员工参与线上项目管理课程学习并考取相关证书；推行“以老带新”“岗位轮岗”制度，促进经验交流与能力互补。对外，聘请具有丰富项目管理经验的专业人士作为顾问，定期指导项目工作；通过政府购买服务的方式引入第三方专业机构，协助完成项目规划、执行与评价，同时建立健全项目管理制度，明确岗位职责与流程，强化内部监督，提升项目管理的专业性和规范性。具体附整体支出绩效自评表，项目支出绩效自评表和评价报告。</w:t>
      </w:r>
    </w:p>
    <w:p w14:paraId="3D2892B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285BFEC">
        <w:tblPrEx>
          <w:tblCellMar>
            <w:top w:w="0" w:type="dxa"/>
            <w:left w:w="108" w:type="dxa"/>
            <w:bottom w:w="0" w:type="dxa"/>
            <w:right w:w="108" w:type="dxa"/>
          </w:tblCellMar>
        </w:tblPrEx>
        <w:tc>
          <w:tcPr>
            <w:tcW w:w="8847" w:type="dxa"/>
            <w:gridSpan w:val="9"/>
            <w:vAlign w:val="center"/>
          </w:tcPr>
          <w:p w14:paraId="443AB5A9">
            <w:pPr>
              <w:jc w:val="center"/>
            </w:pPr>
            <w:r>
              <w:rPr>
                <w:rFonts w:ascii="宋体" w:hAnsi="宋体" w:eastAsia="宋体"/>
                <w:sz w:val="24"/>
              </w:rPr>
              <w:t>单位整体支出绩效自评表</w:t>
            </w:r>
          </w:p>
        </w:tc>
      </w:tr>
      <w:tr w14:paraId="5CF9BC1A">
        <w:tblPrEx>
          <w:tblCellMar>
            <w:top w:w="0" w:type="dxa"/>
            <w:left w:w="108" w:type="dxa"/>
            <w:bottom w:w="0" w:type="dxa"/>
            <w:right w:w="108" w:type="dxa"/>
          </w:tblCellMar>
        </w:tblPrEx>
        <w:tc>
          <w:tcPr>
            <w:tcW w:w="8847" w:type="dxa"/>
            <w:gridSpan w:val="9"/>
            <w:vAlign w:val="center"/>
          </w:tcPr>
          <w:p w14:paraId="25E01AE8">
            <w:pPr>
              <w:jc w:val="center"/>
            </w:pPr>
            <w:r>
              <w:rPr>
                <w:rFonts w:ascii="宋体" w:hAnsi="宋体" w:eastAsia="宋体"/>
                <w:sz w:val="24"/>
              </w:rPr>
              <w:t>（2024年度）</w:t>
            </w:r>
          </w:p>
        </w:tc>
      </w:tr>
      <w:tr w14:paraId="4D80EEA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F5C79">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70B9467">
            <w:pPr>
              <w:jc w:val="center"/>
            </w:pPr>
            <w:r>
              <w:rPr>
                <w:rFonts w:ascii="宋体" w:hAnsi="宋体" w:eastAsia="宋体"/>
                <w:sz w:val="16"/>
              </w:rPr>
              <w:t>新疆和田地区驻乌鲁木齐第二干休所</w:t>
            </w:r>
          </w:p>
        </w:tc>
      </w:tr>
      <w:tr w14:paraId="798983D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282499">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F71F2">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7D59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83C13">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5C830">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0D72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7C6F0">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38170">
            <w:pPr>
              <w:jc w:val="center"/>
            </w:pPr>
            <w:r>
              <w:rPr>
                <w:rFonts w:ascii="宋体" w:hAnsi="宋体" w:eastAsia="宋体"/>
                <w:sz w:val="16"/>
              </w:rPr>
              <w:t>得分</w:t>
            </w:r>
          </w:p>
        </w:tc>
      </w:tr>
      <w:tr w14:paraId="49DCE1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DEA1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62E7C">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72A8C">
            <w:pPr>
              <w:jc w:val="center"/>
            </w:pPr>
            <w:r>
              <w:rPr>
                <w:rFonts w:ascii="宋体" w:hAnsi="宋体" w:eastAsia="宋体"/>
                <w:sz w:val="16"/>
              </w:rPr>
              <w:t>106.67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C3235">
            <w:pPr>
              <w:jc w:val="center"/>
            </w:pPr>
            <w:r>
              <w:rPr>
                <w:rFonts w:ascii="宋体" w:hAnsi="宋体" w:eastAsia="宋体"/>
                <w:sz w:val="16"/>
              </w:rPr>
              <w:t>116.22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DA1D4">
            <w:pPr>
              <w:jc w:val="center"/>
            </w:pPr>
            <w:r>
              <w:rPr>
                <w:rFonts w:ascii="宋体" w:hAnsi="宋体" w:eastAsia="宋体"/>
                <w:sz w:val="16"/>
              </w:rPr>
              <w:t>108.57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7994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4269B">
            <w:pPr>
              <w:jc w:val="center"/>
            </w:pPr>
            <w:r>
              <w:rPr>
                <w:rFonts w:ascii="宋体" w:hAnsi="宋体" w:eastAsia="宋体"/>
                <w:sz w:val="16"/>
              </w:rPr>
              <w:t>93.42%</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D260B">
            <w:pPr>
              <w:jc w:val="center"/>
            </w:pPr>
            <w:r>
              <w:rPr>
                <w:rFonts w:ascii="宋体" w:hAnsi="宋体" w:eastAsia="宋体"/>
                <w:sz w:val="16"/>
              </w:rPr>
              <w:t>9.34</w:t>
            </w:r>
          </w:p>
        </w:tc>
      </w:tr>
      <w:tr w14:paraId="69EDFE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8BD9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09FF1">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2C9B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3DE3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25C4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FDBC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4078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50E05">
            <w:pPr>
              <w:jc w:val="center"/>
            </w:pPr>
            <w:r>
              <w:rPr>
                <w:rFonts w:ascii="宋体" w:hAnsi="宋体" w:eastAsia="宋体"/>
                <w:sz w:val="16"/>
              </w:rPr>
              <w:t>—</w:t>
            </w:r>
          </w:p>
        </w:tc>
      </w:tr>
      <w:tr w14:paraId="0B0AEA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395E1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873B7">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F14FF">
            <w:pPr>
              <w:jc w:val="center"/>
            </w:pPr>
            <w:r>
              <w:rPr>
                <w:rFonts w:ascii="宋体" w:hAnsi="宋体" w:eastAsia="宋体"/>
                <w:sz w:val="16"/>
              </w:rPr>
              <w:t>106.67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7E64A">
            <w:pPr>
              <w:jc w:val="center"/>
            </w:pPr>
            <w:r>
              <w:rPr>
                <w:rFonts w:ascii="宋体" w:hAnsi="宋体" w:eastAsia="宋体"/>
                <w:sz w:val="16"/>
              </w:rPr>
              <w:t>114.46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7F870">
            <w:pPr>
              <w:jc w:val="center"/>
            </w:pPr>
            <w:r>
              <w:rPr>
                <w:rFonts w:ascii="宋体" w:hAnsi="宋体" w:eastAsia="宋体"/>
                <w:sz w:val="16"/>
              </w:rPr>
              <w:t>108.57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F1E7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3CEC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02F04">
            <w:pPr>
              <w:jc w:val="center"/>
            </w:pPr>
            <w:r>
              <w:rPr>
                <w:rFonts w:ascii="宋体" w:hAnsi="宋体" w:eastAsia="宋体"/>
                <w:sz w:val="16"/>
              </w:rPr>
              <w:t>—</w:t>
            </w:r>
          </w:p>
        </w:tc>
      </w:tr>
      <w:tr w14:paraId="432DBE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3A9A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23566">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CA54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E85B0">
            <w:pPr>
              <w:jc w:val="center"/>
            </w:pPr>
            <w:r>
              <w:rPr>
                <w:rFonts w:ascii="宋体" w:hAnsi="宋体" w:eastAsia="宋体"/>
                <w:sz w:val="16"/>
              </w:rPr>
              <w:t>1.76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CDA5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095A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A5C9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9EF5E">
            <w:pPr>
              <w:jc w:val="center"/>
            </w:pPr>
            <w:r>
              <w:rPr>
                <w:rFonts w:ascii="宋体" w:hAnsi="宋体" w:eastAsia="宋体"/>
                <w:sz w:val="16"/>
              </w:rPr>
              <w:t>—</w:t>
            </w:r>
          </w:p>
        </w:tc>
      </w:tr>
      <w:tr w14:paraId="54C9B09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6BF89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FFA2ED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770BD1">
            <w:pPr>
              <w:jc w:val="center"/>
            </w:pPr>
            <w:r>
              <w:rPr>
                <w:rFonts w:ascii="宋体" w:hAnsi="宋体" w:eastAsia="宋体"/>
                <w:sz w:val="16"/>
              </w:rPr>
              <w:t>实际完成目标</w:t>
            </w:r>
          </w:p>
        </w:tc>
      </w:tr>
      <w:tr w14:paraId="5D9D31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A88B0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05CEC5B">
            <w:pPr>
              <w:jc w:val="both"/>
            </w:pPr>
            <w:r>
              <w:rPr>
                <w:rFonts w:ascii="宋体" w:hAnsi="宋体" w:eastAsia="宋体"/>
                <w:sz w:val="16"/>
              </w:rPr>
              <w:t>目标1：按时发放在职人员、临聘人员工资、离退休费（津贴补贴），按时缴纳职工机关事业单位养老保险、职业年金及基本医疗保险等社会保险缴费、住房公积金等人员经费支出；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目标2：保障单位正常运转所需水电费、取暖费、差旅费、车辆运行维护费、维修（护）费及邮电费等公用经费支出；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目标3.通过对老年活动室的维修粉刷及其他设备设施的维修（护），改善老干部的活动场所和生活环境。</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4.足额保障经费支出，可以有效保证单位各项工作正常运转，组织离退休老干部开展活动不少于10次，提高离退休老干部管理和服务工作质量，为离退休老干部办实事次数不少于30次，提高受益离退休老干部对管理和服务的满意度。</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354E05">
            <w:pPr>
              <w:jc w:val="both"/>
            </w:pPr>
            <w:r>
              <w:rPr>
                <w:rFonts w:hint="eastAsia" w:ascii="宋体" w:hAnsi="宋体"/>
                <w:sz w:val="16"/>
                <w:lang w:eastAsia="zh-CN"/>
              </w:rPr>
              <w:t>截至</w:t>
            </w:r>
            <w:r>
              <w:rPr>
                <w:rFonts w:ascii="宋体" w:hAnsi="宋体" w:eastAsia="宋体"/>
                <w:sz w:val="16"/>
              </w:rPr>
              <w:t>2024年12月31日，本单位实际完成按时发放了在职人员、临聘人员工资、离退休费（津贴补贴），按时缴纳了职工机关事业单位养老保险、职业年金及基本医疗保险等社会保险缴费、住房公积金等人员经费支出；保障了单位正常运转所需水电费、取暖费、差旅费、车辆运行维护费、维修（护）费及邮电费等公用经费支出；对老年活动室的维修粉刷及其他设备设施的维修（护）；组织离退休老干部开展活动10次，为离退休老干部办实事次数40次。实际形成支出108.57万元，通过完成以上工作，实现了有效改善了老干部的活动场所和生活环境，提高离退休老干部管理和服务工作质量的效益。</w:t>
            </w:r>
          </w:p>
        </w:tc>
      </w:tr>
      <w:tr w14:paraId="7C72AEE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E404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2595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721E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38EDE">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6598E">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DBF5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4908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A4D82">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89799">
            <w:pPr>
              <w:jc w:val="center"/>
            </w:pPr>
            <w:r>
              <w:rPr>
                <w:rFonts w:ascii="宋体" w:hAnsi="宋体" w:eastAsia="宋体"/>
                <w:sz w:val="16"/>
              </w:rPr>
              <w:t>得分</w:t>
            </w:r>
          </w:p>
        </w:tc>
      </w:tr>
      <w:tr w14:paraId="410B252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79B830">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2D02A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084B1">
            <w:pPr>
              <w:jc w:val="center"/>
            </w:pPr>
            <w:r>
              <w:rPr>
                <w:rFonts w:hint="eastAsia" w:ascii="宋体" w:hAnsi="宋体"/>
                <w:sz w:val="16"/>
                <w:lang w:eastAsia="zh-CN"/>
              </w:rPr>
              <w:t>“三公”经费</w:t>
            </w:r>
            <w:r>
              <w:rPr>
                <w:rFonts w:ascii="宋体" w:hAnsi="宋体" w:eastAsia="宋体"/>
                <w:sz w:val="16"/>
              </w:rPr>
              <w:t>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7426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5FBEB">
            <w:pPr>
              <w:jc w:val="center"/>
            </w:pPr>
            <w:r>
              <w:rPr>
                <w:rFonts w:ascii="宋体" w:hAnsi="宋体" w:eastAsia="宋体"/>
                <w:sz w:val="16"/>
              </w:rPr>
              <w:t>《关于加强“三公”经费管理严控一般性支出的通知》财预【2022】126号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092A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B19F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E78C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3DD56">
            <w:pPr>
              <w:jc w:val="center"/>
            </w:pPr>
            <w:r>
              <w:rPr>
                <w:rFonts w:ascii="宋体" w:hAnsi="宋体" w:eastAsia="宋体"/>
                <w:sz w:val="16"/>
              </w:rPr>
              <w:t>10</w:t>
            </w:r>
          </w:p>
        </w:tc>
      </w:tr>
      <w:tr w14:paraId="25A888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E3DD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B46A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5143E">
            <w:pPr>
              <w:jc w:val="center"/>
            </w:pPr>
            <w:r>
              <w:rPr>
                <w:rFonts w:ascii="宋体" w:hAnsi="宋体" w:eastAsia="宋体"/>
                <w:sz w:val="16"/>
              </w:rPr>
              <w:t>日常公用经费控制率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5B00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56CE0">
            <w:pPr>
              <w:jc w:val="center"/>
            </w:pPr>
            <w:r>
              <w:rPr>
                <w:rFonts w:ascii="宋体" w:hAnsi="宋体" w:eastAsia="宋体"/>
                <w:sz w:val="16"/>
              </w:rPr>
              <w:t>《新疆和田地区驻乌鲁木齐第二干休所2024年工作计划》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E794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7F42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7E2D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3BAF1">
            <w:pPr>
              <w:jc w:val="center"/>
            </w:pPr>
            <w:r>
              <w:rPr>
                <w:rFonts w:ascii="宋体" w:hAnsi="宋体" w:eastAsia="宋体"/>
                <w:sz w:val="16"/>
              </w:rPr>
              <w:t>10</w:t>
            </w:r>
          </w:p>
        </w:tc>
      </w:tr>
      <w:tr w14:paraId="529120E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CDFCE5">
            <w:pPr>
              <w:jc w:val="center"/>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1DC25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5F883">
            <w:pPr>
              <w:jc w:val="center"/>
            </w:pPr>
            <w:r>
              <w:rPr>
                <w:rFonts w:ascii="宋体" w:hAnsi="宋体" w:eastAsia="宋体"/>
                <w:sz w:val="16"/>
              </w:rPr>
              <w:t>重点工作完成率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D1D4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B7DFE">
            <w:pPr>
              <w:jc w:val="center"/>
            </w:pPr>
            <w:r>
              <w:rPr>
                <w:rFonts w:ascii="宋体" w:hAnsi="宋体" w:eastAsia="宋体"/>
                <w:sz w:val="16"/>
              </w:rPr>
              <w:t>《新疆和田地区驻乌鲁木齐第二干休所2024年工作计划》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750C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75E6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44F9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73737">
            <w:pPr>
              <w:jc w:val="center"/>
            </w:pPr>
            <w:r>
              <w:rPr>
                <w:rFonts w:ascii="宋体" w:hAnsi="宋体" w:eastAsia="宋体"/>
                <w:sz w:val="16"/>
              </w:rPr>
              <w:t>10</w:t>
            </w:r>
          </w:p>
        </w:tc>
      </w:tr>
      <w:tr w14:paraId="3A319C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C67C9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F37F6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D7A4D">
            <w:pPr>
              <w:jc w:val="center"/>
            </w:pPr>
            <w:r>
              <w:rPr>
                <w:rFonts w:ascii="宋体" w:hAnsi="宋体" w:eastAsia="宋体"/>
                <w:sz w:val="16"/>
              </w:rPr>
              <w:t>资金使用合规性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2B10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1CF42">
            <w:pPr>
              <w:jc w:val="center"/>
            </w:pPr>
            <w:r>
              <w:rPr>
                <w:rFonts w:ascii="宋体" w:hAnsi="宋体" w:eastAsia="宋体"/>
                <w:sz w:val="16"/>
              </w:rPr>
              <w:t>《新疆和田地区驻乌鲁木齐第二干休所2024年工作计划》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3D5E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A774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BDC8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4C4A5">
            <w:pPr>
              <w:jc w:val="center"/>
            </w:pPr>
            <w:r>
              <w:rPr>
                <w:rFonts w:ascii="宋体" w:hAnsi="宋体" w:eastAsia="宋体"/>
                <w:sz w:val="16"/>
              </w:rPr>
              <w:t>10</w:t>
            </w:r>
          </w:p>
        </w:tc>
      </w:tr>
      <w:tr w14:paraId="2787B60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CDDD8E">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7362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B6F7D">
            <w:pPr>
              <w:jc w:val="center"/>
            </w:pPr>
            <w:r>
              <w:rPr>
                <w:rFonts w:ascii="宋体" w:hAnsi="宋体" w:eastAsia="宋体"/>
                <w:sz w:val="16"/>
              </w:rPr>
              <w:t>老年活动室维修粉刷及其他设备设施的维修（护）（次）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2AD56">
            <w:pPr>
              <w:jc w:val="center"/>
            </w:pPr>
            <w:r>
              <w:rPr>
                <w:rFonts w:hint="eastAsia" w:ascii="微软雅黑" w:hAnsi="微软雅黑" w:eastAsia="微软雅黑" w:cs="微软雅黑"/>
                <w:sz w:val="16"/>
              </w:rPr>
              <w:t>≥</w:t>
            </w: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75785">
            <w:pPr>
              <w:jc w:val="center"/>
            </w:pPr>
            <w:r>
              <w:rPr>
                <w:rFonts w:ascii="宋体" w:hAnsi="宋体" w:eastAsia="宋体"/>
                <w:sz w:val="16"/>
              </w:rPr>
              <w:t>《新疆和田地区驻乌鲁木齐第二干休所2024年工作计划》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B56E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0FA3A">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4CEB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8C0B0">
            <w:pPr>
              <w:jc w:val="center"/>
            </w:pPr>
            <w:r>
              <w:rPr>
                <w:rFonts w:ascii="宋体" w:hAnsi="宋体" w:eastAsia="宋体"/>
                <w:sz w:val="16"/>
              </w:rPr>
              <w:t>10</w:t>
            </w:r>
          </w:p>
        </w:tc>
      </w:tr>
      <w:tr w14:paraId="3E01A0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A8E51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200C9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EB8A7">
            <w:pPr>
              <w:jc w:val="center"/>
            </w:pPr>
            <w:r>
              <w:rPr>
                <w:rFonts w:ascii="宋体" w:hAnsi="宋体" w:eastAsia="宋体"/>
                <w:sz w:val="16"/>
              </w:rPr>
              <w:t>为离退休老干部办实事次数（次）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AA3D6">
            <w:pPr>
              <w:jc w:val="center"/>
            </w:pPr>
            <w:r>
              <w:rPr>
                <w:rFonts w:hint="eastAsia" w:ascii="微软雅黑" w:hAnsi="微软雅黑" w:eastAsia="微软雅黑" w:cs="微软雅黑"/>
                <w:sz w:val="16"/>
              </w:rPr>
              <w:t>≥</w:t>
            </w:r>
            <w:r>
              <w:rPr>
                <w:rFonts w:ascii="宋体" w:hAnsi="宋体" w:eastAsia="宋体"/>
                <w:sz w:val="16"/>
              </w:rPr>
              <w:t>30次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8928D">
            <w:pPr>
              <w:jc w:val="center"/>
            </w:pPr>
            <w:r>
              <w:rPr>
                <w:rFonts w:ascii="宋体" w:hAnsi="宋体" w:eastAsia="宋体"/>
                <w:sz w:val="16"/>
              </w:rPr>
              <w:t>《新疆和田地区驻乌鲁木齐第二干休所2024年工作计划》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CBB8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E4E91">
            <w:pPr>
              <w:jc w:val="center"/>
            </w:pPr>
            <w:r>
              <w:rPr>
                <w:rFonts w:ascii="宋体" w:hAnsi="宋体" w:eastAsia="宋体"/>
                <w:sz w:val="16"/>
              </w:rPr>
              <w:t>30次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546D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DC50D">
            <w:pPr>
              <w:jc w:val="center"/>
            </w:pPr>
            <w:r>
              <w:rPr>
                <w:rFonts w:ascii="宋体" w:hAnsi="宋体" w:eastAsia="宋体"/>
                <w:sz w:val="16"/>
              </w:rPr>
              <w:t>10</w:t>
            </w:r>
          </w:p>
        </w:tc>
      </w:tr>
      <w:tr w14:paraId="10E2E0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CD7B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D944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BE235">
            <w:pPr>
              <w:jc w:val="center"/>
            </w:pPr>
            <w:r>
              <w:rPr>
                <w:rFonts w:ascii="宋体" w:hAnsi="宋体" w:eastAsia="宋体"/>
                <w:sz w:val="16"/>
              </w:rPr>
              <w:t>组织离退休老干部开展活动（次）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EC181">
            <w:pPr>
              <w:jc w:val="center"/>
            </w:pPr>
            <w:r>
              <w:rPr>
                <w:rFonts w:hint="eastAsia" w:ascii="微软雅黑" w:hAnsi="微软雅黑" w:eastAsia="微软雅黑" w:cs="微软雅黑"/>
                <w:sz w:val="16"/>
              </w:rPr>
              <w:t>≥</w:t>
            </w: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0FA23">
            <w:pPr>
              <w:jc w:val="center"/>
            </w:pPr>
            <w:r>
              <w:rPr>
                <w:rFonts w:ascii="宋体" w:hAnsi="宋体" w:eastAsia="宋体"/>
                <w:sz w:val="16"/>
              </w:rPr>
              <w:t>《新疆和田地区驻乌鲁木齐第二干休所2024年工作计划》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7B90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F79E3">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C2A5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6934C">
            <w:pPr>
              <w:jc w:val="center"/>
            </w:pPr>
            <w:r>
              <w:rPr>
                <w:rFonts w:ascii="宋体" w:hAnsi="宋体" w:eastAsia="宋体"/>
                <w:sz w:val="16"/>
              </w:rPr>
              <w:t>10</w:t>
            </w:r>
          </w:p>
        </w:tc>
      </w:tr>
      <w:tr w14:paraId="399AD9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96F68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BEE2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641D1">
            <w:pPr>
              <w:jc w:val="center"/>
            </w:pPr>
            <w:r>
              <w:rPr>
                <w:rFonts w:ascii="宋体" w:hAnsi="宋体" w:eastAsia="宋体"/>
                <w:sz w:val="16"/>
              </w:rPr>
              <w:t>维修质量合格率（%）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8C90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91D1C">
            <w:pPr>
              <w:jc w:val="center"/>
            </w:pPr>
            <w:r>
              <w:rPr>
                <w:rFonts w:ascii="宋体" w:hAnsi="宋体" w:eastAsia="宋体"/>
                <w:sz w:val="16"/>
              </w:rPr>
              <w:t>《新疆和田地区驻乌鲁木齐第二干休所2024年工作计划》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AE70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5E03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54B6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55547">
            <w:pPr>
              <w:jc w:val="center"/>
            </w:pPr>
            <w:r>
              <w:rPr>
                <w:rFonts w:ascii="宋体" w:hAnsi="宋体" w:eastAsia="宋体"/>
                <w:sz w:val="16"/>
              </w:rPr>
              <w:t>10</w:t>
            </w:r>
          </w:p>
        </w:tc>
      </w:tr>
      <w:tr w14:paraId="3FAF847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474CC">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4116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23670">
            <w:pPr>
              <w:jc w:val="center"/>
            </w:pPr>
            <w:r>
              <w:rPr>
                <w:rFonts w:ascii="宋体" w:hAnsi="宋体" w:eastAsia="宋体"/>
                <w:sz w:val="16"/>
              </w:rPr>
              <w:t>离退休老干部满意度（%）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BEEEA">
            <w:pPr>
              <w:jc w:val="center"/>
            </w:pPr>
            <w:r>
              <w:rPr>
                <w:rFonts w:hint="eastAsia" w:ascii="微软雅黑" w:hAnsi="微软雅黑" w:eastAsia="微软雅黑" w:cs="微软雅黑"/>
                <w:sz w:val="16"/>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A8325">
            <w:pPr>
              <w:jc w:val="center"/>
            </w:pPr>
            <w:r>
              <w:rPr>
                <w:rFonts w:ascii="宋体" w:hAnsi="宋体" w:eastAsia="宋体"/>
                <w:sz w:val="16"/>
              </w:rPr>
              <w:t>《新疆和田地区驻乌鲁木齐第二干休所2024年工作计划》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1B1D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2CEF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440F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88A4F">
            <w:pPr>
              <w:jc w:val="center"/>
            </w:pPr>
            <w:r>
              <w:rPr>
                <w:rFonts w:ascii="宋体" w:hAnsi="宋体" w:eastAsia="宋体"/>
                <w:sz w:val="16"/>
              </w:rPr>
              <w:t>10</w:t>
            </w:r>
          </w:p>
        </w:tc>
      </w:tr>
    </w:tbl>
    <w:p w14:paraId="36B4667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148"/>
        <w:gridCol w:w="835"/>
        <w:gridCol w:w="983"/>
        <w:gridCol w:w="983"/>
        <w:gridCol w:w="983"/>
        <w:gridCol w:w="983"/>
      </w:tblGrid>
      <w:tr w14:paraId="0D4030F0">
        <w:tblPrEx>
          <w:tblCellMar>
            <w:top w:w="0" w:type="dxa"/>
            <w:left w:w="108" w:type="dxa"/>
            <w:bottom w:w="0" w:type="dxa"/>
            <w:right w:w="108" w:type="dxa"/>
          </w:tblCellMar>
        </w:tblPrEx>
        <w:tc>
          <w:tcPr>
            <w:tcW w:w="8847" w:type="dxa"/>
            <w:gridSpan w:val="10"/>
            <w:vAlign w:val="center"/>
          </w:tcPr>
          <w:p w14:paraId="7B83EAF9">
            <w:pPr>
              <w:jc w:val="center"/>
            </w:pPr>
            <w:r>
              <w:rPr>
                <w:rFonts w:ascii="宋体" w:hAnsi="宋体" w:eastAsia="宋体"/>
                <w:sz w:val="24"/>
              </w:rPr>
              <w:t>项目支出绩效自评表</w:t>
            </w:r>
          </w:p>
        </w:tc>
      </w:tr>
      <w:tr w14:paraId="5505B064">
        <w:tblPrEx>
          <w:tblCellMar>
            <w:top w:w="0" w:type="dxa"/>
            <w:left w:w="108" w:type="dxa"/>
            <w:bottom w:w="0" w:type="dxa"/>
            <w:right w:w="108" w:type="dxa"/>
          </w:tblCellMar>
        </w:tblPrEx>
        <w:tc>
          <w:tcPr>
            <w:tcW w:w="8847" w:type="dxa"/>
            <w:gridSpan w:val="10"/>
            <w:vAlign w:val="center"/>
          </w:tcPr>
          <w:p w14:paraId="0E965544">
            <w:pPr>
              <w:jc w:val="center"/>
            </w:pPr>
            <w:r>
              <w:rPr>
                <w:rFonts w:ascii="宋体" w:hAnsi="宋体" w:eastAsia="宋体"/>
                <w:sz w:val="24"/>
              </w:rPr>
              <w:t>(2024年度)</w:t>
            </w:r>
          </w:p>
        </w:tc>
      </w:tr>
      <w:tr w14:paraId="24FE557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81781">
            <w:pPr>
              <w:jc w:val="center"/>
            </w:pPr>
            <w:r>
              <w:rPr>
                <w:rFonts w:ascii="宋体" w:hAnsi="宋体" w:eastAsia="宋体"/>
                <w:sz w:val="16"/>
              </w:rPr>
              <w:t>项目名称</w:t>
            </w:r>
          </w:p>
        </w:tc>
        <w:tc>
          <w:tcPr>
            <w:tcW w:w="7864"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4336DB28">
            <w:pPr>
              <w:jc w:val="center"/>
            </w:pPr>
            <w:r>
              <w:rPr>
                <w:rFonts w:ascii="宋体" w:hAnsi="宋体" w:eastAsia="宋体"/>
                <w:sz w:val="16"/>
              </w:rPr>
              <w:t>运行经费补助项目</w:t>
            </w:r>
          </w:p>
        </w:tc>
      </w:tr>
      <w:tr w14:paraId="69D066C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76DC8">
            <w:pPr>
              <w:jc w:val="center"/>
            </w:pPr>
            <w:r>
              <w:rPr>
                <w:rFonts w:ascii="宋体" w:hAnsi="宋体" w:eastAsia="宋体"/>
                <w:sz w:val="16"/>
              </w:rPr>
              <w:t>主管部门</w:t>
            </w:r>
          </w:p>
        </w:tc>
        <w:tc>
          <w:tcPr>
            <w:tcW w:w="3097"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97F7892">
            <w:pPr>
              <w:jc w:val="center"/>
            </w:pPr>
            <w:r>
              <w:rPr>
                <w:rFonts w:ascii="宋体" w:hAnsi="宋体" w:eastAsia="宋体"/>
                <w:sz w:val="16"/>
              </w:rPr>
              <w:t>新疆和田地区驻乌鲁木齐第二干休所</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21B9B008">
            <w:pPr>
              <w:jc w:val="center"/>
            </w:pPr>
            <w:r>
              <w:rPr>
                <w:rFonts w:ascii="宋体" w:hAnsi="宋体" w:eastAsia="宋体"/>
                <w:sz w:val="16"/>
              </w:rPr>
              <w:t>实施</w:t>
            </w:r>
            <w:r>
              <w:rPr>
                <w:rFonts w:hint="eastAsia" w:ascii="宋体" w:hAnsi="宋体"/>
                <w:sz w:val="16"/>
                <w:lang w:val="en-US" w:eastAsia="zh-CN"/>
              </w:rPr>
              <w:t xml:space="preserve">  </w:t>
            </w:r>
            <w:r>
              <w:rPr>
                <w:rFonts w:ascii="宋体" w:hAnsi="宋体" w:eastAsia="宋体"/>
                <w:sz w:val="16"/>
              </w:rPr>
              <w:t>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B6D1FD">
            <w:pPr>
              <w:jc w:val="center"/>
            </w:pPr>
            <w:r>
              <w:rPr>
                <w:rFonts w:ascii="宋体" w:hAnsi="宋体" w:eastAsia="宋体"/>
                <w:sz w:val="16"/>
              </w:rPr>
              <w:t>新疆和田地区驻乌鲁木齐第二干休所</w:t>
            </w:r>
          </w:p>
        </w:tc>
      </w:tr>
      <w:tr w14:paraId="0C26838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8B3F1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793DC">
            <w:pPr>
              <w:jc w:val="center"/>
            </w:pPr>
          </w:p>
        </w:tc>
        <w:tc>
          <w:tcPr>
            <w:tcW w:w="11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2DD00">
            <w:pPr>
              <w:jc w:val="center"/>
            </w:pPr>
            <w:r>
              <w:rPr>
                <w:rFonts w:ascii="宋体" w:hAnsi="宋体" w:eastAsia="宋体"/>
                <w:sz w:val="16"/>
              </w:rPr>
              <w:t>年初预算数</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02B4FC9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C1DC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A6D4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85C8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ED95B">
            <w:pPr>
              <w:jc w:val="center"/>
            </w:pPr>
            <w:r>
              <w:rPr>
                <w:rFonts w:ascii="宋体" w:hAnsi="宋体" w:eastAsia="宋体"/>
                <w:sz w:val="16"/>
              </w:rPr>
              <w:t>得分</w:t>
            </w:r>
          </w:p>
        </w:tc>
      </w:tr>
      <w:tr w14:paraId="6BE73A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27B98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332FE">
            <w:pPr>
              <w:jc w:val="center"/>
            </w:pPr>
            <w:r>
              <w:rPr>
                <w:rFonts w:ascii="宋体" w:hAnsi="宋体" w:eastAsia="宋体"/>
                <w:sz w:val="16"/>
              </w:rPr>
              <w:t>年度资金总额</w:t>
            </w:r>
          </w:p>
        </w:tc>
        <w:tc>
          <w:tcPr>
            <w:tcW w:w="11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6E5F6">
            <w:pPr>
              <w:jc w:val="center"/>
            </w:pPr>
            <w:r>
              <w:rPr>
                <w:rFonts w:ascii="宋体" w:hAnsi="宋体" w:eastAsia="宋体"/>
                <w:sz w:val="16"/>
              </w:rPr>
              <w:t>5.12</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1F6C6441">
            <w:pPr>
              <w:jc w:val="center"/>
            </w:pPr>
            <w:r>
              <w:rPr>
                <w:rFonts w:ascii="宋体" w:hAnsi="宋体" w:eastAsia="宋体"/>
                <w:sz w:val="16"/>
              </w:rPr>
              <w:t>5.12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0E30D">
            <w:pPr>
              <w:jc w:val="center"/>
            </w:pPr>
            <w:r>
              <w:rPr>
                <w:rFonts w:ascii="宋体" w:hAnsi="宋体" w:eastAsia="宋体"/>
                <w:sz w:val="16"/>
              </w:rPr>
              <w:t>5.12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3EE0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75407">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B6C59">
            <w:pPr>
              <w:jc w:val="center"/>
            </w:pPr>
            <w:r>
              <w:rPr>
                <w:rFonts w:ascii="宋体" w:hAnsi="宋体" w:eastAsia="宋体"/>
                <w:sz w:val="16"/>
              </w:rPr>
              <w:t>10.00分</w:t>
            </w:r>
          </w:p>
        </w:tc>
      </w:tr>
      <w:tr w14:paraId="29F2F2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2FB38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4C217">
            <w:pPr>
              <w:jc w:val="center"/>
            </w:pPr>
            <w:r>
              <w:rPr>
                <w:rFonts w:ascii="宋体" w:hAnsi="宋体" w:eastAsia="宋体"/>
                <w:sz w:val="16"/>
              </w:rPr>
              <w:t>其中：当年财政拨款</w:t>
            </w:r>
          </w:p>
        </w:tc>
        <w:tc>
          <w:tcPr>
            <w:tcW w:w="11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F324C">
            <w:pPr>
              <w:jc w:val="center"/>
            </w:pPr>
            <w:r>
              <w:rPr>
                <w:rFonts w:ascii="宋体" w:hAnsi="宋体" w:eastAsia="宋体"/>
                <w:sz w:val="16"/>
              </w:rPr>
              <w:t>5.12</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1DA7805D">
            <w:pPr>
              <w:jc w:val="center"/>
            </w:pPr>
            <w:r>
              <w:rPr>
                <w:rFonts w:ascii="宋体" w:hAnsi="宋体" w:eastAsia="宋体"/>
                <w:sz w:val="16"/>
              </w:rPr>
              <w:t>5.12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7B170">
            <w:pPr>
              <w:jc w:val="center"/>
            </w:pPr>
            <w:r>
              <w:rPr>
                <w:rFonts w:ascii="宋体" w:hAnsi="宋体" w:eastAsia="宋体"/>
                <w:sz w:val="16"/>
              </w:rPr>
              <w:t>5.12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8530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4B7E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7A4A2">
            <w:pPr>
              <w:jc w:val="center"/>
            </w:pPr>
            <w:r>
              <w:rPr>
                <w:rFonts w:ascii="宋体" w:hAnsi="宋体" w:eastAsia="宋体"/>
                <w:sz w:val="16"/>
              </w:rPr>
              <w:t>—</w:t>
            </w:r>
          </w:p>
        </w:tc>
      </w:tr>
      <w:tr w14:paraId="309C9D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ECA33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5DAFB">
            <w:pPr>
              <w:jc w:val="center"/>
            </w:pPr>
            <w:r>
              <w:rPr>
                <w:rFonts w:ascii="宋体" w:hAnsi="宋体" w:eastAsia="宋体"/>
                <w:sz w:val="16"/>
              </w:rPr>
              <w:t xml:space="preserve">      上年结转资金</w:t>
            </w:r>
          </w:p>
        </w:tc>
        <w:tc>
          <w:tcPr>
            <w:tcW w:w="11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94959">
            <w:pPr>
              <w:jc w:val="center"/>
            </w:pPr>
            <w:r>
              <w:rPr>
                <w:rFonts w:ascii="宋体" w:hAnsi="宋体" w:eastAsia="宋体"/>
                <w:sz w:val="16"/>
              </w:rPr>
              <w:t>0.00</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17E5689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9B91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B092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BE8B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D0175">
            <w:pPr>
              <w:jc w:val="center"/>
            </w:pPr>
            <w:r>
              <w:rPr>
                <w:rFonts w:ascii="宋体" w:hAnsi="宋体" w:eastAsia="宋体"/>
                <w:sz w:val="16"/>
              </w:rPr>
              <w:t>—</w:t>
            </w:r>
          </w:p>
        </w:tc>
      </w:tr>
      <w:tr w14:paraId="44F6CE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D2894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25F8E">
            <w:pPr>
              <w:jc w:val="center"/>
            </w:pPr>
            <w:r>
              <w:rPr>
                <w:rFonts w:ascii="宋体" w:hAnsi="宋体" w:eastAsia="宋体"/>
                <w:sz w:val="16"/>
              </w:rPr>
              <w:t xml:space="preserve">  其他资金</w:t>
            </w:r>
          </w:p>
        </w:tc>
        <w:tc>
          <w:tcPr>
            <w:tcW w:w="11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CF735">
            <w:pPr>
              <w:jc w:val="center"/>
            </w:pPr>
            <w:r>
              <w:rPr>
                <w:rFonts w:ascii="宋体" w:hAnsi="宋体" w:eastAsia="宋体"/>
                <w:sz w:val="16"/>
              </w:rPr>
              <w:t>0.00</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2BB23F3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D10B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D145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C76C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42066">
            <w:pPr>
              <w:jc w:val="center"/>
            </w:pPr>
            <w:r>
              <w:rPr>
                <w:rFonts w:ascii="宋体" w:hAnsi="宋体" w:eastAsia="宋体"/>
                <w:sz w:val="16"/>
              </w:rPr>
              <w:t>—</w:t>
            </w:r>
          </w:p>
        </w:tc>
      </w:tr>
      <w:tr w14:paraId="36D1549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E35FEC">
            <w:pPr>
              <w:jc w:val="center"/>
            </w:pPr>
            <w:r>
              <w:rPr>
                <w:rFonts w:ascii="宋体" w:hAnsi="宋体" w:eastAsia="宋体"/>
                <w:sz w:val="16"/>
              </w:rPr>
              <w:t>年度总体目标</w:t>
            </w:r>
          </w:p>
        </w:tc>
        <w:tc>
          <w:tcPr>
            <w:tcW w:w="3097"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166BC9">
            <w:pPr>
              <w:jc w:val="center"/>
            </w:pPr>
            <w:r>
              <w:rPr>
                <w:rFonts w:ascii="宋体" w:hAnsi="宋体" w:eastAsia="宋体"/>
                <w:sz w:val="16"/>
              </w:rPr>
              <w:t>预期目标</w:t>
            </w:r>
          </w:p>
        </w:tc>
        <w:tc>
          <w:tcPr>
            <w:tcW w:w="476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E4EFB9">
            <w:pPr>
              <w:jc w:val="center"/>
            </w:pPr>
            <w:r>
              <w:rPr>
                <w:rFonts w:ascii="宋体" w:hAnsi="宋体" w:eastAsia="宋体"/>
                <w:sz w:val="16"/>
              </w:rPr>
              <w:t>实际完成情况</w:t>
            </w:r>
          </w:p>
        </w:tc>
      </w:tr>
      <w:tr w14:paraId="38BABA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F24D35"/>
        </w:tc>
        <w:tc>
          <w:tcPr>
            <w:tcW w:w="3097"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64982AB">
            <w:pPr>
              <w:jc w:val="both"/>
            </w:pPr>
            <w:r>
              <w:rPr>
                <w:rFonts w:ascii="宋体" w:hAnsi="宋体" w:eastAsia="宋体"/>
                <w:sz w:val="16"/>
              </w:rPr>
              <w:t>本项目主要实施内容为：对老年活动室维修5次，政府采购5次，项目总投资5.12万元，通过本项目的实施，提升离退休干部管理和服务质量，争取使受益干部满意度达到95%以上。</w:t>
            </w:r>
          </w:p>
        </w:tc>
        <w:tc>
          <w:tcPr>
            <w:tcW w:w="476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3C8335">
            <w:pPr>
              <w:jc w:val="both"/>
            </w:pPr>
            <w:r>
              <w:rPr>
                <w:rFonts w:hint="eastAsia" w:ascii="宋体" w:hAnsi="宋体"/>
                <w:sz w:val="16"/>
                <w:lang w:eastAsia="zh-CN"/>
              </w:rPr>
              <w:t>截至</w:t>
            </w:r>
            <w:r>
              <w:rPr>
                <w:rFonts w:ascii="宋体" w:hAnsi="宋体" w:eastAsia="宋体"/>
                <w:sz w:val="16"/>
              </w:rPr>
              <w:t>2024年12月31日，本项目实际形成支出5.12万元，已完成老干部活动室及其他设备设施维修（护）5次，政府采购次数（次）5次的任务，达到了改善老干部的生活和活动环境的效益，服务对象满意度达到100%。</w:t>
            </w:r>
          </w:p>
        </w:tc>
      </w:tr>
      <w:tr w14:paraId="31A4429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03118C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F947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DD8B9">
            <w:pPr>
              <w:jc w:val="center"/>
            </w:pPr>
            <w:r>
              <w:rPr>
                <w:rFonts w:ascii="宋体" w:hAnsi="宋体" w:eastAsia="宋体"/>
                <w:sz w:val="16"/>
              </w:rPr>
              <w:t>二级指标</w:t>
            </w:r>
          </w:p>
        </w:tc>
        <w:tc>
          <w:tcPr>
            <w:tcW w:w="11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C696D">
            <w:pPr>
              <w:jc w:val="center"/>
            </w:pPr>
            <w:r>
              <w:rPr>
                <w:rFonts w:ascii="宋体" w:hAnsi="宋体" w:eastAsia="宋体"/>
                <w:sz w:val="16"/>
              </w:rPr>
              <w:t>三级指标</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4F49AED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54230">
            <w:pPr>
              <w:jc w:val="center"/>
            </w:pPr>
            <w:r>
              <w:rPr>
                <w:rFonts w:ascii="宋体" w:hAnsi="宋体" w:eastAsia="宋体"/>
                <w:sz w:val="16"/>
              </w:rPr>
              <w:t>实际完成</w:t>
            </w:r>
            <w:bookmarkStart w:id="0" w:name="_GoBack"/>
            <w:bookmarkEnd w:id="0"/>
            <w:r>
              <w:rPr>
                <w:rFonts w:ascii="宋体" w:hAnsi="宋体" w:eastAsia="宋体"/>
                <w:sz w:val="16"/>
              </w:rPr>
              <w:t>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F586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96D9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8608D">
            <w:pPr>
              <w:jc w:val="center"/>
            </w:pPr>
            <w:r>
              <w:rPr>
                <w:rFonts w:ascii="宋体" w:hAnsi="宋体" w:eastAsia="宋体"/>
                <w:sz w:val="16"/>
              </w:rPr>
              <w:t>偏差原因分析及改进措施</w:t>
            </w:r>
          </w:p>
        </w:tc>
      </w:tr>
      <w:tr w14:paraId="0686728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D61B9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BC908B">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790737">
            <w:pPr>
              <w:jc w:val="center"/>
            </w:pPr>
            <w:r>
              <w:rPr>
                <w:rFonts w:ascii="宋体" w:hAnsi="宋体" w:eastAsia="宋体"/>
                <w:sz w:val="16"/>
              </w:rPr>
              <w:t>数量指标</w:t>
            </w:r>
          </w:p>
        </w:tc>
        <w:tc>
          <w:tcPr>
            <w:tcW w:w="11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0AB7E">
            <w:pPr>
              <w:jc w:val="center"/>
            </w:pPr>
            <w:r>
              <w:rPr>
                <w:rFonts w:ascii="宋体" w:hAnsi="宋体" w:eastAsia="宋体"/>
                <w:sz w:val="16"/>
              </w:rPr>
              <w:t>老年活动室维修粉刷及其他设备设施的维修（护）（次）</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5D571F71">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D9593">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6A5D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530D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96F99">
            <w:pPr>
              <w:jc w:val="center"/>
            </w:pPr>
          </w:p>
        </w:tc>
      </w:tr>
      <w:tr w14:paraId="13847C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26EF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67CD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792346"/>
        </w:tc>
        <w:tc>
          <w:tcPr>
            <w:tcW w:w="11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0E69D">
            <w:pPr>
              <w:jc w:val="center"/>
            </w:pPr>
            <w:r>
              <w:rPr>
                <w:rFonts w:ascii="宋体" w:hAnsi="宋体" w:eastAsia="宋体"/>
                <w:sz w:val="16"/>
              </w:rPr>
              <w:t>政府采购次数（次）</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326EC179">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96C1D">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A99C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EA4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B04E4">
            <w:pPr>
              <w:jc w:val="center"/>
            </w:pPr>
          </w:p>
        </w:tc>
      </w:tr>
      <w:tr w14:paraId="048826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EDA33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85F30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D15D1">
            <w:pPr>
              <w:jc w:val="center"/>
            </w:pPr>
            <w:r>
              <w:rPr>
                <w:rFonts w:ascii="宋体" w:hAnsi="宋体" w:eastAsia="宋体"/>
                <w:sz w:val="16"/>
              </w:rPr>
              <w:t>质量指标</w:t>
            </w:r>
          </w:p>
        </w:tc>
        <w:tc>
          <w:tcPr>
            <w:tcW w:w="11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6F31C">
            <w:pPr>
              <w:jc w:val="center"/>
            </w:pPr>
            <w:r>
              <w:rPr>
                <w:rFonts w:ascii="宋体" w:hAnsi="宋体" w:eastAsia="宋体"/>
                <w:sz w:val="16"/>
              </w:rPr>
              <w:t>验收合格率（%）</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127F3AF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EF7C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B688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9DC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DB439">
            <w:pPr>
              <w:jc w:val="center"/>
            </w:pPr>
          </w:p>
        </w:tc>
      </w:tr>
      <w:tr w14:paraId="3DC67A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27A13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1B0E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D8A65">
            <w:pPr>
              <w:jc w:val="center"/>
            </w:pPr>
            <w:r>
              <w:rPr>
                <w:rFonts w:ascii="宋体" w:hAnsi="宋体" w:eastAsia="宋体"/>
                <w:sz w:val="16"/>
              </w:rPr>
              <w:t>时效指标</w:t>
            </w:r>
          </w:p>
        </w:tc>
        <w:tc>
          <w:tcPr>
            <w:tcW w:w="11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E1928">
            <w:pPr>
              <w:jc w:val="center"/>
            </w:pPr>
            <w:r>
              <w:rPr>
                <w:rFonts w:ascii="宋体" w:hAnsi="宋体" w:eastAsia="宋体"/>
                <w:sz w:val="16"/>
              </w:rPr>
              <w:t>资金支付及时率（%）</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18B43E2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2A8A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0CD1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20E9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F62E6">
            <w:pPr>
              <w:jc w:val="center"/>
            </w:pPr>
          </w:p>
        </w:tc>
      </w:tr>
      <w:tr w14:paraId="34EA9E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87D3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D30C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9A764">
            <w:pPr>
              <w:jc w:val="center"/>
            </w:pPr>
            <w:r>
              <w:rPr>
                <w:rFonts w:ascii="宋体" w:hAnsi="宋体" w:eastAsia="宋体"/>
                <w:sz w:val="16"/>
              </w:rPr>
              <w:t>经济成本指标</w:t>
            </w:r>
          </w:p>
        </w:tc>
        <w:tc>
          <w:tcPr>
            <w:tcW w:w="11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AA71B">
            <w:pPr>
              <w:jc w:val="center"/>
            </w:pPr>
            <w:r>
              <w:rPr>
                <w:rFonts w:ascii="宋体" w:hAnsi="宋体" w:eastAsia="宋体"/>
                <w:sz w:val="16"/>
              </w:rPr>
              <w:t>维修（护）费</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4A0B3038">
            <w:pPr>
              <w:jc w:val="center"/>
            </w:pPr>
            <w:r>
              <w:rPr>
                <w:rFonts w:ascii="宋体" w:hAnsi="宋体" w:eastAsia="宋体"/>
                <w:sz w:val="16"/>
              </w:rPr>
              <w:t>≤5.12万元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FD312">
            <w:pPr>
              <w:jc w:val="center"/>
            </w:pPr>
            <w:r>
              <w:rPr>
                <w:rFonts w:ascii="宋体" w:hAnsi="宋体" w:eastAsia="宋体"/>
                <w:sz w:val="16"/>
              </w:rPr>
              <w:t>=5.12万元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43E8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6ECA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4AE5A">
            <w:pPr>
              <w:jc w:val="center"/>
            </w:pPr>
          </w:p>
        </w:tc>
      </w:tr>
      <w:tr w14:paraId="11D598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37DC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6CF3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133D0">
            <w:pPr>
              <w:jc w:val="center"/>
            </w:pPr>
            <w:r>
              <w:rPr>
                <w:rFonts w:ascii="宋体" w:hAnsi="宋体" w:eastAsia="宋体"/>
                <w:sz w:val="16"/>
              </w:rPr>
              <w:t>社会效益指标</w:t>
            </w:r>
          </w:p>
        </w:tc>
        <w:tc>
          <w:tcPr>
            <w:tcW w:w="11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96D8D">
            <w:pPr>
              <w:jc w:val="center"/>
            </w:pPr>
            <w:r>
              <w:rPr>
                <w:rFonts w:ascii="宋体" w:hAnsi="宋体" w:eastAsia="宋体"/>
                <w:sz w:val="16"/>
              </w:rPr>
              <w:t>提升离退休老干部管理和服务质量</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2A7BBD5F">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B8A6A">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4A3E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17BE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0F786">
            <w:pPr>
              <w:jc w:val="center"/>
            </w:pPr>
          </w:p>
        </w:tc>
      </w:tr>
      <w:tr w14:paraId="7285B8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3597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85CC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C9FDA">
            <w:pPr>
              <w:jc w:val="center"/>
            </w:pPr>
            <w:r>
              <w:rPr>
                <w:rFonts w:ascii="宋体" w:hAnsi="宋体" w:eastAsia="宋体"/>
                <w:sz w:val="16"/>
              </w:rPr>
              <w:t>满意度指标</w:t>
            </w:r>
          </w:p>
        </w:tc>
        <w:tc>
          <w:tcPr>
            <w:tcW w:w="11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75EA6">
            <w:pPr>
              <w:jc w:val="center"/>
            </w:pPr>
            <w:r>
              <w:rPr>
                <w:rFonts w:ascii="宋体" w:hAnsi="宋体" w:eastAsia="宋体"/>
                <w:sz w:val="16"/>
              </w:rPr>
              <w:t>服务对象满意度（%）</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7164BA2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ECDB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0A08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9E74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F5D25">
            <w:pPr>
              <w:jc w:val="center"/>
            </w:pPr>
          </w:p>
        </w:tc>
      </w:tr>
      <w:tr w14:paraId="217E6A3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81E74">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CC74C6">
            <w:pPr>
              <w:jc w:val="center"/>
            </w:pPr>
            <w:r>
              <w:rPr>
                <w:rFonts w:ascii="宋体" w:hAnsi="宋体" w:eastAsia="宋体"/>
                <w:sz w:val="16"/>
              </w:rPr>
              <w:t>100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CB0CD">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D39227">
            <w:pPr>
              <w:jc w:val="center"/>
            </w:pPr>
            <w:r>
              <w:rPr>
                <w:rFonts w:ascii="宋体" w:hAnsi="宋体" w:eastAsia="宋体"/>
                <w:sz w:val="16"/>
              </w:rPr>
              <w:t>100分</w:t>
            </w:r>
          </w:p>
        </w:tc>
      </w:tr>
    </w:tbl>
    <w:p w14:paraId="6E1049D7">
      <w:r>
        <w:br w:type="page"/>
      </w:r>
    </w:p>
    <w:p w14:paraId="160C515B">
      <w:pPr>
        <w:spacing w:line="640" w:lineRule="exact"/>
        <w:ind w:firstLine="640"/>
        <w:jc w:val="both"/>
        <w:outlineLvl w:val="2"/>
      </w:pPr>
      <w:r>
        <w:rPr>
          <w:rFonts w:ascii="黑体" w:hAnsi="黑体" w:eastAsia="黑体"/>
          <w:sz w:val="32"/>
        </w:rPr>
        <w:t>十二、其他需说明的事项</w:t>
      </w:r>
    </w:p>
    <w:p w14:paraId="76AE48D9">
      <w:pPr>
        <w:spacing w:line="580" w:lineRule="exact"/>
        <w:ind w:firstLine="640"/>
        <w:jc w:val="both"/>
      </w:pPr>
      <w:r>
        <w:rPr>
          <w:rFonts w:ascii="仿宋_GB2312" w:hAnsi="仿宋_GB2312" w:eastAsia="仿宋_GB2312"/>
          <w:b w:val="0"/>
          <w:sz w:val="32"/>
        </w:rPr>
        <w:t>本单位无其他需要说明的事项。</w:t>
      </w:r>
    </w:p>
    <w:p w14:paraId="7B3578C5">
      <w:r>
        <w:br w:type="page"/>
      </w:r>
    </w:p>
    <w:p w14:paraId="735B1747">
      <w:pPr>
        <w:spacing w:line="240" w:lineRule="auto"/>
        <w:jc w:val="center"/>
        <w:outlineLvl w:val="1"/>
      </w:pPr>
      <w:r>
        <w:rPr>
          <w:rFonts w:ascii="黑体" w:hAnsi="黑体" w:eastAsia="黑体"/>
          <w:sz w:val="32"/>
        </w:rPr>
        <w:t>第三部分 专业名词解释</w:t>
      </w:r>
    </w:p>
    <w:p w14:paraId="28619B6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C51877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03C173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B38E02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EB600D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003E67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CC900D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E6DB3C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CB0F0E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13B4CC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179A90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9786AA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EA6898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23D2F6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F68E1E7">
      <w:r>
        <w:br w:type="page"/>
      </w:r>
    </w:p>
    <w:p w14:paraId="63028192">
      <w:pPr>
        <w:spacing w:line="240" w:lineRule="auto"/>
        <w:jc w:val="center"/>
        <w:outlineLvl w:val="1"/>
      </w:pPr>
      <w:r>
        <w:rPr>
          <w:rFonts w:ascii="黑体" w:hAnsi="黑体" w:eastAsia="黑体"/>
          <w:sz w:val="32"/>
        </w:rPr>
        <w:t>第四部分 部门决算报表（见附表）</w:t>
      </w:r>
    </w:p>
    <w:p w14:paraId="4CBF3382">
      <w:pPr>
        <w:spacing w:line="240" w:lineRule="auto"/>
        <w:ind w:firstLine="640"/>
        <w:jc w:val="both"/>
      </w:pPr>
      <w:r>
        <w:rPr>
          <w:rFonts w:ascii="仿宋_GB2312" w:hAnsi="仿宋_GB2312" w:eastAsia="仿宋_GB2312"/>
          <w:b w:val="0"/>
          <w:sz w:val="32"/>
        </w:rPr>
        <w:t>一、《收入支出决算总表》</w:t>
      </w:r>
    </w:p>
    <w:p w14:paraId="662578C6">
      <w:pPr>
        <w:spacing w:line="240" w:lineRule="auto"/>
        <w:ind w:firstLine="640"/>
        <w:jc w:val="both"/>
      </w:pPr>
      <w:r>
        <w:rPr>
          <w:rFonts w:ascii="仿宋_GB2312" w:hAnsi="仿宋_GB2312" w:eastAsia="仿宋_GB2312"/>
          <w:b w:val="0"/>
          <w:sz w:val="32"/>
        </w:rPr>
        <w:t>二、《收入决算表》</w:t>
      </w:r>
    </w:p>
    <w:p w14:paraId="6D218AFB">
      <w:pPr>
        <w:spacing w:line="240" w:lineRule="auto"/>
        <w:ind w:firstLine="640"/>
        <w:jc w:val="both"/>
      </w:pPr>
      <w:r>
        <w:rPr>
          <w:rFonts w:ascii="仿宋_GB2312" w:hAnsi="仿宋_GB2312" w:eastAsia="仿宋_GB2312"/>
          <w:b w:val="0"/>
          <w:sz w:val="32"/>
        </w:rPr>
        <w:t>三、《支出决算表》</w:t>
      </w:r>
    </w:p>
    <w:p w14:paraId="42432303">
      <w:pPr>
        <w:spacing w:line="240" w:lineRule="auto"/>
        <w:ind w:firstLine="640"/>
        <w:jc w:val="both"/>
      </w:pPr>
      <w:r>
        <w:rPr>
          <w:rFonts w:ascii="仿宋_GB2312" w:hAnsi="仿宋_GB2312" w:eastAsia="仿宋_GB2312"/>
          <w:b w:val="0"/>
          <w:sz w:val="32"/>
        </w:rPr>
        <w:t>四、《财政拨款收入支出决算总表》</w:t>
      </w:r>
    </w:p>
    <w:p w14:paraId="53F18C07">
      <w:pPr>
        <w:spacing w:line="240" w:lineRule="auto"/>
        <w:ind w:firstLine="640"/>
        <w:jc w:val="both"/>
      </w:pPr>
      <w:r>
        <w:rPr>
          <w:rFonts w:ascii="仿宋_GB2312" w:hAnsi="仿宋_GB2312" w:eastAsia="仿宋_GB2312"/>
          <w:b w:val="0"/>
          <w:sz w:val="32"/>
        </w:rPr>
        <w:t>五、《一般公共预算财政拨款支出决算表》</w:t>
      </w:r>
    </w:p>
    <w:p w14:paraId="3E092326">
      <w:pPr>
        <w:spacing w:line="240" w:lineRule="auto"/>
        <w:ind w:firstLine="640"/>
        <w:jc w:val="both"/>
      </w:pPr>
      <w:r>
        <w:rPr>
          <w:rFonts w:ascii="仿宋_GB2312" w:hAnsi="仿宋_GB2312" w:eastAsia="仿宋_GB2312"/>
          <w:b w:val="0"/>
          <w:sz w:val="32"/>
        </w:rPr>
        <w:t>六、《一般公共预算财政拨款基本支出决算表》</w:t>
      </w:r>
    </w:p>
    <w:p w14:paraId="7A0DF176">
      <w:pPr>
        <w:spacing w:line="240" w:lineRule="auto"/>
        <w:ind w:firstLine="640"/>
        <w:jc w:val="both"/>
      </w:pPr>
      <w:r>
        <w:rPr>
          <w:rFonts w:ascii="仿宋_GB2312" w:hAnsi="仿宋_GB2312" w:eastAsia="仿宋_GB2312"/>
          <w:b w:val="0"/>
          <w:sz w:val="32"/>
        </w:rPr>
        <w:t>七、《政府性基金预算财政拨款收入支出决算表》</w:t>
      </w:r>
    </w:p>
    <w:p w14:paraId="15E45B07">
      <w:pPr>
        <w:spacing w:line="240" w:lineRule="auto"/>
        <w:ind w:firstLine="640"/>
        <w:jc w:val="both"/>
      </w:pPr>
      <w:r>
        <w:rPr>
          <w:rFonts w:ascii="仿宋_GB2312" w:hAnsi="仿宋_GB2312" w:eastAsia="仿宋_GB2312"/>
          <w:b w:val="0"/>
          <w:sz w:val="32"/>
        </w:rPr>
        <w:t>八、《国有资本经营预算财政拨款收入支出决算表》</w:t>
      </w:r>
    </w:p>
    <w:p w14:paraId="77B6453C">
      <w:pPr>
        <w:spacing w:line="240" w:lineRule="auto"/>
        <w:ind w:firstLine="640"/>
        <w:jc w:val="both"/>
      </w:pPr>
      <w:r>
        <w:rPr>
          <w:rFonts w:ascii="仿宋_GB2312" w:hAnsi="仿宋_GB2312" w:eastAsia="仿宋_GB2312"/>
          <w:b w:val="0"/>
          <w:sz w:val="32"/>
        </w:rPr>
        <w:t>九、《财政拨款“三公”经费支出决算表》</w:t>
      </w:r>
    </w:p>
    <w:p w14:paraId="3AEED2B3">
      <w:pPr>
        <w:spacing w:line="240" w:lineRule="auto"/>
        <w:ind w:firstLine="640"/>
        <w:jc w:val="both"/>
      </w:pPr>
    </w:p>
    <w:p w14:paraId="51B357B3">
      <w:pPr>
        <w:spacing w:line="240" w:lineRule="auto"/>
        <w:ind w:firstLine="640"/>
        <w:jc w:val="both"/>
      </w:pPr>
    </w:p>
    <w:p w14:paraId="265BBBF8">
      <w:pPr>
        <w:spacing w:line="240" w:lineRule="auto"/>
        <w:ind w:firstLine="640"/>
        <w:jc w:val="both"/>
      </w:pPr>
    </w:p>
    <w:p w14:paraId="5D77B053">
      <w:pPr>
        <w:spacing w:line="240" w:lineRule="auto"/>
        <w:ind w:firstLine="640"/>
        <w:jc w:val="both"/>
      </w:pPr>
    </w:p>
    <w:p w14:paraId="6E3CAAC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6932683"/>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8F92413"/>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46F3406"/>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4F76BBE"/>
    <w:rsid w:val="76660D7C"/>
    <w:rsid w:val="77DF2706"/>
    <w:rsid w:val="77ED6F44"/>
    <w:rsid w:val="795A0A34"/>
    <w:rsid w:val="7A0D3BC7"/>
    <w:rsid w:val="7A3A3CDB"/>
    <w:rsid w:val="7B9409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5237</Words>
  <Characters>5896</Characters>
  <Lines>0</Lines>
  <Paragraphs>0</Paragraphs>
  <TotalTime>60</TotalTime>
  <ScaleCrop>false</ScaleCrop>
  <LinksUpToDate>false</LinksUpToDate>
  <CharactersWithSpaces>5904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Lenovo</cp:lastModifiedBy>
  <cp:lastPrinted>2024-07-22T11:58:00Z</cp:lastPrinted>
  <dcterms:modified xsi:type="dcterms:W3CDTF">2025-09-12T05:07:16Z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eyJoZGlkIjoiNmE0ZmRmMjUwNDFkYWRhNGIxOWI0NDAxMDIwMjEwMjAifQ==</vt:lpwstr>
  </property>
</Properties>
</file>