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B920E"/>
    <w:p w14:paraId="64B4108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74DC735">
      <w:pPr>
        <w:spacing w:line="540" w:lineRule="exact"/>
        <w:jc w:val="center"/>
        <w:rPr>
          <w:rFonts w:ascii="华文中宋" w:hAnsi="华文中宋" w:eastAsia="华文中宋" w:cs="宋体"/>
          <w:b/>
          <w:kern w:val="0"/>
          <w:sz w:val="52"/>
          <w:szCs w:val="52"/>
        </w:rPr>
      </w:pPr>
    </w:p>
    <w:p w14:paraId="7D89A998">
      <w:pPr>
        <w:spacing w:line="540" w:lineRule="exact"/>
        <w:jc w:val="center"/>
        <w:rPr>
          <w:rFonts w:ascii="华文中宋" w:hAnsi="华文中宋" w:eastAsia="华文中宋" w:cs="宋体"/>
          <w:b/>
          <w:kern w:val="0"/>
          <w:sz w:val="52"/>
          <w:szCs w:val="52"/>
        </w:rPr>
      </w:pPr>
    </w:p>
    <w:p w14:paraId="3DE98502">
      <w:pPr>
        <w:spacing w:line="540" w:lineRule="exact"/>
        <w:jc w:val="center"/>
        <w:rPr>
          <w:rFonts w:ascii="华文中宋" w:hAnsi="华文中宋" w:eastAsia="华文中宋" w:cs="宋体"/>
          <w:b/>
          <w:kern w:val="0"/>
          <w:sz w:val="52"/>
          <w:szCs w:val="52"/>
        </w:rPr>
      </w:pPr>
    </w:p>
    <w:p w14:paraId="23802F29">
      <w:pPr>
        <w:spacing w:line="540" w:lineRule="exact"/>
        <w:jc w:val="center"/>
        <w:rPr>
          <w:rFonts w:ascii="华文中宋" w:hAnsi="华文中宋" w:eastAsia="华文中宋" w:cs="宋体"/>
          <w:b/>
          <w:kern w:val="0"/>
          <w:sz w:val="52"/>
          <w:szCs w:val="52"/>
        </w:rPr>
      </w:pPr>
    </w:p>
    <w:p w14:paraId="6D668CF0">
      <w:pPr>
        <w:spacing w:line="540" w:lineRule="exact"/>
        <w:jc w:val="center"/>
        <w:rPr>
          <w:rFonts w:ascii="华文中宋" w:hAnsi="华文中宋" w:eastAsia="华文中宋" w:cs="宋体"/>
          <w:b/>
          <w:kern w:val="0"/>
          <w:sz w:val="52"/>
          <w:szCs w:val="52"/>
        </w:rPr>
      </w:pPr>
    </w:p>
    <w:p w14:paraId="6642D6FF">
      <w:pPr>
        <w:spacing w:line="540" w:lineRule="exact"/>
        <w:jc w:val="center"/>
        <w:rPr>
          <w:rFonts w:ascii="华文中宋" w:hAnsi="华文中宋" w:eastAsia="华文中宋" w:cs="宋体"/>
          <w:b/>
          <w:kern w:val="0"/>
          <w:sz w:val="52"/>
          <w:szCs w:val="52"/>
        </w:rPr>
      </w:pPr>
    </w:p>
    <w:p w14:paraId="5DB702C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C7BB942">
      <w:pPr>
        <w:spacing w:line="540" w:lineRule="exact"/>
        <w:jc w:val="center"/>
        <w:rPr>
          <w:rFonts w:ascii="华文中宋" w:hAnsi="华文中宋" w:eastAsia="华文中宋" w:cs="宋体"/>
          <w:b/>
          <w:kern w:val="0"/>
          <w:sz w:val="52"/>
          <w:szCs w:val="52"/>
        </w:rPr>
      </w:pPr>
    </w:p>
    <w:p w14:paraId="11F0C379">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093F25D0">
      <w:pPr>
        <w:spacing w:line="540" w:lineRule="exact"/>
        <w:jc w:val="center"/>
        <w:rPr>
          <w:rFonts w:hAnsi="宋体" w:eastAsia="仿宋_GB2312" w:cs="宋体"/>
          <w:kern w:val="0"/>
          <w:sz w:val="30"/>
          <w:szCs w:val="30"/>
        </w:rPr>
      </w:pPr>
    </w:p>
    <w:p w14:paraId="610AD9E9">
      <w:pPr>
        <w:spacing w:line="540" w:lineRule="exact"/>
        <w:jc w:val="center"/>
        <w:rPr>
          <w:rFonts w:hAnsi="宋体" w:eastAsia="仿宋_GB2312" w:cs="宋体"/>
          <w:kern w:val="0"/>
          <w:sz w:val="30"/>
          <w:szCs w:val="30"/>
        </w:rPr>
      </w:pPr>
    </w:p>
    <w:p w14:paraId="26E54A57">
      <w:pPr>
        <w:spacing w:line="540" w:lineRule="exact"/>
        <w:jc w:val="center"/>
        <w:rPr>
          <w:rFonts w:hAnsi="宋体" w:eastAsia="仿宋_GB2312" w:cs="宋体"/>
          <w:kern w:val="0"/>
          <w:sz w:val="30"/>
          <w:szCs w:val="30"/>
        </w:rPr>
      </w:pPr>
    </w:p>
    <w:p w14:paraId="3608DBC6">
      <w:pPr>
        <w:spacing w:line="540" w:lineRule="exact"/>
        <w:jc w:val="center"/>
        <w:rPr>
          <w:rFonts w:hAnsi="宋体" w:eastAsia="仿宋_GB2312" w:cs="宋体"/>
          <w:kern w:val="0"/>
          <w:sz w:val="30"/>
          <w:szCs w:val="30"/>
        </w:rPr>
      </w:pPr>
    </w:p>
    <w:p w14:paraId="04CA7E08">
      <w:pPr>
        <w:spacing w:line="540" w:lineRule="exact"/>
        <w:jc w:val="center"/>
        <w:rPr>
          <w:rFonts w:hAnsi="宋体" w:eastAsia="仿宋_GB2312" w:cs="宋体"/>
          <w:kern w:val="0"/>
          <w:sz w:val="30"/>
          <w:szCs w:val="30"/>
        </w:rPr>
      </w:pPr>
    </w:p>
    <w:p w14:paraId="746C843A">
      <w:pPr>
        <w:spacing w:line="540" w:lineRule="exact"/>
        <w:jc w:val="center"/>
        <w:rPr>
          <w:rFonts w:hAnsi="宋体" w:eastAsia="仿宋_GB2312" w:cs="宋体"/>
          <w:kern w:val="0"/>
          <w:sz w:val="30"/>
          <w:szCs w:val="30"/>
        </w:rPr>
      </w:pPr>
    </w:p>
    <w:p w14:paraId="71E0F555">
      <w:pPr>
        <w:spacing w:line="540" w:lineRule="exact"/>
        <w:rPr>
          <w:rFonts w:hAnsi="宋体" w:eastAsia="仿宋_GB2312" w:cs="宋体"/>
          <w:kern w:val="0"/>
          <w:sz w:val="30"/>
          <w:szCs w:val="30"/>
        </w:rPr>
      </w:pPr>
    </w:p>
    <w:p w14:paraId="398D19C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59BFB6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地财社[2023]73号-提前下达2024年重大传染病防控经费预算</w:t>
      </w:r>
    </w:p>
    <w:p w14:paraId="0C14B96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新疆和田地区传染病专科医院</w:t>
      </w:r>
    </w:p>
    <w:p w14:paraId="692D607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新疆和田地区传染病专科医院</w:t>
      </w:r>
    </w:p>
    <w:p w14:paraId="2590E60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段志军</w:t>
      </w:r>
    </w:p>
    <w:p w14:paraId="68B1249D">
      <w:pPr>
        <w:spacing w:line="540" w:lineRule="exact"/>
        <w:ind w:left="273" w:firstLine="567"/>
        <w:rPr>
          <w:rStyle w:val="19"/>
          <w:rFonts w:ascii="黑体" w:hAnsi="黑体" w:eastAsia="黑体"/>
          <w:b w:val="0"/>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060CC13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C9826AC">
      <w:pPr>
        <w:spacing w:line="540" w:lineRule="exact"/>
        <w:ind w:firstLine="624" w:firstLineChars="200"/>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（一）项目概况</w:t>
      </w:r>
    </w:p>
    <w:p w14:paraId="3C52273A">
      <w:pPr>
        <w:spacing w:line="540" w:lineRule="exact"/>
        <w:ind w:firstLine="567"/>
        <w:rPr>
          <w:rStyle w:val="19"/>
          <w:rFonts w:hint="eastAsia" w:ascii="仿宋_GB2312" w:hAnsi="仿宋_GB2312" w:eastAsia="仿宋_GB2312" w:cs="仿宋_GB2312"/>
          <w:b/>
          <w:bCs/>
          <w:spacing w:val="-4"/>
          <w:sz w:val="32"/>
          <w:szCs w:val="32"/>
          <w:lang w:eastAsia="zh-CN"/>
        </w:rPr>
      </w:pPr>
      <w:r>
        <w:rPr>
          <w:rStyle w:val="19"/>
          <w:rFonts w:hint="eastAsia" w:ascii="仿宋_GB2312" w:hAnsi="仿宋_GB2312" w:eastAsia="仿宋_GB2312" w:cs="仿宋_GB2312"/>
          <w:b/>
          <w:bCs/>
          <w:spacing w:val="-4"/>
          <w:sz w:val="32"/>
          <w:szCs w:val="32"/>
        </w:rPr>
        <w:t>1.项目背景</w:t>
      </w:r>
    </w:p>
    <w:p w14:paraId="0B554EDF">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在当前全球公共卫生形势日益严峻的大背景下，传染病防控工作成为保障人民群众健康和社会稳定发展的关键环节。结核病等重大传染病的存在，不仅严重威胁着当地居民的身体健康，给患者及其家庭带来沉重的经济负担和精神压力，也对地区的经济发展和社会和谐稳定产生了一定的负面影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此前，和田地区传染病专科医院在应对结核病</w:t>
      </w:r>
      <w:r>
        <w:rPr>
          <w:rStyle w:val="19"/>
          <w:rFonts w:hint="eastAsia" w:ascii="仿宋_GB2312" w:hAnsi="仿宋_GB2312" w:eastAsia="仿宋_GB2312" w:cs="仿宋_GB2312"/>
          <w:b w:val="0"/>
          <w:bCs w:val="0"/>
          <w:spacing w:val="-4"/>
          <w:sz w:val="32"/>
          <w:szCs w:val="32"/>
          <w:lang w:eastAsia="zh-CN"/>
        </w:rPr>
        <w:t>等</w:t>
      </w:r>
      <w:r>
        <w:rPr>
          <w:rStyle w:val="19"/>
          <w:rFonts w:hint="eastAsia" w:ascii="仿宋_GB2312" w:hAnsi="仿宋_GB2312" w:eastAsia="仿宋_GB2312" w:cs="仿宋_GB2312"/>
          <w:b w:val="0"/>
          <w:bCs w:val="0"/>
          <w:spacing w:val="-4"/>
          <w:sz w:val="32"/>
          <w:szCs w:val="32"/>
        </w:rPr>
        <w:t>救治时，存在医疗资源相对不足的问题。检测试剂供应不够稳定，影响了疾病的早期诊断和及时治疗；医护人员在防护设备和专业培训方面也有所欠缺，增加了感染风险和救治难度；患者就医条件有限，无法提供舒适、高效的诊疗环境。这些问题导致部分患者得不到及时有效地救治，疾病传播风险增加，防控工作难以取得理想效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实施本项目，能够为医院补充购置检测试剂，提升诊断的准确性和及时性；改善医护人员的防护条件，增强他们应对传染病的能力；优化患者就医环境，提高患者的治疗体验和依从性。这将有助于有效控制结核病</w:t>
      </w:r>
      <w:r>
        <w:rPr>
          <w:rStyle w:val="19"/>
          <w:rFonts w:hint="eastAsia" w:ascii="仿宋_GB2312" w:hAnsi="仿宋_GB2312" w:eastAsia="仿宋_GB2312" w:cs="仿宋_GB2312"/>
          <w:b w:val="0"/>
          <w:bCs w:val="0"/>
          <w:spacing w:val="-4"/>
          <w:sz w:val="32"/>
          <w:szCs w:val="32"/>
          <w:lang w:eastAsia="zh-CN"/>
        </w:rPr>
        <w:t>等疾病</w:t>
      </w:r>
      <w:r>
        <w:rPr>
          <w:rStyle w:val="19"/>
          <w:rFonts w:hint="eastAsia" w:ascii="仿宋_GB2312" w:hAnsi="仿宋_GB2312" w:eastAsia="仿宋_GB2312" w:cs="仿宋_GB2312"/>
          <w:b w:val="0"/>
          <w:bCs w:val="0"/>
          <w:spacing w:val="-4"/>
          <w:sz w:val="32"/>
          <w:szCs w:val="32"/>
        </w:rPr>
        <w:t>在当地的传播，降低发病率，提高患者的治愈率和生活质量，进而促进地区的公共卫生安全和社会经济的健康发展。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2.主要内容</w:t>
      </w:r>
    </w:p>
    <w:p w14:paraId="11D5D4D5">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本项目资金主要用于新疆和田地区传染病专科医院的结核病</w:t>
      </w:r>
      <w:r>
        <w:rPr>
          <w:rStyle w:val="19"/>
          <w:rFonts w:hint="eastAsia" w:ascii="仿宋_GB2312" w:hAnsi="仿宋_GB2312" w:eastAsia="仿宋_GB2312" w:cs="仿宋_GB2312"/>
          <w:b w:val="0"/>
          <w:bCs w:val="0"/>
          <w:spacing w:val="-4"/>
          <w:sz w:val="32"/>
          <w:szCs w:val="32"/>
          <w:lang w:eastAsia="zh-CN"/>
        </w:rPr>
        <w:t>等</w:t>
      </w:r>
      <w:r>
        <w:rPr>
          <w:rStyle w:val="19"/>
          <w:rFonts w:hint="eastAsia" w:ascii="仿宋_GB2312" w:hAnsi="仿宋_GB2312" w:eastAsia="仿宋_GB2312" w:cs="仿宋_GB2312"/>
          <w:b w:val="0"/>
          <w:bCs w:val="0"/>
          <w:spacing w:val="-4"/>
          <w:sz w:val="32"/>
          <w:szCs w:val="32"/>
        </w:rPr>
        <w:t>救治工作。用途涵盖购置检测试剂、支付相关救治费用以及保障医护人员出差等方面。范围涉及医院针对这两种重大传染病的诊断、治疗和防控工作。具体而言，使用资金购置检测试剂，用于疾病的早期筛查和诊断；支付结核病</w:t>
      </w:r>
      <w:r>
        <w:rPr>
          <w:rStyle w:val="19"/>
          <w:rFonts w:hint="eastAsia" w:ascii="仿宋_GB2312" w:hAnsi="仿宋_GB2312" w:eastAsia="仿宋_GB2312" w:cs="仿宋_GB2312"/>
          <w:b w:val="0"/>
          <w:bCs w:val="0"/>
          <w:spacing w:val="-4"/>
          <w:sz w:val="32"/>
          <w:szCs w:val="32"/>
          <w:lang w:eastAsia="zh-CN"/>
        </w:rPr>
        <w:t>等疾病</w:t>
      </w:r>
      <w:r>
        <w:rPr>
          <w:rStyle w:val="19"/>
          <w:rFonts w:hint="eastAsia" w:ascii="仿宋_GB2312" w:hAnsi="仿宋_GB2312" w:eastAsia="仿宋_GB2312" w:cs="仿宋_GB2312"/>
          <w:b w:val="0"/>
          <w:bCs w:val="0"/>
          <w:spacing w:val="-4"/>
          <w:sz w:val="32"/>
          <w:szCs w:val="32"/>
        </w:rPr>
        <w:t>的相关救治费用，确保患者能够得到及时有效的治疗；安排人员出差费，支持医护人员参加学术交流和培训活动，提升专业技能。同时，还利用资金购置专用材料，改善患者就医条件，为传染病防控工作提供坚实的物质基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实施主体：新疆和田地区传染病专科医院。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w:t>
      </w:r>
      <w:r>
        <w:rPr>
          <w:rStyle w:val="19"/>
          <w:rFonts w:hint="eastAsia" w:ascii="仿宋_GB2312" w:hAnsi="仿宋_GB2312" w:eastAsia="仿宋_GB2312" w:cs="仿宋_GB2312"/>
          <w:b w:val="0"/>
          <w:bCs w:val="0"/>
          <w:spacing w:val="-4"/>
          <w:sz w:val="30"/>
          <w:szCs w:val="30"/>
        </w:rPr>
        <w:t>2024年1月—2024年12</w:t>
      </w:r>
      <w:r>
        <w:rPr>
          <w:rStyle w:val="19"/>
          <w:rFonts w:hint="eastAsia" w:ascii="仿宋_GB2312" w:hAnsi="仿宋_GB2312" w:eastAsia="仿宋_GB2312" w:cs="仿宋_GB2312"/>
          <w:b w:val="0"/>
          <w:bCs w:val="0"/>
          <w:spacing w:val="-4"/>
          <w:sz w:val="32"/>
          <w:szCs w:val="32"/>
        </w:rPr>
        <w:t>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实施情况：在项目前期阶段，医院组织专业人员对地区内结核病</w:t>
      </w:r>
      <w:r>
        <w:rPr>
          <w:rStyle w:val="19"/>
          <w:rFonts w:hint="eastAsia" w:ascii="仿宋_GB2312" w:hAnsi="仿宋_GB2312" w:eastAsia="仿宋_GB2312" w:cs="仿宋_GB2312"/>
          <w:b w:val="0"/>
          <w:bCs w:val="0"/>
          <w:spacing w:val="-4"/>
          <w:sz w:val="32"/>
          <w:szCs w:val="32"/>
          <w:lang w:eastAsia="zh-CN"/>
        </w:rPr>
        <w:t>等疾病</w:t>
      </w:r>
      <w:r>
        <w:rPr>
          <w:rStyle w:val="19"/>
          <w:rFonts w:hint="eastAsia" w:ascii="仿宋_GB2312" w:hAnsi="仿宋_GB2312" w:eastAsia="仿宋_GB2312" w:cs="仿宋_GB2312"/>
          <w:b w:val="0"/>
          <w:bCs w:val="0"/>
          <w:spacing w:val="-4"/>
          <w:sz w:val="32"/>
          <w:szCs w:val="32"/>
        </w:rPr>
        <w:t>的发病情况、患者分布以及现有医疗资源进行了全面摸排。与上级主管部门沟通协调，明确资金使用方向和重点，制定了详细的项目实施方案和资金分配计划。在项目实施阶段，严格按照计划有序推进各项工作。及时开展检测试剂的采购招标工作，确保试剂按时供应；合理安排救治费用的支出，保障患者治疗的连续性；组织医护人员参加各类培训和学术交流活动，提升业务水平。同时，加强对项目的监督管理，定期对资金使用和项目进展情况进行检查。在项目实施效果评估阶段，通过统计检测人数、治疗有效率、患者满意度等指标，对项目的实施效果进行了全面评估。结果显示，项目达到了预期目标，有效提升了医院对结核病和艾滋病的救治能力，改善了患者的就医体验。</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4.资金投入和使用情况</w:t>
      </w:r>
    </w:p>
    <w:p w14:paraId="2825C58C">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lang w:val="en-US" w:eastAsia="zh-CN"/>
        </w:rPr>
        <w:t>1</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项目资金安排落实、总投入等情况分析</w:t>
      </w:r>
    </w:p>
    <w:p w14:paraId="688A24B5">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本项目预算安排总额为</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万元，资金来源为自治区专项资金和中央专项资金。其中：财政资金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万元，其他资金0万元。地财社〔2023〕73号提前下达2024年重大传染病防控经费预算71万元，新财社〔2024〕56号和地财社〔2024〕24号下达的2024年中央重大公共卫生服务补助资金</w:t>
      </w:r>
      <w:r>
        <w:rPr>
          <w:rStyle w:val="19"/>
          <w:rFonts w:hint="default" w:ascii="Times New Roman" w:hAnsi="Times New Roman" w:eastAsia="仿宋_GB2312" w:cs="Times New Roman"/>
          <w:b w:val="0"/>
          <w:bCs w:val="0"/>
          <w:spacing w:val="-4"/>
          <w:sz w:val="32"/>
          <w:szCs w:val="32"/>
        </w:rPr>
        <w:t>18</w:t>
      </w:r>
      <w:r>
        <w:rPr>
          <w:rStyle w:val="19"/>
          <w:rFonts w:hint="eastAsia" w:ascii="仿宋_GB2312" w:hAnsi="仿宋_GB2312" w:eastAsia="仿宋_GB2312" w:cs="仿宋_GB2312"/>
          <w:b w:val="0"/>
          <w:bCs w:val="0"/>
          <w:spacing w:val="-4"/>
          <w:sz w:val="32"/>
          <w:szCs w:val="32"/>
        </w:rPr>
        <w:t>万元。2024年实际收到预算资金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万元，预算资金到位率为100%。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万元，预算执行率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。本项目资金主要用于支付专用材料费用</w:t>
      </w:r>
      <w:r>
        <w:rPr>
          <w:rStyle w:val="19"/>
          <w:rFonts w:hint="default" w:ascii="Times New Roman" w:hAnsi="Times New Roman" w:eastAsia="仿宋_GB2312" w:cs="Times New Roman"/>
          <w:b w:val="0"/>
          <w:bCs w:val="0"/>
          <w:spacing w:val="-4"/>
          <w:sz w:val="32"/>
          <w:szCs w:val="32"/>
        </w:rPr>
        <w:t>83</w:t>
      </w:r>
      <w:r>
        <w:rPr>
          <w:rStyle w:val="19"/>
          <w:rFonts w:hint="eastAsia" w:ascii="仿宋_GB2312" w:hAnsi="仿宋_GB2312" w:eastAsia="仿宋_GB2312" w:cs="仿宋_GB2312"/>
          <w:b w:val="0"/>
          <w:bCs w:val="0"/>
          <w:spacing w:val="-4"/>
          <w:sz w:val="32"/>
          <w:szCs w:val="32"/>
        </w:rPr>
        <w:t>万元、人员出差费用</w:t>
      </w:r>
      <w:r>
        <w:rPr>
          <w:rStyle w:val="19"/>
          <w:rFonts w:hint="default" w:ascii="Times New Roman" w:hAnsi="Times New Roman" w:eastAsia="仿宋_GB2312" w:cs="Times New Roman"/>
          <w:b w:val="0"/>
          <w:bCs w:val="0"/>
          <w:spacing w:val="-4"/>
          <w:sz w:val="32"/>
          <w:szCs w:val="32"/>
        </w:rPr>
        <w:t>1</w:t>
      </w:r>
      <w:r>
        <w:rPr>
          <w:rStyle w:val="19"/>
          <w:rFonts w:hint="eastAsia" w:ascii="仿宋_GB2312" w:hAnsi="仿宋_GB2312" w:eastAsia="仿宋_GB2312" w:cs="仿宋_GB2312"/>
          <w:b w:val="0"/>
          <w:bCs w:val="0"/>
          <w:spacing w:val="-4"/>
          <w:sz w:val="32"/>
          <w:szCs w:val="32"/>
        </w:rPr>
        <w:t>万元、结核艾滋救治相关费用</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万元。</w:t>
      </w:r>
    </w:p>
    <w:p w14:paraId="32DC246C">
      <w:pPr>
        <w:spacing w:line="540" w:lineRule="exact"/>
        <w:ind w:firstLine="624" w:firstLineChars="200"/>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（二）项目绩效目标</w:t>
      </w:r>
    </w:p>
    <w:p w14:paraId="4FDCDC96">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val="en-US" w:eastAsia="zh-CN"/>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本项目预计投入</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万元，通过购置不少于1批检测试剂且验收合格率达</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，采购合同执行率达</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，试剂采购及时率达100%，合理控制人员出差费在</w:t>
      </w:r>
      <w:r>
        <w:rPr>
          <w:rStyle w:val="19"/>
          <w:rFonts w:hint="default" w:ascii="Times New Roman" w:hAnsi="Times New Roman" w:eastAsia="仿宋_GB2312" w:cs="Times New Roman"/>
          <w:b w:val="0"/>
          <w:bCs w:val="0"/>
          <w:spacing w:val="-4"/>
          <w:sz w:val="32"/>
          <w:szCs w:val="32"/>
        </w:rPr>
        <w:t>1</w:t>
      </w:r>
      <w:r>
        <w:rPr>
          <w:rStyle w:val="19"/>
          <w:rFonts w:hint="eastAsia" w:ascii="仿宋_GB2312" w:hAnsi="仿宋_GB2312" w:eastAsia="仿宋_GB2312" w:cs="仿宋_GB2312"/>
          <w:b w:val="0"/>
          <w:bCs w:val="0"/>
          <w:spacing w:val="-4"/>
          <w:sz w:val="32"/>
          <w:szCs w:val="32"/>
        </w:rPr>
        <w:t>万元、结核艾滋救治相关费用在</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万元、专用材料费用在</w:t>
      </w:r>
      <w:r>
        <w:rPr>
          <w:rStyle w:val="19"/>
          <w:rFonts w:hint="default" w:ascii="Times New Roman" w:hAnsi="Times New Roman" w:eastAsia="仿宋_GB2312" w:cs="Times New Roman"/>
          <w:b w:val="0"/>
          <w:bCs w:val="0"/>
          <w:spacing w:val="-4"/>
          <w:sz w:val="32"/>
          <w:szCs w:val="32"/>
        </w:rPr>
        <w:t>83</w:t>
      </w:r>
      <w:r>
        <w:rPr>
          <w:rStyle w:val="19"/>
          <w:rFonts w:hint="eastAsia" w:ascii="仿宋_GB2312" w:hAnsi="仿宋_GB2312" w:eastAsia="仿宋_GB2312" w:cs="仿宋_GB2312"/>
          <w:b w:val="0"/>
          <w:bCs w:val="0"/>
          <w:spacing w:val="-4"/>
          <w:sz w:val="32"/>
          <w:szCs w:val="32"/>
        </w:rPr>
        <w:t>万元以内，增强对病人及医护人员防护，使工作人员和患者满意度均达到</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。全面提升新疆和田地区传染病专科医院对结核病</w:t>
      </w:r>
      <w:r>
        <w:rPr>
          <w:rStyle w:val="19"/>
          <w:rFonts w:hint="eastAsia" w:ascii="仿宋_GB2312" w:hAnsi="仿宋_GB2312" w:eastAsia="仿宋_GB2312" w:cs="仿宋_GB2312"/>
          <w:b w:val="0"/>
          <w:bCs w:val="0"/>
          <w:spacing w:val="-4"/>
          <w:sz w:val="32"/>
          <w:szCs w:val="32"/>
          <w:lang w:eastAsia="zh-CN"/>
        </w:rPr>
        <w:t>等疾病</w:t>
      </w:r>
      <w:r>
        <w:rPr>
          <w:rStyle w:val="19"/>
          <w:rFonts w:hint="eastAsia" w:ascii="仿宋_GB2312" w:hAnsi="仿宋_GB2312" w:eastAsia="仿宋_GB2312" w:cs="仿宋_GB2312"/>
          <w:b w:val="0"/>
          <w:bCs w:val="0"/>
          <w:spacing w:val="-4"/>
          <w:sz w:val="32"/>
          <w:szCs w:val="32"/>
        </w:rPr>
        <w:t>救治能力，改善患者就医条件，有效控制传染病传播，提高患者的治愈率和生活质量，为地区公共卫生安全提供有力保障。</w:t>
      </w:r>
      <w:r>
        <w:rPr>
          <w:rStyle w:val="19"/>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项目前期准备工作：医院领导组织相关科室负责人，对地区内结核病</w:t>
      </w:r>
      <w:r>
        <w:rPr>
          <w:rStyle w:val="19"/>
          <w:rFonts w:hint="eastAsia" w:ascii="仿宋_GB2312" w:hAnsi="仿宋_GB2312" w:eastAsia="仿宋_GB2312" w:cs="仿宋_GB2312"/>
          <w:b w:val="0"/>
          <w:bCs w:val="0"/>
          <w:spacing w:val="-4"/>
          <w:sz w:val="32"/>
          <w:szCs w:val="32"/>
          <w:lang w:eastAsia="zh-CN"/>
        </w:rPr>
        <w:t>等疾病</w:t>
      </w:r>
      <w:r>
        <w:rPr>
          <w:rStyle w:val="19"/>
          <w:rFonts w:hint="eastAsia" w:ascii="仿宋_GB2312" w:hAnsi="仿宋_GB2312" w:eastAsia="仿宋_GB2312" w:cs="仿宋_GB2312"/>
          <w:b w:val="0"/>
          <w:bCs w:val="0"/>
          <w:spacing w:val="-4"/>
          <w:sz w:val="32"/>
          <w:szCs w:val="32"/>
        </w:rPr>
        <w:t>的流行情况进行深入调研，收集患者信息和治疗需求。与财政、卫生健康等主管部门沟通协调，争取资金支持和政策指导。对现有医疗设备和物资进行盘点，评估救治工作的资源缺口。同时，组建项目管理团队，明确各成员职责，制定项目实施的具体流程和时间节点，为项目的顺利开展做好充分准备。</w:t>
      </w:r>
    </w:p>
    <w:p w14:paraId="1CA60233">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实施：2024年年初，启动检测试剂的采购招标工作，与供应商签订采购合同，确保试剂质量和供应时间。安排医护人员出差参加学术会议和培训，提升专业技能。2024年中期，对已采购的试剂进行验收，确保合格率达到</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同时对患者的救治工作进行跟踪评估，根据实际情况调整治疗方案。持续推进专用材料的采购和使用，改善就医环境。2024年第四季度，对项目资金的使用情况进行全面梳理，确保各项费用控制在预算范围内。对项目的实施效果进行初步评估，及时发现问题并采取改进措施。</w:t>
      </w:r>
    </w:p>
    <w:p w14:paraId="3DF87CAD">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完成：2024年12月，完成所有项目内容，对检测试剂的使用效果、患者的治疗情况进行全面统计分析。收集工作人员和患者的满意度反馈，总结项目实施过程中的经验教训。整理项目相关资料，进行绩效自评，为后续项目的开展提供参考依据。</w:t>
      </w:r>
    </w:p>
    <w:p w14:paraId="41CCBB1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4D25A7D">
      <w:pPr>
        <w:spacing w:line="540" w:lineRule="exact"/>
        <w:ind w:firstLine="624" w:firstLineChars="200"/>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（一）绩效评价目的、对象和范围</w:t>
      </w:r>
    </w:p>
    <w:p w14:paraId="76A1B14B">
      <w:pPr>
        <w:spacing w:line="540" w:lineRule="exact"/>
        <w:ind w:firstLine="567"/>
        <w:rPr>
          <w:rStyle w:val="19"/>
          <w:rFonts w:hint="eastAsia" w:ascii="仿宋_GB2312" w:hAnsi="仿宋_GB2312" w:eastAsia="仿宋_GB2312" w:cs="仿宋_GB2312"/>
          <w:b/>
          <w:bCs/>
          <w:spacing w:val="-4"/>
          <w:sz w:val="32"/>
          <w:szCs w:val="32"/>
          <w:lang w:val="en-US" w:eastAsia="zh-CN"/>
        </w:rPr>
      </w:pPr>
      <w:r>
        <w:rPr>
          <w:rStyle w:val="19"/>
          <w:rFonts w:hint="eastAsia" w:ascii="仿宋_GB2312" w:hAnsi="仿宋_GB2312" w:eastAsia="仿宋_GB2312" w:cs="仿宋_GB2312"/>
          <w:b/>
          <w:bCs/>
          <w:spacing w:val="-4"/>
          <w:sz w:val="32"/>
          <w:szCs w:val="32"/>
          <w:lang w:val="en-US" w:eastAsia="zh-CN"/>
        </w:rPr>
        <w:t>1.绩效评价的目的</w:t>
      </w:r>
    </w:p>
    <w:p w14:paraId="0F324279">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地财社〔2023〕73号-提前下达2024年重大传染病防控经费预算项目及相关补助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四是</w:t>
      </w:r>
      <w:r>
        <w:rPr>
          <w:rStyle w:val="19"/>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2.绩效评价对象</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和地财社〔2023〕73号-提前下达2024年重大传染病防控经费预算项目及相关补助资金项目，评价核心为项目的资金投入、产出及效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3.绩效评价范围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916656B">
      <w:pPr>
        <w:spacing w:line="540" w:lineRule="exact"/>
        <w:ind w:firstLine="567"/>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（二）绩效评价原则、评价指标体系、评价方法、评价标准</w:t>
      </w:r>
    </w:p>
    <w:p w14:paraId="755CE542">
      <w:pPr>
        <w:spacing w:line="540" w:lineRule="exact"/>
        <w:ind w:left="319" w:leftChars="152" w:firstLine="533" w:firstLineChars="170"/>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1.绩效评价原则</w:t>
      </w:r>
    </w:p>
    <w:p w14:paraId="701B4F9F">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2.绩效评价指标体系</w:t>
      </w:r>
      <w:r>
        <w:rPr>
          <w:rStyle w:val="19"/>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3.评价方法</w:t>
      </w:r>
      <w:r>
        <w:rPr>
          <w:rStyle w:val="19"/>
          <w:rFonts w:hint="eastAsia" w:ascii="仿宋_GB2312" w:hAnsi="仿宋_GB2312" w:eastAsia="仿宋_GB2312" w:cs="仿宋_GB2312"/>
          <w:b/>
          <w:bCs/>
          <w:spacing w:val="-4"/>
          <w:sz w:val="32"/>
          <w:szCs w:val="32"/>
          <w:lang w:val="en-US" w:eastAsia="zh-CN"/>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w:t>
      </w:r>
      <w:r>
        <w:rPr>
          <w:rStyle w:val="19"/>
          <w:rFonts w:hint="default" w:ascii="Times New Roman" w:hAnsi="Times New Roman" w:eastAsia="仿宋_GB2312" w:cs="Times New Roman"/>
          <w:b w:val="0"/>
          <w:bCs w:val="0"/>
          <w:spacing w:val="-4"/>
          <w:sz w:val="32"/>
          <w:szCs w:val="32"/>
        </w:rPr>
        <w:t>100%～80%</w:t>
      </w:r>
      <w:r>
        <w:rPr>
          <w:rStyle w:val="19"/>
          <w:rFonts w:hint="eastAsia" w:ascii="仿宋_GB2312" w:hAnsi="仿宋_GB2312" w:eastAsia="仿宋_GB2312" w:cs="仿宋_GB2312"/>
          <w:b w:val="0"/>
          <w:bCs w:val="0"/>
          <w:spacing w:val="-4"/>
          <w:sz w:val="32"/>
          <w:szCs w:val="32"/>
        </w:rPr>
        <w:t>（含）</w:t>
      </w:r>
      <w:r>
        <w:rPr>
          <w:rStyle w:val="19"/>
          <w:rFonts w:hint="default" w:ascii="Times New Roman" w:hAnsi="Times New Roman" w:eastAsia="仿宋_GB2312" w:cs="Times New Roman"/>
          <w:b w:val="0"/>
          <w:bCs w:val="0"/>
          <w:spacing w:val="-4"/>
          <w:sz w:val="32"/>
          <w:szCs w:val="32"/>
        </w:rPr>
        <w:t>、80%～60%</w:t>
      </w:r>
      <w:r>
        <w:rPr>
          <w:rStyle w:val="19"/>
          <w:rFonts w:hint="eastAsia" w:ascii="仿宋_GB2312" w:hAnsi="仿宋_GB2312" w:eastAsia="仿宋_GB2312" w:cs="仿宋_GB2312"/>
          <w:b w:val="0"/>
          <w:bCs w:val="0"/>
          <w:spacing w:val="-4"/>
          <w:sz w:val="32"/>
          <w:szCs w:val="32"/>
        </w:rPr>
        <w:t>（含）、</w:t>
      </w:r>
      <w:r>
        <w:rPr>
          <w:rStyle w:val="19"/>
          <w:rFonts w:hint="default" w:ascii="Times New Roman" w:hAnsi="Times New Roman" w:eastAsia="仿宋_GB2312" w:cs="Times New Roman"/>
          <w:b w:val="0"/>
          <w:bCs w:val="0"/>
          <w:spacing w:val="-4"/>
          <w:sz w:val="32"/>
          <w:szCs w:val="32"/>
        </w:rPr>
        <w:t>60%～0%</w:t>
      </w:r>
      <w:r>
        <w:rPr>
          <w:rStyle w:val="19"/>
          <w:rFonts w:hint="eastAsia" w:ascii="仿宋_GB2312" w:hAnsi="仿宋_GB2312" w:eastAsia="仿宋_GB2312" w:cs="仿宋_GB2312"/>
          <w:b w:val="0"/>
          <w:bCs w:val="0"/>
          <w:spacing w:val="-4"/>
          <w:sz w:val="32"/>
          <w:szCs w:val="32"/>
        </w:rPr>
        <w:t>合理确定分值，详细评价方法的应用如下: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p>
    <w:p w14:paraId="7D1FB8F8">
      <w:pPr>
        <w:spacing w:line="540" w:lineRule="exact"/>
        <w:ind w:firstLine="624" w:firstLineChars="200"/>
        <w:rPr>
          <w:rStyle w:val="19"/>
          <w:rFonts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资金到位率：比较法，资金到位率预期指标值应为</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4.评价标准</w:t>
      </w:r>
      <w:r>
        <w:rPr>
          <w:rStyle w:val="19"/>
          <w:rFonts w:hint="eastAsia" w:ascii="仿宋_GB2312" w:hAnsi="仿宋_GB2312" w:eastAsia="仿宋_GB2312" w:cs="仿宋_GB2312"/>
          <w:b/>
          <w:bCs/>
          <w:spacing w:val="-4"/>
          <w:sz w:val="32"/>
          <w:szCs w:val="32"/>
          <w:lang w:val="en-US" w:eastAsia="zh-CN"/>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A4D58FB">
      <w:pPr>
        <w:spacing w:line="540" w:lineRule="exact"/>
        <w:ind w:firstLine="564" w:firstLineChars="181"/>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（三）绩效评价工作过程</w:t>
      </w:r>
    </w:p>
    <w:p w14:paraId="564B9CBB">
      <w:pPr>
        <w:spacing w:line="540" w:lineRule="exact"/>
        <w:ind w:firstLine="627" w:firstLineChars="200"/>
        <w:rPr>
          <w:rStyle w:val="19"/>
          <w:rFonts w:hint="eastAsia" w:ascii="仿宋_GB2312" w:hAnsi="仿宋_GB2312" w:eastAsia="仿宋_GB2312" w:cs="仿宋_GB2312"/>
          <w:b/>
          <w:bCs/>
          <w:spacing w:val="-4"/>
          <w:sz w:val="32"/>
          <w:szCs w:val="32"/>
          <w:lang w:val="en-US" w:eastAsia="zh-CN"/>
        </w:rPr>
      </w:pPr>
      <w:r>
        <w:rPr>
          <w:rStyle w:val="19"/>
          <w:rFonts w:hint="eastAsia" w:ascii="仿宋_GB2312" w:hAnsi="仿宋_GB2312" w:eastAsia="仿宋_GB2312" w:cs="仿宋_GB2312"/>
          <w:b/>
          <w:bCs/>
          <w:spacing w:val="-4"/>
          <w:sz w:val="32"/>
          <w:szCs w:val="32"/>
          <w:lang w:val="en-US" w:eastAsia="zh-CN"/>
        </w:rPr>
        <w:t>1.前期准备</w:t>
      </w:r>
    </w:p>
    <w:p w14:paraId="179C72A3">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w:t>
      </w:r>
      <w:r>
        <w:rPr>
          <w:rStyle w:val="19"/>
          <w:rFonts w:hint="eastAsia" w:ascii="仿宋_GB2312" w:hAnsi="仿宋_GB2312" w:eastAsia="仿宋_GB2312" w:cs="仿宋_GB2312"/>
          <w:b w:val="0"/>
          <w:bCs w:val="0"/>
          <w:spacing w:val="-4"/>
          <w:sz w:val="32"/>
          <w:szCs w:val="32"/>
          <w:lang w:val="en-US" w:eastAsia="zh-CN"/>
        </w:rPr>
        <w:t>5</w:t>
      </w:r>
      <w:r>
        <w:rPr>
          <w:rStyle w:val="19"/>
          <w:rFonts w:hint="eastAsia" w:ascii="仿宋_GB2312" w:hAnsi="仿宋_GB2312" w:eastAsia="仿宋_GB2312" w:cs="仿宋_GB2312"/>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480212F">
      <w:pPr>
        <w:spacing w:line="540" w:lineRule="exact"/>
        <w:ind w:firstLine="624" w:firstLineChars="200"/>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吐送江·买托合提（评价小组组长）：主要负责审核并解决项目实施过程所有相关问题，复核绩效评价报告质量;</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马淑芳（评价小组组员）：主要负责收集项目绩效相关所有资料，负责报告中数据的核实。</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张兵（评价小组组员）：主要负责编制绩效评价报告，编制绩效评价附件表格。</w:t>
      </w:r>
      <w:r>
        <w:rPr>
          <w:rStyle w:val="19"/>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2.组织实施</w:t>
      </w:r>
      <w:r>
        <w:rPr>
          <w:rStyle w:val="19"/>
          <w:rFonts w:hint="eastAsia" w:ascii="仿宋_GB2312" w:hAnsi="仿宋_GB2312" w:eastAsia="仿宋_GB2312" w:cs="仿宋_GB2312"/>
          <w:b/>
          <w:bCs/>
          <w:spacing w:val="-4"/>
          <w:sz w:val="32"/>
          <w:szCs w:val="32"/>
          <w:lang w:val="en-US" w:eastAsia="zh-CN"/>
        </w:rPr>
        <w:cr/>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1月1日—1月31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9"/>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3.分析评价</w:t>
      </w:r>
      <w:r>
        <w:rPr>
          <w:rStyle w:val="19"/>
          <w:rFonts w:hint="eastAsia" w:ascii="仿宋_GB2312" w:hAnsi="仿宋_GB2312" w:eastAsia="仿宋_GB2312" w:cs="仿宋_GB2312"/>
          <w:b/>
          <w:bCs/>
          <w:spacing w:val="-4"/>
          <w:sz w:val="32"/>
          <w:szCs w:val="32"/>
          <w:lang w:val="en-US" w:eastAsia="zh-CN"/>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2025年2月1日—2月20日，评价小组按照绩效评价的原则和规范，对取得的资料进行审查核实，对采集的数据进行分析，按照绩效评价指标评分表逐项进行打分、分析、汇总各方评价结果。</w:t>
      </w:r>
      <w:r>
        <w:rPr>
          <w:rStyle w:val="19"/>
          <w:rFonts w:hint="eastAsia" w:ascii="仿宋_GB2312" w:hAnsi="仿宋_GB2312" w:eastAsia="仿宋_GB2312" w:cs="仿宋_GB2312"/>
          <w:b w:val="0"/>
          <w:bCs w:val="0"/>
          <w:spacing w:val="-4"/>
          <w:sz w:val="32"/>
          <w:szCs w:val="32"/>
          <w:lang w:val="en-US" w:eastAsia="zh-CN"/>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4.撰写与提交评价报告</w:t>
      </w:r>
      <w:r>
        <w:rPr>
          <w:rStyle w:val="19"/>
          <w:rFonts w:hint="eastAsia" w:ascii="仿宋_GB2312" w:hAnsi="仿宋_GB2312" w:eastAsia="仿宋_GB2312" w:cs="仿宋_GB2312"/>
          <w:b/>
          <w:bCs/>
          <w:spacing w:val="-4"/>
          <w:sz w:val="32"/>
          <w:szCs w:val="32"/>
          <w:lang w:val="en-US" w:eastAsia="zh-CN"/>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2025年2月21日—3月20日评价小组撰写绩效评价报告，按照新疆维吾尔自治区财政绩效管理信息系统绩效评价模块中统一格式和文本框架撰写绩效评价报告并提交审核。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5.问题整改</w:t>
      </w:r>
      <w:r>
        <w:rPr>
          <w:rStyle w:val="19"/>
          <w:rFonts w:hint="eastAsia" w:ascii="仿宋_GB2312" w:hAnsi="仿宋_GB2312" w:eastAsia="仿宋_GB2312" w:cs="仿宋_GB2312"/>
          <w:b/>
          <w:bCs/>
          <w:spacing w:val="-4"/>
          <w:sz w:val="32"/>
          <w:szCs w:val="32"/>
          <w:lang w:val="en-US" w:eastAsia="zh-CN"/>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F906514">
      <w:pPr>
        <w:spacing w:line="540" w:lineRule="exact"/>
        <w:ind w:firstLine="627" w:firstLineChars="200"/>
        <w:rPr>
          <w:rStyle w:val="19"/>
          <w:rFonts w:hint="eastAsia" w:ascii="仿宋_GB2312" w:hAnsi="仿宋_GB2312" w:eastAsia="仿宋_GB2312" w:cs="仿宋_GB2312"/>
          <w:b/>
          <w:bCs/>
          <w:spacing w:val="-4"/>
          <w:sz w:val="32"/>
          <w:szCs w:val="32"/>
          <w:lang w:val="en-US" w:eastAsia="zh-CN"/>
        </w:rPr>
      </w:pPr>
      <w:r>
        <w:rPr>
          <w:rStyle w:val="19"/>
          <w:rFonts w:hint="eastAsia" w:ascii="仿宋_GB2312" w:hAnsi="仿宋_GB2312" w:eastAsia="仿宋_GB2312" w:cs="仿宋_GB2312"/>
          <w:b/>
          <w:bCs/>
          <w:spacing w:val="-4"/>
          <w:sz w:val="32"/>
          <w:szCs w:val="32"/>
          <w:lang w:val="en-US" w:eastAsia="zh-CN"/>
        </w:rPr>
        <w:t>6.档案整理</w:t>
      </w:r>
    </w:p>
    <w:p w14:paraId="1B7AAA68">
      <w:pPr>
        <w:spacing w:line="540" w:lineRule="exact"/>
        <w:ind w:firstLine="624" w:firstLineChars="200"/>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lang w:val="en-US" w:eastAsia="zh-CN"/>
        </w:rPr>
        <w:t>建立和落实档案管理制度，将项目相关资料存档，包括但不限于：评价项目基本情况和相关文件、评价实施方案、项目支付资料等相关档案。</w:t>
      </w:r>
    </w:p>
    <w:p w14:paraId="444C1BA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84FF623">
      <w:pPr>
        <w:spacing w:line="540" w:lineRule="exact"/>
        <w:ind w:firstLine="624" w:firstLineChars="200"/>
        <w:rPr>
          <w:rStyle w:val="19"/>
          <w:rFonts w:hint="eastAsia" w:ascii="楷体" w:hAnsi="楷体" w:eastAsia="楷体" w:cs="楷体"/>
          <w:b w:val="0"/>
          <w:bCs w:val="0"/>
          <w:spacing w:val="-4"/>
          <w:sz w:val="32"/>
          <w:szCs w:val="32"/>
          <w:lang w:eastAsia="zh-CN"/>
        </w:rPr>
      </w:pPr>
      <w:r>
        <w:rPr>
          <w:rStyle w:val="19"/>
          <w:rFonts w:hint="eastAsia" w:ascii="楷体" w:hAnsi="楷体" w:eastAsia="楷体" w:cs="楷体"/>
          <w:b w:val="0"/>
          <w:bCs w:val="0"/>
          <w:spacing w:val="-4"/>
          <w:sz w:val="32"/>
          <w:szCs w:val="32"/>
          <w:lang w:eastAsia="zh-CN"/>
        </w:rPr>
        <w:t>（</w:t>
      </w:r>
      <w:r>
        <w:rPr>
          <w:rStyle w:val="19"/>
          <w:rFonts w:hint="eastAsia" w:ascii="楷体" w:hAnsi="楷体" w:eastAsia="楷体" w:cs="楷体"/>
          <w:b w:val="0"/>
          <w:bCs w:val="0"/>
          <w:spacing w:val="-4"/>
          <w:sz w:val="32"/>
          <w:szCs w:val="32"/>
          <w:lang w:val="en-US" w:eastAsia="zh-CN"/>
        </w:rPr>
        <w:t>一</w:t>
      </w:r>
      <w:r>
        <w:rPr>
          <w:rStyle w:val="19"/>
          <w:rFonts w:hint="eastAsia" w:ascii="楷体" w:hAnsi="楷体" w:eastAsia="楷体" w:cs="楷体"/>
          <w:b w:val="0"/>
          <w:bCs w:val="0"/>
          <w:spacing w:val="-4"/>
          <w:sz w:val="32"/>
          <w:szCs w:val="32"/>
          <w:lang w:eastAsia="zh-CN"/>
        </w:rPr>
        <w:t>）</w:t>
      </w:r>
      <w:r>
        <w:rPr>
          <w:rStyle w:val="19"/>
          <w:rFonts w:hint="eastAsia" w:ascii="楷体" w:hAnsi="楷体" w:eastAsia="楷体" w:cs="楷体"/>
          <w:b w:val="0"/>
          <w:spacing w:val="-4"/>
          <w:sz w:val="32"/>
          <w:szCs w:val="32"/>
        </w:rPr>
        <w:t>综合评价情况</w:t>
      </w:r>
    </w:p>
    <w:p w14:paraId="5881B125">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资金执行到位，保障项目顺利开展。根据新财社〔2023〕218号和地财社〔2023〕73号通知，新疆和田地区传染病专科医院获得</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万元重大传染病防控经费预算，且资金执行率达</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确保了项目的资金支持。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产出指标达标，物资采购质量与时效兼具。购置了1批试剂，试剂验收合格率达</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，采购合同执行率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，试剂采购及时率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，同时各项成本指标均控制在预算范围内，保障了艾滋病和结核病防治工作的物资需求。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效益与满意度提升，实现多方受益。增强了对病人及医护人员的防护，工作人员和患者满意度均达</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，有效改善了患者就医条件，提升了医疗服务能力，项目效益显著。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CESI楷体-GB2312" w:hAnsi="CESI楷体-GB2312" w:eastAsia="CESI楷体-GB2312" w:cs="CESI楷体-GB2312"/>
          <w:b/>
          <w:bCs/>
          <w:spacing w:val="-4"/>
          <w:sz w:val="32"/>
          <w:szCs w:val="32"/>
          <w:lang w:val="en-US" w:eastAsia="zh-CN"/>
        </w:rPr>
        <w:t xml:space="preserve"> </w:t>
      </w:r>
      <w:r>
        <w:rPr>
          <w:rStyle w:val="19"/>
          <w:rFonts w:hint="eastAsia" w:ascii="楷体" w:hAnsi="楷体" w:eastAsia="楷体" w:cs="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分，绩效评级为“优”。综合评价结论如下：本项目共设置三级指标数量</w:t>
      </w:r>
      <w:r>
        <w:rPr>
          <w:rStyle w:val="19"/>
          <w:rFonts w:hint="default" w:ascii="Times New Roman" w:hAnsi="Times New Roman" w:eastAsia="仿宋_GB2312" w:cs="Times New Roman"/>
          <w:b w:val="0"/>
          <w:bCs w:val="0"/>
          <w:spacing w:val="-4"/>
          <w:sz w:val="32"/>
          <w:szCs w:val="32"/>
        </w:rPr>
        <w:t>21</w:t>
      </w:r>
      <w:r>
        <w:rPr>
          <w:rStyle w:val="19"/>
          <w:rFonts w:hint="eastAsia" w:ascii="仿宋_GB2312" w:hAnsi="仿宋_GB2312" w:eastAsia="仿宋_GB2312" w:cs="仿宋_GB2312"/>
          <w:b w:val="0"/>
          <w:bCs w:val="0"/>
          <w:spacing w:val="-4"/>
          <w:sz w:val="32"/>
          <w:szCs w:val="32"/>
        </w:rPr>
        <w:t>个，实现三级指标数量</w:t>
      </w:r>
      <w:r>
        <w:rPr>
          <w:rStyle w:val="19"/>
          <w:rFonts w:hint="default" w:ascii="Times New Roman" w:hAnsi="Times New Roman" w:eastAsia="仿宋_GB2312" w:cs="Times New Roman"/>
          <w:b w:val="0"/>
          <w:bCs w:val="0"/>
          <w:spacing w:val="-4"/>
          <w:sz w:val="32"/>
          <w:szCs w:val="32"/>
        </w:rPr>
        <w:t>21</w:t>
      </w:r>
      <w:r>
        <w:rPr>
          <w:rStyle w:val="19"/>
          <w:rFonts w:hint="eastAsia" w:ascii="仿宋_GB2312" w:hAnsi="仿宋_GB2312" w:eastAsia="仿宋_GB2312" w:cs="仿宋_GB2312"/>
          <w:b w:val="0"/>
          <w:bCs w:val="0"/>
          <w:spacing w:val="-4"/>
          <w:sz w:val="32"/>
          <w:szCs w:val="32"/>
        </w:rPr>
        <w:t>个，总体完成率为</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w:t>
      </w:r>
      <w:r>
        <w:rPr>
          <w:rStyle w:val="19"/>
          <w:rFonts w:hint="default" w:ascii="Times New Roman" w:hAnsi="Times New Roman" w:eastAsia="仿宋_GB2312" w:cs="Times New Roman"/>
          <w:b w:val="0"/>
          <w:bCs w:val="0"/>
          <w:spacing w:val="-4"/>
          <w:sz w:val="32"/>
          <w:szCs w:val="32"/>
        </w:rPr>
        <w:t>6</w:t>
      </w:r>
      <w:r>
        <w:rPr>
          <w:rStyle w:val="19"/>
          <w:rFonts w:hint="eastAsia" w:ascii="仿宋_GB2312" w:hAnsi="仿宋_GB2312" w:eastAsia="仿宋_GB2312" w:cs="仿宋_GB2312"/>
          <w:b w:val="0"/>
          <w:bCs w:val="0"/>
          <w:spacing w:val="-4"/>
          <w:sz w:val="32"/>
          <w:szCs w:val="32"/>
        </w:rPr>
        <w:t>个，满分指标</w:t>
      </w:r>
      <w:r>
        <w:rPr>
          <w:rStyle w:val="19"/>
          <w:rFonts w:hint="default" w:ascii="Times New Roman" w:hAnsi="Times New Roman" w:eastAsia="仿宋_GB2312" w:cs="Times New Roman"/>
          <w:b w:val="0"/>
          <w:bCs w:val="0"/>
          <w:spacing w:val="-4"/>
          <w:sz w:val="32"/>
          <w:szCs w:val="32"/>
        </w:rPr>
        <w:t>6</w:t>
      </w:r>
      <w:r>
        <w:rPr>
          <w:rStyle w:val="19"/>
          <w:rFonts w:hint="eastAsia" w:ascii="仿宋_GB2312" w:hAnsi="仿宋_GB2312" w:eastAsia="仿宋_GB2312" w:cs="仿宋_GB2312"/>
          <w:b w:val="0"/>
          <w:bCs w:val="0"/>
          <w:spacing w:val="-4"/>
          <w:sz w:val="32"/>
          <w:szCs w:val="32"/>
        </w:rPr>
        <w:t>个，权重分</w:t>
      </w:r>
      <w:r>
        <w:rPr>
          <w:rStyle w:val="19"/>
          <w:rFonts w:hint="default" w:ascii="Times New Roman" w:hAnsi="Times New Roman" w:eastAsia="仿宋_GB2312" w:cs="Times New Roman"/>
          <w:b w:val="0"/>
          <w:bCs w:val="0"/>
          <w:spacing w:val="-4"/>
          <w:sz w:val="32"/>
          <w:szCs w:val="32"/>
        </w:rPr>
        <w:t>21</w:t>
      </w:r>
      <w:r>
        <w:rPr>
          <w:rStyle w:val="19"/>
          <w:rFonts w:hint="eastAsia" w:ascii="仿宋_GB2312" w:hAnsi="仿宋_GB2312" w:eastAsia="仿宋_GB2312" w:cs="仿宋_GB2312"/>
          <w:b w:val="0"/>
          <w:bCs w:val="0"/>
          <w:spacing w:val="-4"/>
          <w:sz w:val="32"/>
          <w:szCs w:val="32"/>
        </w:rPr>
        <w:t>分，得分</w:t>
      </w:r>
      <w:r>
        <w:rPr>
          <w:rStyle w:val="19"/>
          <w:rFonts w:hint="default" w:ascii="Times New Roman" w:hAnsi="Times New Roman" w:eastAsia="仿宋_GB2312" w:cs="Times New Roman"/>
          <w:b w:val="0"/>
          <w:bCs w:val="0"/>
          <w:spacing w:val="-4"/>
          <w:sz w:val="32"/>
          <w:szCs w:val="32"/>
        </w:rPr>
        <w:t>21</w:t>
      </w:r>
      <w:r>
        <w:rPr>
          <w:rStyle w:val="19"/>
          <w:rFonts w:hint="eastAsia" w:ascii="仿宋_GB2312" w:hAnsi="仿宋_GB2312" w:eastAsia="仿宋_GB2312" w:cs="仿宋_GB2312"/>
          <w:b w:val="0"/>
          <w:bCs w:val="0"/>
          <w:spacing w:val="-4"/>
          <w:sz w:val="32"/>
          <w:szCs w:val="32"/>
        </w:rPr>
        <w:t>分，得分率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个，满分指标</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个，权重分</w:t>
      </w:r>
      <w:r>
        <w:rPr>
          <w:rStyle w:val="19"/>
          <w:rFonts w:hint="default" w:ascii="Times New Roman" w:hAnsi="Times New Roman" w:eastAsia="仿宋_GB2312" w:cs="Times New Roman"/>
          <w:b w:val="0"/>
          <w:bCs w:val="0"/>
          <w:spacing w:val="-4"/>
          <w:sz w:val="32"/>
          <w:szCs w:val="32"/>
        </w:rPr>
        <w:t>19</w:t>
      </w:r>
      <w:r>
        <w:rPr>
          <w:rStyle w:val="19"/>
          <w:rFonts w:hint="eastAsia" w:ascii="仿宋_GB2312" w:hAnsi="仿宋_GB2312" w:eastAsia="仿宋_GB2312" w:cs="仿宋_GB2312"/>
          <w:b w:val="0"/>
          <w:bCs w:val="0"/>
          <w:spacing w:val="-4"/>
          <w:sz w:val="32"/>
          <w:szCs w:val="32"/>
        </w:rPr>
        <w:t>分，得分</w:t>
      </w:r>
      <w:r>
        <w:rPr>
          <w:rStyle w:val="19"/>
          <w:rFonts w:hint="default" w:ascii="Times New Roman" w:hAnsi="Times New Roman" w:eastAsia="仿宋_GB2312" w:cs="Times New Roman"/>
          <w:b w:val="0"/>
          <w:bCs w:val="0"/>
          <w:spacing w:val="-4"/>
          <w:sz w:val="32"/>
          <w:szCs w:val="32"/>
        </w:rPr>
        <w:t>19</w:t>
      </w:r>
      <w:r>
        <w:rPr>
          <w:rStyle w:val="19"/>
          <w:rFonts w:hint="eastAsia" w:ascii="仿宋_GB2312" w:hAnsi="仿宋_GB2312" w:eastAsia="仿宋_GB2312" w:cs="仿宋_GB2312"/>
          <w:b w:val="0"/>
          <w:bCs w:val="0"/>
          <w:spacing w:val="-4"/>
          <w:sz w:val="32"/>
          <w:szCs w:val="32"/>
        </w:rPr>
        <w:t>分，得分率</w:t>
      </w:r>
      <w:r>
        <w:rPr>
          <w:rStyle w:val="19"/>
          <w:rFonts w:hint="default" w:ascii="Times New Roman" w:hAnsi="Times New Roman" w:eastAsia="方正小标宋简体"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p>
    <w:p w14:paraId="0A550BC2">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w:t>
      </w:r>
      <w:r>
        <w:rPr>
          <w:rStyle w:val="19"/>
          <w:rFonts w:hint="default" w:ascii="Times New Roman" w:hAnsi="Times New Roman" w:eastAsia="仿宋_GB2312" w:cs="Times New Roman"/>
          <w:b w:val="0"/>
          <w:bCs w:val="0"/>
          <w:spacing w:val="-4"/>
          <w:sz w:val="32"/>
          <w:szCs w:val="32"/>
        </w:rPr>
        <w:t>7</w:t>
      </w:r>
      <w:r>
        <w:rPr>
          <w:rStyle w:val="19"/>
          <w:rFonts w:hint="eastAsia" w:ascii="仿宋_GB2312" w:hAnsi="仿宋_GB2312" w:eastAsia="仿宋_GB2312" w:cs="仿宋_GB2312"/>
          <w:b w:val="0"/>
          <w:bCs w:val="0"/>
          <w:spacing w:val="-4"/>
          <w:sz w:val="32"/>
          <w:szCs w:val="32"/>
        </w:rPr>
        <w:t>个，满分指标</w:t>
      </w:r>
      <w:r>
        <w:rPr>
          <w:rStyle w:val="19"/>
          <w:rFonts w:hint="default" w:ascii="Times New Roman" w:hAnsi="Times New Roman" w:eastAsia="仿宋_GB2312" w:cs="Times New Roman"/>
          <w:b w:val="0"/>
          <w:bCs w:val="0"/>
          <w:spacing w:val="-4"/>
          <w:sz w:val="32"/>
          <w:szCs w:val="32"/>
        </w:rPr>
        <w:t>7</w:t>
      </w:r>
      <w:r>
        <w:rPr>
          <w:rStyle w:val="19"/>
          <w:rFonts w:hint="eastAsia" w:ascii="仿宋_GB2312" w:hAnsi="仿宋_GB2312" w:eastAsia="仿宋_GB2312" w:cs="仿宋_GB2312"/>
          <w:b w:val="0"/>
          <w:bCs w:val="0"/>
          <w:spacing w:val="-4"/>
          <w:sz w:val="32"/>
          <w:szCs w:val="32"/>
        </w:rPr>
        <w:t>个，权重分</w:t>
      </w:r>
      <w:r>
        <w:rPr>
          <w:rStyle w:val="19"/>
          <w:rFonts w:hint="default" w:ascii="Times New Roman" w:hAnsi="Times New Roman" w:eastAsia="仿宋_GB2312" w:cs="Times New Roman"/>
          <w:b w:val="0"/>
          <w:bCs w:val="0"/>
          <w:spacing w:val="-4"/>
          <w:sz w:val="32"/>
          <w:szCs w:val="32"/>
        </w:rPr>
        <w:t>20</w:t>
      </w:r>
      <w:r>
        <w:rPr>
          <w:rStyle w:val="19"/>
          <w:rFonts w:hint="eastAsia" w:ascii="仿宋_GB2312" w:hAnsi="仿宋_GB2312" w:eastAsia="仿宋_GB2312" w:cs="仿宋_GB2312"/>
          <w:b w:val="0"/>
          <w:bCs w:val="0"/>
          <w:spacing w:val="-4"/>
          <w:sz w:val="32"/>
          <w:szCs w:val="32"/>
        </w:rPr>
        <w:t>分，得分</w:t>
      </w:r>
      <w:r>
        <w:rPr>
          <w:rStyle w:val="19"/>
          <w:rFonts w:hint="default" w:ascii="Times New Roman" w:hAnsi="Times New Roman" w:eastAsia="仿宋_GB2312" w:cs="Times New Roman"/>
          <w:b w:val="0"/>
          <w:bCs w:val="0"/>
          <w:spacing w:val="-4"/>
          <w:sz w:val="32"/>
          <w:szCs w:val="32"/>
        </w:rPr>
        <w:t>20</w:t>
      </w:r>
      <w:r>
        <w:rPr>
          <w:rStyle w:val="19"/>
          <w:rFonts w:hint="eastAsia" w:ascii="仿宋_GB2312" w:hAnsi="仿宋_GB2312" w:eastAsia="仿宋_GB2312" w:cs="仿宋_GB2312"/>
          <w:b w:val="0"/>
          <w:bCs w:val="0"/>
          <w:spacing w:val="-4"/>
          <w:sz w:val="32"/>
          <w:szCs w:val="32"/>
        </w:rPr>
        <w:t>分，得分率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w:t>
      </w:r>
      <w:r>
        <w:rPr>
          <w:rStyle w:val="19"/>
          <w:rFonts w:hint="default" w:ascii="Times New Roman" w:hAnsi="Times New Roman" w:eastAsia="仿宋_GB2312" w:cs="Times New Roman"/>
          <w:b w:val="0"/>
          <w:bCs w:val="0"/>
          <w:spacing w:val="-4"/>
          <w:sz w:val="32"/>
          <w:szCs w:val="32"/>
        </w:rPr>
        <w:t>3</w:t>
      </w:r>
      <w:r>
        <w:rPr>
          <w:rStyle w:val="19"/>
          <w:rFonts w:hint="eastAsia" w:ascii="仿宋_GB2312" w:hAnsi="仿宋_GB2312" w:eastAsia="仿宋_GB2312" w:cs="仿宋_GB2312"/>
          <w:b w:val="0"/>
          <w:bCs w:val="0"/>
          <w:spacing w:val="-4"/>
          <w:sz w:val="32"/>
          <w:szCs w:val="32"/>
        </w:rPr>
        <w:t>个，满分指标</w:t>
      </w:r>
      <w:r>
        <w:rPr>
          <w:rStyle w:val="19"/>
          <w:rFonts w:hint="default" w:ascii="Times New Roman" w:hAnsi="Times New Roman" w:eastAsia="仿宋_GB2312" w:cs="Times New Roman"/>
          <w:b w:val="0"/>
          <w:bCs w:val="0"/>
          <w:spacing w:val="-4"/>
          <w:sz w:val="32"/>
          <w:szCs w:val="32"/>
        </w:rPr>
        <w:t>3</w:t>
      </w:r>
      <w:r>
        <w:rPr>
          <w:rStyle w:val="19"/>
          <w:rFonts w:hint="eastAsia" w:ascii="仿宋_GB2312" w:hAnsi="仿宋_GB2312" w:eastAsia="仿宋_GB2312" w:cs="仿宋_GB2312"/>
          <w:b w:val="0"/>
          <w:bCs w:val="0"/>
          <w:spacing w:val="-4"/>
          <w:sz w:val="32"/>
          <w:szCs w:val="32"/>
        </w:rPr>
        <w:t>个，权重分</w:t>
      </w:r>
      <w:r>
        <w:rPr>
          <w:rStyle w:val="19"/>
          <w:rFonts w:hint="default" w:ascii="Times New Roman" w:hAnsi="Times New Roman" w:eastAsia="仿宋_GB2312" w:cs="Times New Roman"/>
          <w:b w:val="0"/>
          <w:bCs w:val="0"/>
          <w:spacing w:val="-4"/>
          <w:sz w:val="32"/>
          <w:szCs w:val="32"/>
        </w:rPr>
        <w:t>40</w:t>
      </w:r>
      <w:r>
        <w:rPr>
          <w:rStyle w:val="19"/>
          <w:rFonts w:hint="eastAsia" w:ascii="仿宋_GB2312" w:hAnsi="仿宋_GB2312" w:eastAsia="仿宋_GB2312" w:cs="仿宋_GB2312"/>
          <w:b w:val="0"/>
          <w:bCs w:val="0"/>
          <w:spacing w:val="-4"/>
          <w:sz w:val="32"/>
          <w:szCs w:val="32"/>
        </w:rPr>
        <w:t>分，得分</w:t>
      </w:r>
      <w:r>
        <w:rPr>
          <w:rStyle w:val="19"/>
          <w:rFonts w:hint="default" w:ascii="Times New Roman" w:hAnsi="Times New Roman" w:eastAsia="仿宋_GB2312" w:cs="Times New Roman"/>
          <w:b w:val="0"/>
          <w:bCs w:val="0"/>
          <w:spacing w:val="-4"/>
          <w:sz w:val="32"/>
          <w:szCs w:val="32"/>
        </w:rPr>
        <w:t>40</w:t>
      </w:r>
      <w:r>
        <w:rPr>
          <w:rStyle w:val="19"/>
          <w:rFonts w:hint="eastAsia" w:ascii="仿宋_GB2312" w:hAnsi="仿宋_GB2312" w:eastAsia="仿宋_GB2312" w:cs="仿宋_GB2312"/>
          <w:b w:val="0"/>
          <w:bCs w:val="0"/>
          <w:spacing w:val="-4"/>
          <w:sz w:val="32"/>
          <w:szCs w:val="32"/>
        </w:rPr>
        <w:t>分，得分率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14:paraId="59B57A09">
      <w:pPr>
        <w:spacing w:line="540" w:lineRule="exact"/>
        <w:ind w:firstLine="640"/>
        <w:rPr>
          <w:rStyle w:val="19"/>
          <w:rFonts w:ascii="黑体" w:hAnsi="黑体" w:eastAsia="黑体"/>
          <w:sz w:val="32"/>
          <w:szCs w:val="32"/>
        </w:rPr>
      </w:pPr>
      <w:r>
        <w:rPr>
          <w:rStyle w:val="19"/>
          <w:rFonts w:hint="eastAsia" w:ascii="黑体" w:hAnsi="黑体" w:eastAsia="黑体"/>
          <w:b w:val="0"/>
          <w:spacing w:val="-4"/>
          <w:sz w:val="32"/>
          <w:szCs w:val="32"/>
        </w:rPr>
        <w:t>四、绩效评价指标分析</w:t>
      </w:r>
      <w:r>
        <w:rPr>
          <w:rStyle w:val="19"/>
          <w:rFonts w:hint="eastAsia" w:ascii="黑体" w:hAnsi="黑体" w:eastAsia="黑体"/>
          <w:sz w:val="32"/>
          <w:szCs w:val="32"/>
        </w:rPr>
        <w:t xml:space="preserve"> </w:t>
      </w:r>
    </w:p>
    <w:p w14:paraId="5653C922">
      <w:pPr>
        <w:spacing w:line="540" w:lineRule="exact"/>
        <w:ind w:firstLine="564" w:firstLineChars="181"/>
        <w:rPr>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（一）</w:t>
      </w:r>
      <w:r>
        <w:rPr>
          <w:rStyle w:val="19"/>
          <w:rFonts w:hint="eastAsia" w:ascii="楷体" w:hAnsi="楷体" w:eastAsia="楷体" w:cs="楷体"/>
          <w:b w:val="0"/>
          <w:bCs/>
          <w:spacing w:val="-4"/>
          <w:sz w:val="32"/>
          <w:szCs w:val="32"/>
        </w:rPr>
        <w:t>项目决策情况</w:t>
      </w:r>
    </w:p>
    <w:p w14:paraId="00E53C18">
      <w:pPr>
        <w:tabs>
          <w:tab w:val="center" w:pos="4295"/>
        </w:tabs>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w:t>
      </w:r>
      <w:r>
        <w:rPr>
          <w:rStyle w:val="19"/>
          <w:rFonts w:hint="default" w:ascii="Times New Roman" w:hAnsi="Times New Roman" w:eastAsia="仿宋_GB2312" w:cs="Times New Roman"/>
          <w:b w:val="0"/>
          <w:bCs w:val="0"/>
          <w:spacing w:val="-4"/>
          <w:sz w:val="32"/>
          <w:szCs w:val="32"/>
        </w:rPr>
        <w:t>3</w:t>
      </w:r>
      <w:r>
        <w:rPr>
          <w:rStyle w:val="19"/>
          <w:rFonts w:hint="eastAsia" w:ascii="仿宋_GB2312" w:hAnsi="仿宋_GB2312" w:eastAsia="仿宋_GB2312" w:cs="仿宋_GB2312"/>
          <w:b w:val="0"/>
          <w:bCs w:val="0"/>
          <w:spacing w:val="-4"/>
          <w:sz w:val="32"/>
          <w:szCs w:val="32"/>
        </w:rPr>
        <w:t>个二级指标和</w:t>
      </w:r>
      <w:r>
        <w:rPr>
          <w:rStyle w:val="19"/>
          <w:rFonts w:hint="default" w:ascii="Times New Roman" w:hAnsi="Times New Roman" w:eastAsia="仿宋_GB2312" w:cs="Times New Roman"/>
          <w:b w:val="0"/>
          <w:bCs w:val="0"/>
          <w:spacing w:val="-4"/>
          <w:sz w:val="32"/>
          <w:szCs w:val="32"/>
        </w:rPr>
        <w:t>6</w:t>
      </w:r>
      <w:r>
        <w:rPr>
          <w:rStyle w:val="19"/>
          <w:rFonts w:hint="eastAsia" w:ascii="仿宋_GB2312" w:hAnsi="仿宋_GB2312" w:eastAsia="仿宋_GB2312" w:cs="仿宋_GB2312"/>
          <w:b w:val="0"/>
          <w:bCs w:val="0"/>
          <w:spacing w:val="-4"/>
          <w:sz w:val="32"/>
          <w:szCs w:val="32"/>
        </w:rPr>
        <w:t>个三级指标构成，权重分</w:t>
      </w:r>
      <w:r>
        <w:rPr>
          <w:rStyle w:val="19"/>
          <w:rFonts w:hint="default" w:ascii="Times New Roman" w:hAnsi="Times New Roman" w:eastAsia="仿宋_GB2312" w:cs="Times New Roman"/>
          <w:b w:val="0"/>
          <w:bCs w:val="0"/>
          <w:spacing w:val="-4"/>
          <w:sz w:val="32"/>
          <w:szCs w:val="32"/>
        </w:rPr>
        <w:t>21</w:t>
      </w:r>
      <w:r>
        <w:rPr>
          <w:rStyle w:val="19"/>
          <w:rFonts w:hint="eastAsia" w:ascii="仿宋_GB2312" w:hAnsi="仿宋_GB2312" w:eastAsia="仿宋_GB2312" w:cs="仿宋_GB2312"/>
          <w:b w:val="0"/>
          <w:bCs w:val="0"/>
          <w:spacing w:val="-4"/>
          <w:sz w:val="32"/>
          <w:szCs w:val="32"/>
        </w:rPr>
        <w:t>分，实际得分</w:t>
      </w:r>
      <w:r>
        <w:rPr>
          <w:rStyle w:val="19"/>
          <w:rFonts w:hint="default" w:ascii="Times New Roman" w:hAnsi="Times New Roman" w:eastAsia="仿宋_GB2312" w:cs="Times New Roman"/>
          <w:b w:val="0"/>
          <w:bCs w:val="0"/>
          <w:spacing w:val="-4"/>
          <w:sz w:val="32"/>
          <w:szCs w:val="32"/>
        </w:rPr>
        <w:t>21</w:t>
      </w:r>
      <w:r>
        <w:rPr>
          <w:rStyle w:val="19"/>
          <w:rFonts w:hint="eastAsia" w:ascii="仿宋_GB2312" w:hAnsi="仿宋_GB2312" w:eastAsia="仿宋_GB2312" w:cs="仿宋_GB2312"/>
          <w:b w:val="0"/>
          <w:bCs w:val="0"/>
          <w:spacing w:val="-4"/>
          <w:sz w:val="32"/>
          <w:szCs w:val="32"/>
        </w:rPr>
        <w:t>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（1）立项依据充分性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本项目立项符合和地财社〔2024〕24号和地财社〔2023〕73号文件要求，符合行业发展规划和政策要求；根据单位职能中“用于保障新疆和田地区传染病专科医院医疗服务能力，提升</w:t>
      </w:r>
      <w:r>
        <w:rPr>
          <w:rStyle w:val="19"/>
          <w:rFonts w:hint="eastAsia" w:ascii="仿宋_GB2312" w:hAnsi="仿宋_GB2312" w:eastAsia="仿宋_GB2312" w:cs="仿宋_GB2312"/>
          <w:b w:val="0"/>
          <w:bCs w:val="0"/>
          <w:spacing w:val="-4"/>
          <w:sz w:val="32"/>
          <w:szCs w:val="32"/>
          <w:lang w:eastAsia="zh-CN"/>
        </w:rPr>
        <w:t>传染病</w:t>
      </w:r>
      <w:r>
        <w:rPr>
          <w:rStyle w:val="19"/>
          <w:rFonts w:hint="eastAsia" w:ascii="仿宋_GB2312" w:hAnsi="仿宋_GB2312" w:eastAsia="仿宋_GB2312" w:cs="仿宋_GB2312"/>
          <w:b w:val="0"/>
          <w:bCs w:val="0"/>
          <w:spacing w:val="-4"/>
          <w:sz w:val="32"/>
          <w:szCs w:val="32"/>
        </w:rPr>
        <w:t>救治水平”，属于我单位履职所需；根据《财政资金直接支付申请书》，本项目资金性质为“公共财政预算”功能分类为“2100409重大公共卫生服务”经济分类为“50502商品和服务支出”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分，根据评分标准得</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分，本项目立项依据充分。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（2）立项程序规范性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社〔2023〕73号及和地财社〔2024〕24号文件要求实施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p>
    <w:p w14:paraId="5C78CB0D">
      <w:pPr>
        <w:tabs>
          <w:tab w:val="center" w:pos="4295"/>
        </w:tabs>
        <w:spacing w:line="540" w:lineRule="exact"/>
        <w:ind w:firstLine="627" w:firstLineChars="200"/>
        <w:rPr>
          <w:rStyle w:val="19"/>
          <w:rFonts w:hint="eastAsia" w:ascii="楷体" w:hAnsi="楷体" w:eastAsia="楷体"/>
          <w:b w:val="0"/>
          <w:bCs w:val="0"/>
          <w:spacing w:val="-4"/>
          <w:sz w:val="32"/>
          <w:szCs w:val="32"/>
          <w:lang w:eastAsia="zh-CN"/>
        </w:rPr>
      </w:pPr>
      <w:r>
        <w:rPr>
          <w:rStyle w:val="19"/>
          <w:rFonts w:hint="eastAsia" w:ascii="仿宋_GB2312" w:hAnsi="仿宋_GB2312" w:eastAsia="仿宋_GB2312" w:cs="仿宋_GB2312"/>
          <w:b/>
          <w:bCs/>
          <w:spacing w:val="-4"/>
          <w:sz w:val="32"/>
          <w:szCs w:val="32"/>
        </w:rPr>
        <w:t>2.绩效目标情况分析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（1）</w:t>
      </w:r>
      <w:r>
        <w:rPr>
          <w:rStyle w:val="19"/>
          <w:rFonts w:hint="eastAsia" w:ascii="仿宋_GB2312" w:hAnsi="仿宋_GB2312" w:eastAsia="仿宋_GB2312" w:cs="仿宋_GB2312"/>
          <w:b/>
          <w:bCs/>
          <w:spacing w:val="-4"/>
          <w:sz w:val="32"/>
          <w:szCs w:val="32"/>
        </w:rPr>
        <w:t>绩效目标合理性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本项目已设置年度绩效目标，具体内容为“项目总投资</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万元，购置试剂批数（批）1批，试剂验收合格率</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通过本项目的实施提升重大传染病应对能力和医疗服务质量，争取使受益患者满意度达到</w:t>
      </w:r>
      <w:r>
        <w:rPr>
          <w:rStyle w:val="19"/>
          <w:rFonts w:hint="default" w:ascii="Times New Roman" w:hAnsi="Times New Roman" w:eastAsia="仿宋_GB2312" w:cs="Times New Roman"/>
          <w:b w:val="0"/>
          <w:bCs w:val="0"/>
          <w:spacing w:val="-4"/>
          <w:sz w:val="32"/>
          <w:szCs w:val="32"/>
        </w:rPr>
        <w:t>95%</w:t>
      </w:r>
      <w:r>
        <w:rPr>
          <w:rStyle w:val="19"/>
          <w:rFonts w:hint="eastAsia" w:ascii="仿宋_GB2312" w:hAnsi="仿宋_GB2312" w:eastAsia="仿宋_GB2312" w:cs="仿宋_GB2312"/>
          <w:b w:val="0"/>
          <w:bCs w:val="0"/>
          <w:spacing w:val="-4"/>
          <w:sz w:val="32"/>
          <w:szCs w:val="32"/>
        </w:rPr>
        <w:t>以上”；本项目实际工作内容为：截至2024年12月31日，本项目实际支出资金89万元，预算执行率为</w:t>
      </w:r>
      <w:r>
        <w:rPr>
          <w:rStyle w:val="19"/>
          <w:rFonts w:hint="default" w:ascii="Times New Roman" w:hAnsi="Times New Roman" w:eastAsia="仿宋_GB2312" w:cs="Times New Roman"/>
          <w:b w:val="0"/>
          <w:bCs w:val="0"/>
          <w:spacing w:val="-4"/>
          <w:sz w:val="32"/>
          <w:szCs w:val="32"/>
        </w:rPr>
        <w:t>100.00%</w:t>
      </w:r>
      <w:r>
        <w:rPr>
          <w:rStyle w:val="19"/>
          <w:rFonts w:hint="eastAsia" w:ascii="仿宋_GB2312" w:hAnsi="仿宋_GB2312" w:eastAsia="仿宋_GB2312" w:cs="仿宋_GB2312"/>
          <w:b w:val="0"/>
          <w:bCs w:val="0"/>
          <w:spacing w:val="-4"/>
          <w:sz w:val="32"/>
          <w:szCs w:val="32"/>
        </w:rPr>
        <w:t>。实际已于2024年12月31项目全部完成；绩效目标与实际工作内容一致，两者具有相关性;本项目按照绩效目标完成了数量指标、质量指标、时效指标、成本指标，有效提升医疗服务质量和重大传染病应对能力，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w:t>
      </w:r>
      <w:r>
        <w:rPr>
          <w:rStyle w:val="19"/>
          <w:rFonts w:hint="default" w:ascii="Times New Roman" w:hAnsi="Times New Roman" w:eastAsia="仿宋_GB2312" w:cs="Times New Roman"/>
          <w:b w:val="0"/>
          <w:bCs w:val="0"/>
          <w:spacing w:val="-4"/>
          <w:sz w:val="32"/>
          <w:szCs w:val="32"/>
        </w:rPr>
        <w:t>4</w:t>
      </w:r>
      <w:r>
        <w:rPr>
          <w:rStyle w:val="19"/>
          <w:rFonts w:hint="eastAsia" w:ascii="仿宋_GB2312" w:hAnsi="仿宋_GB2312" w:eastAsia="仿宋_GB2312" w:cs="仿宋_GB2312"/>
          <w:b w:val="0"/>
          <w:bCs w:val="0"/>
          <w:spacing w:val="-4"/>
          <w:sz w:val="32"/>
          <w:szCs w:val="32"/>
        </w:rPr>
        <w:t>分，根据评分标准得</w:t>
      </w:r>
      <w:r>
        <w:rPr>
          <w:rStyle w:val="19"/>
          <w:rFonts w:hint="default" w:ascii="Times New Roman" w:hAnsi="Times New Roman" w:eastAsia="仿宋_GB2312" w:cs="Times New Roman"/>
          <w:b w:val="0"/>
          <w:bCs w:val="0"/>
          <w:spacing w:val="-4"/>
          <w:sz w:val="32"/>
          <w:szCs w:val="32"/>
        </w:rPr>
        <w:t>4</w:t>
      </w:r>
      <w:r>
        <w:rPr>
          <w:rStyle w:val="19"/>
          <w:rFonts w:hint="eastAsia" w:ascii="仿宋_GB2312" w:hAnsi="仿宋_GB2312" w:eastAsia="仿宋_GB2312" w:cs="仿宋_GB2312"/>
          <w:b w:val="0"/>
          <w:bCs w:val="0"/>
          <w:spacing w:val="-4"/>
          <w:sz w:val="32"/>
          <w:szCs w:val="32"/>
        </w:rPr>
        <w:t>分，本项目绩效目标设置合理。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（2）绩效指标明确性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w:t>
      </w:r>
      <w:r>
        <w:rPr>
          <w:rStyle w:val="19"/>
          <w:rFonts w:hint="default" w:ascii="Times New Roman" w:hAnsi="Times New Roman" w:eastAsia="仿宋_GB2312" w:cs="Times New Roman"/>
          <w:b w:val="0"/>
          <w:bCs w:val="0"/>
          <w:spacing w:val="-4"/>
          <w:sz w:val="32"/>
          <w:szCs w:val="32"/>
        </w:rPr>
        <w:t>4</w:t>
      </w:r>
      <w:r>
        <w:rPr>
          <w:rStyle w:val="19"/>
          <w:rFonts w:hint="eastAsia" w:ascii="仿宋_GB2312" w:hAnsi="仿宋_GB2312" w:eastAsia="仿宋_GB2312" w:cs="仿宋_GB2312"/>
          <w:b w:val="0"/>
          <w:bCs w:val="0"/>
          <w:spacing w:val="-4"/>
          <w:sz w:val="32"/>
          <w:szCs w:val="32"/>
        </w:rPr>
        <w:t>个，二级指标</w:t>
      </w:r>
      <w:r>
        <w:rPr>
          <w:rStyle w:val="19"/>
          <w:rFonts w:hint="eastAsia" w:ascii="Times New Roman" w:hAnsi="Times New Roman" w:eastAsia="仿宋_GB2312" w:cs="Times New Roman"/>
          <w:b w:val="0"/>
          <w:bCs w:val="0"/>
          <w:spacing w:val="-4"/>
          <w:sz w:val="32"/>
          <w:szCs w:val="32"/>
        </w:rPr>
        <w:t>6</w:t>
      </w:r>
      <w:r>
        <w:rPr>
          <w:rStyle w:val="19"/>
          <w:rFonts w:hint="eastAsia" w:ascii="仿宋_GB2312" w:hAnsi="仿宋_GB2312" w:eastAsia="仿宋_GB2312" w:cs="仿宋_GB2312"/>
          <w:b w:val="0"/>
          <w:bCs w:val="0"/>
          <w:spacing w:val="-4"/>
          <w:sz w:val="32"/>
          <w:szCs w:val="32"/>
        </w:rPr>
        <w:t>个，三级指标</w:t>
      </w:r>
      <w:r>
        <w:rPr>
          <w:rStyle w:val="19"/>
          <w:rFonts w:hint="eastAsia" w:ascii="Times New Roman" w:hAnsi="Times New Roman" w:eastAsia="仿宋_GB2312" w:cs="Times New Roman"/>
          <w:b w:val="0"/>
          <w:bCs w:val="0"/>
          <w:spacing w:val="-4"/>
          <w:sz w:val="32"/>
          <w:szCs w:val="32"/>
        </w:rPr>
        <w:t>10</w:t>
      </w:r>
      <w:r>
        <w:rPr>
          <w:rStyle w:val="19"/>
          <w:rFonts w:hint="eastAsia" w:ascii="仿宋_GB2312" w:hAnsi="仿宋_GB2312" w:eastAsia="仿宋_GB2312" w:cs="仿宋_GB2312"/>
          <w:b w:val="0"/>
          <w:bCs w:val="0"/>
          <w:spacing w:val="-4"/>
          <w:sz w:val="32"/>
          <w:szCs w:val="32"/>
        </w:rPr>
        <w:t>个，定量指标</w:t>
      </w:r>
      <w:r>
        <w:rPr>
          <w:rStyle w:val="19"/>
          <w:rFonts w:hint="eastAsia" w:ascii="Times New Roman" w:hAnsi="Times New Roman" w:eastAsia="仿宋_GB2312" w:cs="Times New Roman"/>
          <w:b w:val="0"/>
          <w:bCs w:val="0"/>
          <w:spacing w:val="-4"/>
          <w:sz w:val="32"/>
          <w:szCs w:val="32"/>
        </w:rPr>
        <w:t>9个</w:t>
      </w:r>
      <w:r>
        <w:rPr>
          <w:rStyle w:val="19"/>
          <w:rFonts w:hint="eastAsia" w:ascii="仿宋_GB2312" w:hAnsi="仿宋_GB2312" w:eastAsia="仿宋_GB2312" w:cs="仿宋_GB2312"/>
          <w:b w:val="0"/>
          <w:bCs w:val="0"/>
          <w:spacing w:val="-4"/>
          <w:sz w:val="32"/>
          <w:szCs w:val="32"/>
        </w:rPr>
        <w:t>，定性指标</w:t>
      </w:r>
      <w:r>
        <w:rPr>
          <w:rStyle w:val="19"/>
          <w:rFonts w:hint="eastAsia" w:ascii="Times New Roman" w:hAnsi="Times New Roman" w:eastAsia="仿宋_GB2312" w:cs="Times New Roman"/>
          <w:b w:val="0"/>
          <w:bCs w:val="0"/>
          <w:spacing w:val="-4"/>
          <w:sz w:val="32"/>
          <w:szCs w:val="32"/>
        </w:rPr>
        <w:t>1</w:t>
      </w:r>
      <w:r>
        <w:rPr>
          <w:rStyle w:val="19"/>
          <w:rFonts w:hint="eastAsia" w:ascii="仿宋_GB2312" w:hAnsi="仿宋_GB2312" w:eastAsia="仿宋_GB2312" w:cs="仿宋_GB2312"/>
          <w:b w:val="0"/>
          <w:bCs w:val="0"/>
          <w:spacing w:val="-4"/>
          <w:sz w:val="32"/>
          <w:szCs w:val="32"/>
        </w:rPr>
        <w:t>个，指标量化率为</w:t>
      </w:r>
      <w:r>
        <w:rPr>
          <w:rStyle w:val="19"/>
          <w:rFonts w:hint="default" w:ascii="Times New Roman" w:hAnsi="Times New Roman" w:eastAsia="仿宋_GB2312" w:cs="Times New Roman"/>
          <w:b w:val="0"/>
          <w:bCs w:val="0"/>
          <w:spacing w:val="-4"/>
          <w:sz w:val="32"/>
          <w:szCs w:val="32"/>
        </w:rPr>
        <w:t>90%</w:t>
      </w:r>
      <w:r>
        <w:rPr>
          <w:rStyle w:val="19"/>
          <w:rFonts w:hint="eastAsia" w:ascii="仿宋_GB2312" w:hAnsi="仿宋_GB2312" w:eastAsia="仿宋_GB2312" w:cs="仿宋_GB2312"/>
          <w:b w:val="0"/>
          <w:bCs w:val="0"/>
          <w:spacing w:val="-4"/>
          <w:sz w:val="32"/>
          <w:szCs w:val="32"/>
        </w:rPr>
        <w:t>，量化率达</w:t>
      </w:r>
      <w:r>
        <w:rPr>
          <w:rStyle w:val="19"/>
          <w:rFonts w:hint="default" w:ascii="Times New Roman" w:hAnsi="Times New Roman" w:eastAsia="仿宋_GB2312" w:cs="Times New Roman"/>
          <w:b w:val="0"/>
          <w:bCs w:val="0"/>
          <w:spacing w:val="-4"/>
          <w:sz w:val="32"/>
          <w:szCs w:val="32"/>
        </w:rPr>
        <w:t>70.00%</w:t>
      </w:r>
      <w:r>
        <w:rPr>
          <w:rStyle w:val="19"/>
          <w:rFonts w:hint="eastAsia" w:ascii="仿宋_GB2312" w:hAnsi="仿宋_GB2312" w:eastAsia="仿宋_GB2312" w:cs="仿宋_GB2312"/>
          <w:b w:val="0"/>
          <w:bCs w:val="0"/>
          <w:spacing w:val="-4"/>
          <w:sz w:val="32"/>
          <w:szCs w:val="32"/>
        </w:rPr>
        <w:t>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w:t>
      </w:r>
      <w:r>
        <w:rPr>
          <w:rStyle w:val="19"/>
          <w:rFonts w:hint="default" w:ascii="Times New Roman" w:hAnsi="Times New Roman" w:eastAsia="仿宋_GB2312" w:cs="Times New Roman"/>
          <w:b w:val="0"/>
          <w:bCs w:val="0"/>
          <w:spacing w:val="-4"/>
          <w:sz w:val="32"/>
          <w:szCs w:val="32"/>
        </w:rPr>
        <w:t>3</w:t>
      </w:r>
      <w:r>
        <w:rPr>
          <w:rStyle w:val="19"/>
          <w:rFonts w:hint="eastAsia" w:ascii="仿宋_GB2312" w:hAnsi="仿宋_GB2312" w:eastAsia="仿宋_GB2312" w:cs="仿宋_GB2312"/>
          <w:b w:val="0"/>
          <w:bCs w:val="0"/>
          <w:spacing w:val="-4"/>
          <w:sz w:val="32"/>
          <w:szCs w:val="32"/>
        </w:rPr>
        <w:t>分，根据评分标准得</w:t>
      </w:r>
      <w:r>
        <w:rPr>
          <w:rStyle w:val="19"/>
          <w:rFonts w:hint="default" w:ascii="Times New Roman" w:hAnsi="Times New Roman" w:eastAsia="仿宋_GB2312" w:cs="Times New Roman"/>
          <w:b w:val="0"/>
          <w:bCs w:val="0"/>
          <w:spacing w:val="-4"/>
          <w:sz w:val="32"/>
          <w:szCs w:val="32"/>
        </w:rPr>
        <w:t>3</w:t>
      </w:r>
      <w:r>
        <w:rPr>
          <w:rStyle w:val="19"/>
          <w:rFonts w:hint="eastAsia" w:ascii="仿宋_GB2312" w:hAnsi="仿宋_GB2312" w:eastAsia="仿宋_GB2312" w:cs="仿宋_GB2312"/>
          <w:b w:val="0"/>
          <w:bCs w:val="0"/>
          <w:spacing w:val="-4"/>
          <w:sz w:val="32"/>
          <w:szCs w:val="32"/>
        </w:rPr>
        <w:t>分，本项目所设置绩效指标明确。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3.资金投入情况分析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（1）预算编制科学性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本项目在编制本项目预算时，医院成立了预算编制小组。对于</w:t>
      </w:r>
      <w:r>
        <w:rPr>
          <w:rStyle w:val="19"/>
          <w:rFonts w:hint="eastAsia" w:ascii="仿宋_GB2312" w:hAnsi="仿宋_GB2312" w:eastAsia="仿宋_GB2312" w:cs="仿宋_GB2312"/>
          <w:b w:val="0"/>
          <w:bCs w:val="0"/>
          <w:spacing w:val="-4"/>
          <w:sz w:val="32"/>
          <w:szCs w:val="32"/>
          <w:lang w:eastAsia="zh-CN"/>
        </w:rPr>
        <w:t>传染病</w:t>
      </w:r>
      <w:r>
        <w:rPr>
          <w:rStyle w:val="19"/>
          <w:rFonts w:hint="eastAsia" w:ascii="仿宋_GB2312" w:hAnsi="仿宋_GB2312" w:eastAsia="仿宋_GB2312" w:cs="仿宋_GB2312"/>
          <w:b w:val="0"/>
          <w:bCs w:val="0"/>
          <w:spacing w:val="-4"/>
          <w:sz w:val="32"/>
          <w:szCs w:val="32"/>
        </w:rPr>
        <w:t>防治相关预算，在药品采购方面，依据医院病患者的历史用药数据、治愈率及复发率等指标，结合当前结核病治疗的一线、二线药物使用规范，精确计算出不同种类药品的年度需求量。通过向多家药品生产企业及代理商询价，参考市场同类药品价格水平，确定了药品采购预算。在</w:t>
      </w:r>
      <w:r>
        <w:rPr>
          <w:rStyle w:val="19"/>
          <w:rFonts w:hint="eastAsia" w:ascii="仿宋_GB2312" w:hAnsi="仿宋_GB2312" w:eastAsia="仿宋_GB2312" w:cs="仿宋_GB2312"/>
          <w:b w:val="0"/>
          <w:bCs w:val="0"/>
          <w:spacing w:val="-4"/>
          <w:sz w:val="32"/>
          <w:szCs w:val="32"/>
          <w:lang w:eastAsia="zh-CN"/>
        </w:rPr>
        <w:t>传染病</w:t>
      </w:r>
      <w:r>
        <w:rPr>
          <w:rStyle w:val="19"/>
          <w:rFonts w:hint="eastAsia" w:ascii="仿宋_GB2312" w:hAnsi="仿宋_GB2312" w:eastAsia="仿宋_GB2312" w:cs="仿宋_GB2312"/>
          <w:b w:val="0"/>
          <w:bCs w:val="0"/>
          <w:spacing w:val="-4"/>
          <w:sz w:val="32"/>
          <w:szCs w:val="32"/>
        </w:rPr>
        <w:t>防治能力提升预算编制上，根据计划开展的培训课程数量、培训师资费用标准、所需购置检测设备的市场价格等因素，详细测算出相应的资金需求。在支付能力提升预算方面，财务部门根据实际费用支出，结合当前市场价格波动情况，合理确定了预算金额，即预算编制较科学且经过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预算申请内容为新财社〔2023〕218号，和地财社〔2023〕73号-关于提前下达2024年重大传染病防控经费预算的通知，为保障我院医疗服务能力有效提升。下达资金</w:t>
      </w:r>
      <w:r>
        <w:rPr>
          <w:rStyle w:val="19"/>
          <w:rFonts w:hint="default" w:ascii="Times New Roman" w:hAnsi="Times New Roman" w:eastAsia="仿宋_GB2312" w:cs="Times New Roman"/>
          <w:b w:val="0"/>
          <w:bCs w:val="0"/>
          <w:spacing w:val="-4"/>
          <w:sz w:val="32"/>
          <w:szCs w:val="32"/>
        </w:rPr>
        <w:t>710000</w:t>
      </w:r>
      <w:r>
        <w:rPr>
          <w:rStyle w:val="19"/>
          <w:rFonts w:hint="eastAsia" w:ascii="仿宋_GB2312" w:hAnsi="仿宋_GB2312" w:eastAsia="仿宋_GB2312" w:cs="仿宋_GB2312"/>
          <w:b w:val="0"/>
          <w:bCs w:val="0"/>
          <w:spacing w:val="-4"/>
          <w:sz w:val="32"/>
          <w:szCs w:val="32"/>
        </w:rPr>
        <w:t>元。其中人员差费</w:t>
      </w:r>
      <w:r>
        <w:rPr>
          <w:rStyle w:val="19"/>
          <w:rFonts w:hint="default" w:ascii="Times New Roman" w:hAnsi="Times New Roman" w:eastAsia="仿宋_GB2312" w:cs="Times New Roman"/>
          <w:b w:val="0"/>
          <w:bCs w:val="0"/>
          <w:spacing w:val="-4"/>
          <w:sz w:val="32"/>
          <w:szCs w:val="32"/>
        </w:rPr>
        <w:t>1</w:t>
      </w:r>
      <w:r>
        <w:rPr>
          <w:rStyle w:val="19"/>
          <w:rFonts w:hint="eastAsia" w:ascii="仿宋_GB2312" w:hAnsi="仿宋_GB2312" w:eastAsia="仿宋_GB2312" w:cs="仿宋_GB2312"/>
          <w:b w:val="0"/>
          <w:bCs w:val="0"/>
          <w:spacing w:val="-4"/>
          <w:sz w:val="32"/>
          <w:szCs w:val="32"/>
        </w:rPr>
        <w:t>万元，相关的救治费</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万元，专用材料</w:t>
      </w:r>
      <w:r>
        <w:rPr>
          <w:rStyle w:val="19"/>
          <w:rFonts w:hint="default" w:ascii="Times New Roman" w:hAnsi="Times New Roman" w:eastAsia="仿宋_GB2312" w:cs="Times New Roman"/>
          <w:b w:val="0"/>
          <w:bCs w:val="0"/>
          <w:spacing w:val="-4"/>
          <w:sz w:val="32"/>
          <w:szCs w:val="32"/>
        </w:rPr>
        <w:t>65</w:t>
      </w:r>
      <w:r>
        <w:rPr>
          <w:rStyle w:val="19"/>
          <w:rFonts w:hint="eastAsia" w:ascii="仿宋_GB2312" w:hAnsi="仿宋_GB2312" w:eastAsia="仿宋_GB2312" w:cs="仿宋_GB2312"/>
          <w:b w:val="0"/>
          <w:bCs w:val="0"/>
          <w:spacing w:val="-4"/>
          <w:sz w:val="32"/>
          <w:szCs w:val="32"/>
        </w:rPr>
        <w:t>万元。新财社〔2024〕56号和地财社〔2024〕24号-2024年中央重大公共卫生服务补助资金预算下达资金</w:t>
      </w:r>
      <w:r>
        <w:rPr>
          <w:rStyle w:val="19"/>
          <w:rFonts w:hint="default" w:ascii="Times New Roman" w:hAnsi="Times New Roman" w:eastAsia="仿宋_GB2312" w:cs="Times New Roman"/>
          <w:b w:val="0"/>
          <w:bCs w:val="0"/>
          <w:spacing w:val="-4"/>
          <w:sz w:val="32"/>
          <w:szCs w:val="32"/>
        </w:rPr>
        <w:t>18</w:t>
      </w:r>
      <w:r>
        <w:rPr>
          <w:rStyle w:val="19"/>
          <w:rFonts w:hint="eastAsia" w:ascii="仿宋_GB2312" w:hAnsi="仿宋_GB2312" w:eastAsia="仿宋_GB2312" w:cs="仿宋_GB2312"/>
          <w:b w:val="0"/>
          <w:bCs w:val="0"/>
          <w:spacing w:val="-4"/>
          <w:sz w:val="32"/>
          <w:szCs w:val="32"/>
        </w:rPr>
        <w:t>万元。主要用于专用材料</w:t>
      </w:r>
      <w:r>
        <w:rPr>
          <w:rStyle w:val="19"/>
          <w:rFonts w:hint="default" w:ascii="Times New Roman" w:hAnsi="Times New Roman" w:eastAsia="仿宋_GB2312" w:cs="Times New Roman"/>
          <w:b w:val="0"/>
          <w:bCs w:val="0"/>
          <w:spacing w:val="-4"/>
          <w:sz w:val="32"/>
          <w:szCs w:val="32"/>
        </w:rPr>
        <w:t>18</w:t>
      </w:r>
      <w:r>
        <w:rPr>
          <w:rStyle w:val="19"/>
          <w:rFonts w:hint="eastAsia" w:ascii="仿宋_GB2312" w:hAnsi="仿宋_GB2312" w:eastAsia="仿宋_GB2312" w:cs="仿宋_GB2312"/>
          <w:b w:val="0"/>
          <w:bCs w:val="0"/>
          <w:spacing w:val="-4"/>
          <w:sz w:val="32"/>
          <w:szCs w:val="32"/>
        </w:rPr>
        <w:t>万元，项目实际内容为截至2024年12月31日，本项目实际形成支出</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万元，已完成保障购置试剂1批，达到了可有效改善患者就医条件，受益企业满意度达到</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，预算申请与《2024年重大传染病防控经费预算项目实施方案》中涉及的项目内容匹配；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本项目预算申请资金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万元，我单位在预算申请中严格按照单位标准和数量进行核算，其中：人员差费1万元，结合艾滋相关的救治费5万元，专用材料</w:t>
      </w:r>
      <w:r>
        <w:rPr>
          <w:rStyle w:val="19"/>
          <w:rFonts w:hint="default" w:ascii="Times New Roman" w:hAnsi="Times New Roman" w:eastAsia="仿宋_GB2312" w:cs="Times New Roman"/>
          <w:b w:val="0"/>
          <w:bCs w:val="0"/>
          <w:spacing w:val="-4"/>
          <w:sz w:val="32"/>
          <w:szCs w:val="32"/>
        </w:rPr>
        <w:t>83</w:t>
      </w:r>
      <w:r>
        <w:rPr>
          <w:rStyle w:val="19"/>
          <w:rFonts w:hint="eastAsia" w:ascii="仿宋_GB2312" w:hAnsi="仿宋_GB2312" w:eastAsia="仿宋_GB2312" w:cs="仿宋_GB2312"/>
          <w:b w:val="0"/>
          <w:bCs w:val="0"/>
          <w:spacing w:val="-4"/>
          <w:sz w:val="32"/>
          <w:szCs w:val="32"/>
        </w:rPr>
        <w:t>万元。本项目预算额度测算依据充分，严格按照标准编制，预算确定资金量与实际工作任务相匹配；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（2）资金分配合理性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重大传染病项目资金的请示》和《重大传染病项目实施方案》为依据进行资金分配，预算资金分配依据充分。根据《和地财社〔2024〕24号和地财社〔2023〕73号》文件显示，本项目实际到位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w:t>
      </w:r>
      <w:r>
        <w:rPr>
          <w:rStyle w:val="19"/>
          <w:rFonts w:hint="default" w:ascii="Times New Roman" w:hAnsi="Times New Roman" w:eastAsia="仿宋_GB2312" w:cs="Times New Roman"/>
          <w:b w:val="0"/>
          <w:bCs w:val="0"/>
          <w:spacing w:val="-4"/>
          <w:sz w:val="32"/>
          <w:szCs w:val="32"/>
        </w:rPr>
        <w:t>2</w:t>
      </w:r>
      <w:r>
        <w:rPr>
          <w:rStyle w:val="19"/>
          <w:rFonts w:hint="eastAsia" w:ascii="仿宋_GB2312" w:hAnsi="仿宋_GB2312" w:eastAsia="仿宋_GB2312" w:cs="仿宋_GB2312"/>
          <w:b w:val="0"/>
          <w:bCs w:val="0"/>
          <w:spacing w:val="-4"/>
          <w:sz w:val="32"/>
          <w:szCs w:val="32"/>
        </w:rPr>
        <w:t>分，根据评分标准得</w:t>
      </w:r>
      <w:r>
        <w:rPr>
          <w:rStyle w:val="19"/>
          <w:rFonts w:hint="default" w:ascii="Times New Roman" w:hAnsi="Times New Roman" w:eastAsia="仿宋_GB2312" w:cs="Times New Roman"/>
          <w:b w:val="0"/>
          <w:bCs w:val="0"/>
          <w:spacing w:val="-4"/>
          <w:sz w:val="32"/>
          <w:szCs w:val="32"/>
        </w:rPr>
        <w:t>2</w:t>
      </w:r>
      <w:r>
        <w:rPr>
          <w:rStyle w:val="19"/>
          <w:rFonts w:hint="eastAsia" w:ascii="仿宋_GB2312" w:hAnsi="仿宋_GB2312" w:eastAsia="仿宋_GB2312" w:cs="仿宋_GB2312"/>
          <w:b w:val="0"/>
          <w:bCs w:val="0"/>
          <w:spacing w:val="-4"/>
          <w:sz w:val="32"/>
          <w:szCs w:val="32"/>
        </w:rPr>
        <w:t>分，本项目资金分配合理。</w:t>
      </w:r>
      <w:r>
        <w:rPr>
          <w:rStyle w:val="19"/>
          <w:rFonts w:hint="eastAsia" w:ascii="楷体" w:hAnsi="楷体" w:eastAsia="楷体"/>
          <w:b w:val="0"/>
          <w:bCs w:val="0"/>
          <w:spacing w:val="-4"/>
          <w:sz w:val="32"/>
          <w:szCs w:val="32"/>
          <w:lang w:eastAsia="zh-CN"/>
        </w:rPr>
        <w:tab/>
      </w:r>
    </w:p>
    <w:p w14:paraId="44582852">
      <w:pPr>
        <w:spacing w:line="540" w:lineRule="exact"/>
        <w:ind w:firstLine="567" w:firstLineChars="181"/>
        <w:rPr>
          <w:rFonts w:hint="eastAsia"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二</w:t>
      </w:r>
      <w:r>
        <w:rPr>
          <w:rFonts w:hint="eastAsia" w:ascii="楷体" w:hAnsi="楷体" w:eastAsia="楷体" w:cs="楷体"/>
          <w:b/>
          <w:spacing w:val="-4"/>
          <w:sz w:val="32"/>
          <w:szCs w:val="32"/>
        </w:rPr>
        <w:t>）项目过程情况</w:t>
      </w:r>
    </w:p>
    <w:p w14:paraId="4F049115">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w:t>
      </w:r>
      <w:r>
        <w:rPr>
          <w:rStyle w:val="19"/>
          <w:rFonts w:hint="default" w:ascii="Times New Roman" w:hAnsi="Times New Roman" w:eastAsia="仿宋_GB2312" w:cs="Times New Roman"/>
          <w:b w:val="0"/>
          <w:bCs w:val="0"/>
          <w:spacing w:val="-4"/>
          <w:sz w:val="32"/>
          <w:szCs w:val="32"/>
        </w:rPr>
        <w:t>2</w:t>
      </w:r>
      <w:r>
        <w:rPr>
          <w:rStyle w:val="19"/>
          <w:rFonts w:hint="eastAsia" w:ascii="仿宋_GB2312" w:hAnsi="仿宋_GB2312" w:eastAsia="仿宋_GB2312" w:cs="仿宋_GB2312"/>
          <w:b w:val="0"/>
          <w:bCs w:val="0"/>
          <w:spacing w:val="-4"/>
          <w:sz w:val="32"/>
          <w:szCs w:val="32"/>
        </w:rPr>
        <w:t>个二级指标和</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个三级指标构成，权重分</w:t>
      </w:r>
      <w:r>
        <w:rPr>
          <w:rStyle w:val="19"/>
          <w:rFonts w:hint="default" w:ascii="Times New Roman" w:hAnsi="Times New Roman" w:eastAsia="仿宋_GB2312" w:cs="Times New Roman"/>
          <w:b w:val="0"/>
          <w:bCs w:val="0"/>
          <w:spacing w:val="-4"/>
          <w:sz w:val="32"/>
          <w:szCs w:val="32"/>
        </w:rPr>
        <w:t>19</w:t>
      </w:r>
      <w:r>
        <w:rPr>
          <w:rStyle w:val="19"/>
          <w:rFonts w:hint="eastAsia" w:ascii="仿宋_GB2312" w:hAnsi="仿宋_GB2312" w:eastAsia="仿宋_GB2312" w:cs="仿宋_GB2312"/>
          <w:b w:val="0"/>
          <w:bCs w:val="0"/>
          <w:spacing w:val="-4"/>
          <w:sz w:val="32"/>
          <w:szCs w:val="32"/>
        </w:rPr>
        <w:t>分，实际得分</w:t>
      </w:r>
      <w:r>
        <w:rPr>
          <w:rStyle w:val="19"/>
          <w:rFonts w:hint="default" w:ascii="Times New Roman" w:hAnsi="Times New Roman" w:eastAsia="仿宋_GB2312" w:cs="Times New Roman"/>
          <w:b w:val="0"/>
          <w:bCs w:val="0"/>
          <w:spacing w:val="-4"/>
          <w:sz w:val="32"/>
          <w:szCs w:val="32"/>
        </w:rPr>
        <w:t>19</w:t>
      </w:r>
      <w:r>
        <w:rPr>
          <w:rStyle w:val="19"/>
          <w:rFonts w:hint="eastAsia" w:ascii="仿宋_GB2312" w:hAnsi="仿宋_GB2312" w:eastAsia="仿宋_GB2312" w:cs="仿宋_GB2312"/>
          <w:b w:val="0"/>
          <w:bCs w:val="0"/>
          <w:spacing w:val="-4"/>
          <w:sz w:val="32"/>
          <w:szCs w:val="32"/>
        </w:rPr>
        <w:t>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1.资金管理情况分析</w:t>
      </w:r>
      <w:r>
        <w:rPr>
          <w:rStyle w:val="19"/>
          <w:rFonts w:hint="eastAsia" w:ascii="仿宋_GB2312" w:hAnsi="仿宋_GB2312" w:eastAsia="仿宋_GB2312" w:cs="仿宋_GB2312"/>
          <w:b/>
          <w:bCs/>
          <w:spacing w:val="-4"/>
          <w:sz w:val="32"/>
          <w:szCs w:val="32"/>
          <w:lang w:val="en-US" w:eastAsia="zh-CN"/>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（1）资金到位率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万元，其中：本级财政安排资金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万元，其他资金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万元，实际到位资金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万元，资金到位率=（实际到位资金/预算资金）×</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。得分=资金到位率*分值=</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4=4</w:t>
      </w:r>
      <w:r>
        <w:rPr>
          <w:rStyle w:val="19"/>
          <w:rFonts w:hint="eastAsia" w:ascii="仿宋_GB2312" w:hAnsi="仿宋_GB2312" w:eastAsia="仿宋_GB2312" w:cs="仿宋_GB2312"/>
          <w:b w:val="0"/>
          <w:bCs w:val="0"/>
          <w:spacing w:val="-4"/>
          <w:sz w:val="32"/>
          <w:szCs w:val="32"/>
        </w:rPr>
        <w:t>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w:t>
      </w:r>
      <w:r>
        <w:rPr>
          <w:rStyle w:val="19"/>
          <w:rFonts w:hint="default" w:ascii="Times New Roman" w:hAnsi="Times New Roman" w:eastAsia="仿宋_GB2312" w:cs="Times New Roman"/>
          <w:b w:val="0"/>
          <w:bCs w:val="0"/>
          <w:spacing w:val="-4"/>
          <w:sz w:val="32"/>
          <w:szCs w:val="32"/>
        </w:rPr>
        <w:t>4</w:t>
      </w:r>
      <w:r>
        <w:rPr>
          <w:rStyle w:val="19"/>
          <w:rFonts w:hint="eastAsia" w:ascii="仿宋_GB2312" w:hAnsi="仿宋_GB2312" w:eastAsia="仿宋_GB2312" w:cs="仿宋_GB2312"/>
          <w:b w:val="0"/>
          <w:bCs w:val="0"/>
          <w:spacing w:val="-4"/>
          <w:sz w:val="32"/>
          <w:szCs w:val="32"/>
        </w:rPr>
        <w:t>分，根据评分标准得</w:t>
      </w:r>
      <w:r>
        <w:rPr>
          <w:rStyle w:val="19"/>
          <w:rFonts w:hint="default" w:ascii="Times New Roman" w:hAnsi="Times New Roman" w:eastAsia="仿宋_GB2312" w:cs="Times New Roman"/>
          <w:b w:val="0"/>
          <w:bCs w:val="0"/>
          <w:spacing w:val="-4"/>
          <w:sz w:val="32"/>
          <w:szCs w:val="32"/>
        </w:rPr>
        <w:t>4</w:t>
      </w:r>
      <w:r>
        <w:rPr>
          <w:rStyle w:val="19"/>
          <w:rFonts w:hint="eastAsia" w:ascii="仿宋_GB2312" w:hAnsi="仿宋_GB2312" w:eastAsia="仿宋_GB2312" w:cs="仿宋_GB2312"/>
          <w:b w:val="0"/>
          <w:bCs w:val="0"/>
          <w:spacing w:val="-4"/>
          <w:sz w:val="32"/>
          <w:szCs w:val="32"/>
        </w:rPr>
        <w:t>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（2）预算执行率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w:t>
      </w:r>
      <w:r>
        <w:rPr>
          <w:rStyle w:val="19"/>
          <w:rFonts w:hint="default" w:ascii="Times New Roman" w:hAnsi="Times New Roman" w:eastAsia="仿宋_GB2312" w:cs="Times New Roman"/>
          <w:b w:val="0"/>
          <w:bCs w:val="0"/>
          <w:spacing w:val="-4"/>
          <w:sz w:val="32"/>
          <w:szCs w:val="32"/>
        </w:rPr>
        <w:t>89</w:t>
      </w:r>
      <w:r>
        <w:rPr>
          <w:rStyle w:val="19"/>
          <w:rFonts w:hint="eastAsia" w:ascii="仿宋_GB2312" w:hAnsi="仿宋_GB2312" w:eastAsia="仿宋_GB2312" w:cs="仿宋_GB2312"/>
          <w:b w:val="0"/>
          <w:bCs w:val="0"/>
          <w:spacing w:val="-4"/>
          <w:sz w:val="32"/>
          <w:szCs w:val="32"/>
        </w:rPr>
        <w:t>万元，预算执行率=（实际支出资金/实际到位资金）×</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=（89/89）*</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。得分=预算执行率*分值=</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w:t>
      </w:r>
      <w:r>
        <w:rPr>
          <w:rStyle w:val="19"/>
          <w:rFonts w:hint="default" w:ascii="Times New Roman" w:hAnsi="Times New Roman" w:eastAsia="仿宋_GB2312" w:cs="Times New Roman"/>
          <w:b w:val="0"/>
          <w:bCs w:val="0"/>
          <w:spacing w:val="-4"/>
          <w:sz w:val="32"/>
          <w:szCs w:val="32"/>
        </w:rPr>
        <w:t>5</w:t>
      </w:r>
      <w:r>
        <w:rPr>
          <w:rStyle w:val="19"/>
          <w:rFonts w:hint="eastAsia" w:ascii="仿宋_GB2312" w:hAnsi="仿宋_GB2312" w:eastAsia="仿宋_GB2312" w:cs="仿宋_GB2312"/>
          <w:b w:val="0"/>
          <w:bCs w:val="0"/>
          <w:spacing w:val="-4"/>
          <w:sz w:val="32"/>
          <w:szCs w:val="32"/>
        </w:rPr>
        <w:t>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（3）资金使用合规性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传染病专科医院单位资金管理办法》《和田地区传染病专科医院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7B9DDC5F">
      <w:pPr>
        <w:spacing w:line="540" w:lineRule="exact"/>
        <w:ind w:firstLine="567"/>
        <w:rPr>
          <w:rStyle w:val="19"/>
          <w:rFonts w:hint="eastAsia" w:ascii="仿宋_GB2312" w:hAnsi="仿宋_GB2312" w:eastAsia="仿宋_GB2312" w:cs="仿宋_GB2312"/>
          <w:b/>
          <w:bCs/>
          <w:spacing w:val="-4"/>
          <w:sz w:val="32"/>
          <w:szCs w:val="32"/>
          <w:lang w:val="en-US" w:eastAsia="zh-CN"/>
        </w:rPr>
      </w:pPr>
      <w:r>
        <w:rPr>
          <w:rStyle w:val="19"/>
          <w:rFonts w:hint="eastAsia" w:ascii="仿宋_GB2312" w:hAnsi="仿宋_GB2312" w:eastAsia="仿宋_GB2312" w:cs="仿宋_GB2312"/>
          <w:b/>
          <w:bCs/>
          <w:spacing w:val="-4"/>
          <w:sz w:val="32"/>
          <w:szCs w:val="32"/>
          <w:lang w:val="en-US" w:eastAsia="zh-CN"/>
        </w:rPr>
        <w:t>2.组织实施情况分析</w:t>
      </w:r>
    </w:p>
    <w:p w14:paraId="2D1CFE73">
      <w:pPr>
        <w:numPr>
          <w:ilvl w:val="0"/>
          <w:numId w:val="0"/>
        </w:numPr>
        <w:spacing w:line="540" w:lineRule="exact"/>
        <w:ind w:firstLine="627"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eastAsia="zh-CN"/>
        </w:rPr>
        <w:t>（</w:t>
      </w:r>
      <w:r>
        <w:rPr>
          <w:rStyle w:val="19"/>
          <w:rFonts w:hint="eastAsia" w:ascii="仿宋_GB2312" w:hAnsi="仿宋_GB2312" w:eastAsia="仿宋_GB2312" w:cs="仿宋_GB2312"/>
          <w:b/>
          <w:bCs/>
          <w:spacing w:val="-4"/>
          <w:sz w:val="32"/>
          <w:szCs w:val="32"/>
          <w:lang w:val="en-US" w:eastAsia="zh-CN"/>
        </w:rPr>
        <w:t>1</w:t>
      </w:r>
      <w:r>
        <w:rPr>
          <w:rStyle w:val="19"/>
          <w:rFonts w:hint="eastAsia" w:ascii="仿宋_GB2312" w:hAnsi="仿宋_GB2312" w:eastAsia="仿宋_GB2312" w:cs="仿宋_GB2312"/>
          <w:b/>
          <w:bCs/>
          <w:spacing w:val="-4"/>
          <w:sz w:val="32"/>
          <w:szCs w:val="32"/>
          <w:lang w:eastAsia="zh-CN"/>
        </w:rPr>
        <w:t>）</w:t>
      </w:r>
      <w:r>
        <w:rPr>
          <w:rStyle w:val="19"/>
          <w:rFonts w:hint="eastAsia" w:ascii="仿宋_GB2312" w:hAnsi="仿宋_GB2312" w:eastAsia="仿宋_GB2312" w:cs="仿宋_GB2312"/>
          <w:b/>
          <w:bCs/>
          <w:spacing w:val="-4"/>
          <w:sz w:val="32"/>
          <w:szCs w:val="32"/>
        </w:rPr>
        <w:t>管理制度健全性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已制定《和田地区传染病专科医院资金管理办法》《和田地区传染病专科医院收支业务管理制度》《和田地区传染病专科医院政府采购业务管理制度》《和田地区传染病专科医院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（2）制度执行有效性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地财社〔2023〕73号-提前下达2024年重大传染病防控经费预算项目工作领导小组，由党组书记张建任组长，负责项目的组织工作；刘耿任副组长，负责项目的实施工作；组员包括：帕提曼，热依汗，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693F3695">
      <w:pPr>
        <w:spacing w:line="540" w:lineRule="exact"/>
        <w:ind w:firstLine="564" w:firstLineChars="181"/>
        <w:rPr>
          <w:rFonts w:hint="eastAsia" w:ascii="楷体" w:hAnsi="楷体" w:eastAsia="楷体" w:cs="楷体"/>
          <w:b w:val="0"/>
          <w:bCs/>
          <w:spacing w:val="-4"/>
          <w:sz w:val="32"/>
          <w:szCs w:val="32"/>
          <w:lang w:val="en-US" w:eastAsia="zh-CN"/>
        </w:rPr>
      </w:pPr>
      <w:r>
        <w:rPr>
          <w:rFonts w:hint="eastAsia" w:ascii="楷体" w:hAnsi="楷体" w:eastAsia="楷体" w:cs="楷体"/>
          <w:b w:val="0"/>
          <w:bCs/>
          <w:spacing w:val="-4"/>
          <w:sz w:val="32"/>
          <w:szCs w:val="32"/>
          <w:lang w:val="en-US" w:eastAsia="zh-CN"/>
        </w:rPr>
        <w:t>（三）项目产出情况</w:t>
      </w:r>
    </w:p>
    <w:p w14:paraId="6E99AB2C">
      <w:pPr>
        <w:spacing w:line="540" w:lineRule="exact"/>
        <w:ind w:firstLine="567"/>
        <w:rPr>
          <w:rStyle w:val="19"/>
          <w:rFonts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w:t>
      </w:r>
      <w:r>
        <w:rPr>
          <w:rStyle w:val="19"/>
          <w:rFonts w:hint="default" w:ascii="Times New Roman" w:hAnsi="Times New Roman" w:eastAsia="仿宋_GB2312" w:cs="Times New Roman"/>
          <w:b w:val="0"/>
          <w:bCs w:val="0"/>
          <w:spacing w:val="-4"/>
          <w:sz w:val="32"/>
          <w:szCs w:val="32"/>
        </w:rPr>
        <w:t>4</w:t>
      </w:r>
      <w:r>
        <w:rPr>
          <w:rStyle w:val="19"/>
          <w:rFonts w:hint="eastAsia" w:ascii="仿宋_GB2312" w:hAnsi="仿宋_GB2312" w:eastAsia="仿宋_GB2312" w:cs="仿宋_GB2312"/>
          <w:b w:val="0"/>
          <w:bCs w:val="0"/>
          <w:spacing w:val="-4"/>
          <w:sz w:val="32"/>
          <w:szCs w:val="32"/>
        </w:rPr>
        <w:t>个二级指标和7个三级指标构成，权重分20分，实际得分</w:t>
      </w:r>
      <w:r>
        <w:rPr>
          <w:rStyle w:val="19"/>
          <w:rFonts w:hint="default" w:ascii="Times New Roman" w:hAnsi="Times New Roman" w:eastAsia="仿宋_GB2312" w:cs="Times New Roman"/>
          <w:b w:val="0"/>
          <w:bCs w:val="0"/>
          <w:spacing w:val="-4"/>
          <w:sz w:val="32"/>
          <w:szCs w:val="32"/>
        </w:rPr>
        <w:t>20</w:t>
      </w:r>
      <w:r>
        <w:rPr>
          <w:rStyle w:val="19"/>
          <w:rFonts w:hint="eastAsia" w:ascii="仿宋_GB2312" w:hAnsi="仿宋_GB2312" w:eastAsia="仿宋_GB2312" w:cs="仿宋_GB2312"/>
          <w:b w:val="0"/>
          <w:bCs w:val="0"/>
          <w:spacing w:val="-4"/>
          <w:sz w:val="32"/>
          <w:szCs w:val="32"/>
        </w:rPr>
        <w:t>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“购置试剂批数”指标：预期指标值为≥1批，实际完成指标值为1批，指标完成率为</w:t>
      </w:r>
      <w:r>
        <w:rPr>
          <w:rStyle w:val="19"/>
          <w:rFonts w:hint="default" w:ascii="Times New Roman" w:hAnsi="Times New Roman" w:eastAsia="仿宋_GB2312" w:cs="Times New Roman"/>
          <w:b w:val="0"/>
          <w:bCs w:val="0"/>
          <w:spacing w:val="-4"/>
          <w:sz w:val="32"/>
          <w:szCs w:val="32"/>
        </w:rPr>
        <w:t>100</w:t>
      </w:r>
      <w:r>
        <w:rPr>
          <w:rStyle w:val="19"/>
          <w:rFonts w:hint="eastAsia" w:ascii="仿宋_GB2312" w:hAnsi="仿宋_GB2312" w:eastAsia="仿宋_GB2312" w:cs="仿宋_GB2312"/>
          <w:b w:val="0"/>
          <w:bCs w:val="0"/>
          <w:spacing w:val="-4"/>
          <w:sz w:val="32"/>
          <w:szCs w:val="32"/>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“试剂验收合格率”指标：预期指标值为≥95%，实际完成指标值为100%，指标完成率为100%。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“采购合同执行率”指标：预期指标值为＝100%，实际完成指标值为100%，指标完成率为100%。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3.时效指标完成情况分析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“试剂采购及时率”指标：预期指标值为≥95%，实际完成指标值为100%，指标完成率为100%。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4.成本指标完成情况分析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“人员出差费”指标：预期指标值为≤1万元，实际完成指标值为1万元，指标完成率为100%。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“支付救治相关费用”指标：预期指标值为≤5万元，实际完成指标值为5万元，指标完成率为100%。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“专用材料”指标：预期指标值为≤83万元，实际完成指标值为83万元，指标完成率为100%。</w:t>
      </w:r>
    </w:p>
    <w:p w14:paraId="004E49C4">
      <w:pPr>
        <w:spacing w:line="540" w:lineRule="exact"/>
        <w:ind w:firstLine="564" w:firstLineChars="181"/>
        <w:rPr>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w:t>
      </w:r>
      <w:r>
        <w:rPr>
          <w:rFonts w:hint="eastAsia" w:ascii="楷体" w:hAnsi="楷体" w:eastAsia="楷体" w:cs="楷体"/>
          <w:b w:val="0"/>
          <w:bCs/>
          <w:spacing w:val="-4"/>
          <w:sz w:val="32"/>
          <w:szCs w:val="32"/>
          <w:lang w:val="en-US" w:eastAsia="zh-CN"/>
        </w:rPr>
        <w:t>四</w:t>
      </w:r>
      <w:r>
        <w:rPr>
          <w:rFonts w:hint="eastAsia" w:ascii="楷体" w:hAnsi="楷体" w:eastAsia="楷体" w:cs="楷体"/>
          <w:b w:val="0"/>
          <w:bCs/>
          <w:spacing w:val="-4"/>
          <w:sz w:val="32"/>
          <w:szCs w:val="32"/>
        </w:rPr>
        <w:t>）</w:t>
      </w:r>
      <w:r>
        <w:rPr>
          <w:rStyle w:val="19"/>
          <w:rFonts w:hint="eastAsia" w:ascii="楷体" w:hAnsi="楷体" w:eastAsia="楷体" w:cs="楷体"/>
          <w:b w:val="0"/>
          <w:bCs/>
          <w:spacing w:val="-4"/>
          <w:sz w:val="32"/>
          <w:szCs w:val="32"/>
        </w:rPr>
        <w:t>项目效益情况</w:t>
      </w:r>
    </w:p>
    <w:p w14:paraId="6C56D62A">
      <w:pPr>
        <w:spacing w:line="540" w:lineRule="exact"/>
        <w:ind w:firstLine="567"/>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项目效益类指标由2个二级指标和3个三级指标构成，权重分40分，实际得分40分。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“增强对病人及医护人员防护”指标：预期为增强，实际基本达成目标，指标完成情况良好。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2.社会效益完成情况分析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3.生态效益完成情况分析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4.可持续影响完成情况分析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5.满意度指标完成情况分析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“工作人员满意度”指标：预期指标值为≥98%，实际完成指标值为100%，指标完成率为100%。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“患者满意度”指标：预期指标值为≥98%，实际完成指标值为100%，指标完成率为100%。</w:t>
      </w:r>
    </w:p>
    <w:p w14:paraId="0FA087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494B6213">
      <w:pPr>
        <w:spacing w:line="540" w:lineRule="exact"/>
        <w:ind w:firstLine="567"/>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本项目年初预算资金总额为89万元，全年预算数为89万元，全年执行数为89万元，预算执行率为100%。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本项目共设置三级指标数量10个，满分指标数量10个，扣分指标数量0个，经分析计算所有三级指标完成率得出，本项目总体完成率为100%。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4E35E47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17026849">
      <w:pPr>
        <w:spacing w:line="540" w:lineRule="exact"/>
        <w:ind w:firstLine="567"/>
        <w:rPr>
          <w:rFonts w:hint="eastAsia" w:ascii="仿宋_GB2312" w:hAnsi="仿宋_GB2312" w:eastAsia="仿宋_GB2312" w:cs="仿宋_GB2312"/>
          <w:spacing w:val="-4"/>
          <w:sz w:val="32"/>
          <w:szCs w:val="32"/>
        </w:rPr>
      </w:pPr>
      <w:r>
        <w:rPr>
          <w:rStyle w:val="19"/>
          <w:rFonts w:hint="eastAsia" w:ascii="楷体" w:hAnsi="楷体" w:eastAsia="楷体" w:cs="楷体"/>
          <w:b w:val="0"/>
          <w:bCs w:val="0"/>
          <w:spacing w:val="-4"/>
          <w:sz w:val="32"/>
          <w:szCs w:val="32"/>
        </w:rPr>
        <w:t>（一）主要经验及做法</w:t>
      </w:r>
      <w:r>
        <w:rPr>
          <w:rFonts w:hint="eastAsia" w:ascii="楷体" w:hAnsi="楷体" w:eastAsia="楷体" w:cs="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在重大传染病防控经费项目实施过程中，积累了诸多宝贵经验。首先，在资金管理方面，严格遵循相关财政规定，确保资金专款专用，从年初预算到年终执行，全程监控资金流向，保证89万元经费100%执行到位，为项目顺利开展提供了坚实的资金保障。其次，物资采购流程规范，从试剂购置的数量、质量、时效到采购合同执行等各环节，都制定了明确的标准和流程。通过严格的验收程序，确保试剂验收合格率达100%，采购及时率达100%，有力地支持了</w:t>
      </w:r>
      <w:r>
        <w:rPr>
          <w:rStyle w:val="19"/>
          <w:rFonts w:hint="eastAsia" w:ascii="仿宋_GB2312" w:hAnsi="仿宋_GB2312" w:eastAsia="仿宋_GB2312" w:cs="仿宋_GB2312"/>
          <w:b w:val="0"/>
          <w:bCs w:val="0"/>
          <w:spacing w:val="-4"/>
          <w:sz w:val="32"/>
          <w:szCs w:val="32"/>
          <w:lang w:eastAsia="zh-CN"/>
        </w:rPr>
        <w:t>传染病</w:t>
      </w:r>
      <w:bookmarkStart w:id="0" w:name="_GoBack"/>
      <w:bookmarkEnd w:id="0"/>
      <w:r>
        <w:rPr>
          <w:rStyle w:val="19"/>
          <w:rFonts w:hint="eastAsia" w:ascii="仿宋_GB2312" w:hAnsi="仿宋_GB2312" w:eastAsia="仿宋_GB2312" w:cs="仿宋_GB2312"/>
          <w:b w:val="0"/>
          <w:bCs w:val="0"/>
          <w:spacing w:val="-4"/>
          <w:sz w:val="32"/>
          <w:szCs w:val="32"/>
        </w:rPr>
        <w:t>防治工作。此外，注重多方满意度提升，通过改善就医条件，加强医护人员防护，使得工作人员和患者满意度均达100%，这得益于项目实施过程中充分考虑各方需求，及时沟通协调，不断优化服务流程和质量。</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CESI楷体-GB2312" w:hAnsi="CESI楷体-GB2312" w:eastAsia="CESI楷体-GB2312" w:cs="CESI楷体-GB2312"/>
          <w:b/>
          <w:bCs/>
          <w:spacing w:val="-4"/>
          <w:sz w:val="32"/>
          <w:szCs w:val="32"/>
          <w:lang w:val="en-US" w:eastAsia="zh-CN"/>
        </w:rPr>
        <w:t xml:space="preserve"> </w:t>
      </w:r>
      <w:r>
        <w:rPr>
          <w:rStyle w:val="19"/>
          <w:rFonts w:hint="eastAsia" w:ascii="楷体" w:hAnsi="楷体" w:eastAsia="楷体" w:cs="楷体"/>
          <w:b w:val="0"/>
          <w:bCs w:val="0"/>
          <w:spacing w:val="-4"/>
          <w:sz w:val="32"/>
          <w:szCs w:val="32"/>
        </w:rPr>
        <w:t>（二）存在的问题及原因分析</w:t>
      </w:r>
      <w:r>
        <w:rPr>
          <w:rStyle w:val="19"/>
          <w:rFonts w:hint="eastAsia" w:ascii="CESI楷体-GB2312" w:hAnsi="CESI楷体-GB2312" w:eastAsia="CESI楷体-GB2312" w:cs="CESI楷体-GB2312"/>
          <w:b/>
          <w:bCs/>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社会效益指标不够明确具体：在项目实施过程中，社会效益方面缺乏明确可量化的指标。虽然项目改善了患者就医条件，但对于对当地传染病防控整体社会环境的影响、对公众传染病防控意识提升等方面，没有具体指标衡量。原因在于项目规划初期，对社会效益的考量不够全面深入，过于关注直接的医疗服务改善，忽视了项目在社会层面更广泛的影响评估。同时，缺乏对社会效应长期跟踪和分析的机制，导致难以准确界定和设置相关指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生态效益考量不足：项目在实施过程中，几乎未涉及生态效益方面的内容。重大传染病防控工作中，医疗废弃物处理、试剂使用对环境的潜在影响等都与生态效益相关。然而，在此次项目中，未对这些方面进行评估和规划。一方面是因为项目重点聚焦于传染病防治本身，对生态环境影响的意识不足；另一方面，缺乏相关的政策引导和技术支持，使得在项目执行过程中，难以将生态效益纳入考量范围。</w:t>
      </w:r>
    </w:p>
    <w:p w14:paraId="1ECFF8C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541FB050">
      <w:pPr>
        <w:spacing w:line="540" w:lineRule="exact"/>
        <w:ind w:firstLine="567"/>
        <w:rPr>
          <w:rStyle w:val="19"/>
          <w:rFonts w:hint="eastAsia" w:ascii="仿宋_GB2312" w:hAnsi="仿宋_GB2312" w:eastAsia="仿宋_GB2312" w:cs="仿宋_GB2312"/>
          <w:spacing w:val="-4"/>
          <w:sz w:val="32"/>
          <w:szCs w:val="32"/>
        </w:rPr>
      </w:pPr>
      <w:r>
        <w:rPr>
          <w:rStyle w:val="19"/>
          <w:rFonts w:hint="eastAsia" w:ascii="楷体" w:hAnsi="楷体" w:eastAsia="楷体" w:cs="楷体"/>
          <w:b w:val="0"/>
          <w:bCs w:val="0"/>
          <w:spacing w:val="-4"/>
          <w:sz w:val="32"/>
          <w:szCs w:val="32"/>
        </w:rPr>
        <w:t>（一）针对社会效益指标不明确问题</w:t>
      </w:r>
      <w:r>
        <w:rPr>
          <w:rStyle w:val="19"/>
          <w:rFonts w:hint="eastAsia" w:ascii="仿宋_GB2312" w:hAnsi="仿宋_GB2312" w:eastAsia="仿宋_GB2312" w:cs="仿宋_GB2312"/>
          <w:b w:val="0"/>
          <w:bCs w:val="0"/>
          <w:spacing w:val="-4"/>
          <w:sz w:val="32"/>
          <w:szCs w:val="32"/>
        </w:rPr>
        <w:t>：在后续项目规划中，应全面考量项目对社会的多方面影响。可以通过开展社区调研、专家咨询等方式，明确项目在提升公众传染病防控意识、改善当地公共卫生环境等方面的具体目标，并将其转化为可量化、可考核的指标。例如，设定在一定时期内公众传染病防</w:t>
      </w:r>
      <w:r>
        <w:rPr>
          <w:rStyle w:val="19"/>
          <w:rFonts w:hint="eastAsia" w:ascii="仿宋_GB2312" w:hAnsi="仿宋_GB2312" w:eastAsia="仿宋_GB2312" w:cs="仿宋_GB2312"/>
          <w:b w:val="0"/>
          <w:bCs w:val="0"/>
          <w:spacing w:val="-4"/>
          <w:sz w:val="32"/>
          <w:szCs w:val="32"/>
          <w:lang w:val="en-US" w:eastAsia="zh-CN"/>
        </w:rPr>
        <w:t>治</w:t>
      </w:r>
      <w:r>
        <w:rPr>
          <w:rStyle w:val="19"/>
          <w:rFonts w:hint="eastAsia" w:ascii="仿宋_GB2312" w:hAnsi="仿宋_GB2312" w:eastAsia="仿宋_GB2312" w:cs="仿宋_GB2312"/>
          <w:b w:val="0"/>
          <w:bCs w:val="0"/>
          <w:spacing w:val="-4"/>
          <w:sz w:val="32"/>
          <w:szCs w:val="32"/>
        </w:rPr>
        <w:t>知识知晓率提升的百分比，或者当地公共卫生环境改善的具体标准等。同时，建立长期的社会效益跟踪评估机制，定期收集数据，分析项目在社会层面的实际效果，以便及时调整和优化项目实施方案。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 w:hAnsi="楷体" w:eastAsia="楷体" w:cs="楷体"/>
          <w:b w:val="0"/>
          <w:bCs w:val="0"/>
          <w:spacing w:val="-4"/>
          <w:sz w:val="32"/>
          <w:szCs w:val="32"/>
        </w:rPr>
        <w:t>（二）针对生态效益考量不足问题</w:t>
      </w:r>
      <w:r>
        <w:rPr>
          <w:rStyle w:val="19"/>
          <w:rFonts w:hint="eastAsia" w:ascii="仿宋_GB2312" w:hAnsi="仿宋_GB2312" w:eastAsia="仿宋_GB2312" w:cs="仿宋_GB2312"/>
          <w:b w:val="0"/>
          <w:bCs w:val="0"/>
          <w:spacing w:val="-4"/>
          <w:sz w:val="32"/>
          <w:szCs w:val="32"/>
        </w:rPr>
        <w:t>：首先，加强项目团队对生态效益重要性的培训，提高环保意识，使其在项目执行过程中主动关注生态环境影响。其次，政府相关部门应出台针对重大传染病防</w:t>
      </w:r>
      <w:r>
        <w:rPr>
          <w:rStyle w:val="19"/>
          <w:rFonts w:hint="eastAsia" w:ascii="仿宋_GB2312" w:hAnsi="仿宋_GB2312" w:eastAsia="仿宋_GB2312" w:cs="仿宋_GB2312"/>
          <w:b w:val="0"/>
          <w:bCs w:val="0"/>
          <w:spacing w:val="-4"/>
          <w:sz w:val="32"/>
          <w:szCs w:val="32"/>
          <w:lang w:val="en-US" w:eastAsia="zh-CN"/>
        </w:rPr>
        <w:t>治</w:t>
      </w:r>
      <w:r>
        <w:rPr>
          <w:rStyle w:val="19"/>
          <w:rFonts w:hint="eastAsia" w:ascii="仿宋_GB2312" w:hAnsi="仿宋_GB2312" w:eastAsia="仿宋_GB2312" w:cs="仿宋_GB2312"/>
          <w:b w:val="0"/>
          <w:bCs w:val="0"/>
          <w:spacing w:val="-4"/>
          <w:sz w:val="32"/>
          <w:szCs w:val="32"/>
        </w:rPr>
        <w:t>项目的生态效益指导政策，明确生态保护的具体要求和标准。在技术支持方面，引入专业的环保机构或专家，为项目提供医疗废弃物处理、试剂环保使用等方面的技术方案和建议。在项目预算中，合理安排生态保护相关的资金，用于购置环保设备、开展环境监测等工作，确保项目在生态效益方面取得积极成效。</w:t>
      </w:r>
    </w:p>
    <w:p w14:paraId="1D48EB6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4E236D67">
      <w:pPr>
        <w:spacing w:line="540" w:lineRule="exact"/>
        <w:ind w:firstLine="640"/>
        <w:rPr>
          <w:rStyle w:val="19"/>
          <w:rFonts w:hint="eastAsia" w:ascii="仿宋_GB2312" w:hAnsi="仿宋_GB2312" w:eastAsia="仿宋_GB2312" w:cs="仿宋_GB2312"/>
          <w:b w:val="0"/>
          <w:bCs w:val="0"/>
          <w:spacing w:val="-4"/>
          <w:sz w:val="32"/>
          <w:szCs w:val="32"/>
        </w:rPr>
      </w:pPr>
      <w:r>
        <w:rPr>
          <w:rStyle w:val="19"/>
          <w:rFonts w:hint="eastAsia" w:ascii="楷体" w:hAnsi="楷体" w:eastAsia="楷体" w:cs="楷体"/>
          <w:b w:val="0"/>
          <w:bCs w:val="0"/>
          <w:spacing w:val="-4"/>
          <w:sz w:val="32"/>
          <w:szCs w:val="32"/>
        </w:rPr>
        <w:t>（一）</w:t>
      </w:r>
      <w:r>
        <w:rPr>
          <w:rStyle w:val="19"/>
          <w:rFonts w:hint="eastAsia" w:ascii="仿宋_GB2312" w:hAnsi="仿宋_GB2312" w:eastAsia="仿宋_GB2312" w:cs="仿宋_GB2312"/>
          <w:b w:val="0"/>
          <w:bCs w:val="0"/>
          <w:spacing w:val="-4"/>
          <w:sz w:val="32"/>
          <w:szCs w:val="32"/>
        </w:rPr>
        <w:t>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 w:hAnsi="楷体" w:eastAsia="楷体" w:cs="楷体"/>
          <w:b w:val="0"/>
          <w:bCs w:val="0"/>
          <w:spacing w:val="-4"/>
          <w:sz w:val="32"/>
          <w:szCs w:val="32"/>
        </w:rPr>
        <w:t>（二）</w:t>
      </w:r>
      <w:r>
        <w:rPr>
          <w:rStyle w:val="19"/>
          <w:rFonts w:hint="eastAsia" w:ascii="仿宋_GB2312" w:hAnsi="仿宋_GB2312" w:eastAsia="仿宋_GB2312" w:cs="仿宋_GB2312"/>
          <w:b w:val="0"/>
          <w:bCs w:val="0"/>
          <w:spacing w:val="-4"/>
          <w:sz w:val="32"/>
          <w:szCs w:val="32"/>
        </w:rPr>
        <w:t>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 w:hAnsi="楷体" w:eastAsia="楷体" w:cs="楷体"/>
          <w:b w:val="0"/>
          <w:bCs w:val="0"/>
          <w:spacing w:val="-4"/>
          <w:sz w:val="32"/>
          <w:szCs w:val="32"/>
          <w:lang w:val="en-US" w:eastAsia="zh-CN"/>
        </w:rPr>
        <w:t xml:space="preserve">  </w:t>
      </w:r>
      <w:r>
        <w:rPr>
          <w:rStyle w:val="19"/>
          <w:rFonts w:hint="eastAsia" w:ascii="楷体" w:hAnsi="楷体" w:eastAsia="楷体" w:cs="楷体"/>
          <w:b w:val="0"/>
          <w:bCs w:val="0"/>
          <w:spacing w:val="-4"/>
          <w:sz w:val="32"/>
          <w:szCs w:val="32"/>
        </w:rPr>
        <w:t>（三）</w:t>
      </w:r>
      <w:r>
        <w:rPr>
          <w:rStyle w:val="19"/>
          <w:rFonts w:hint="eastAsia" w:ascii="仿宋_GB2312" w:hAnsi="仿宋_GB2312" w:eastAsia="仿宋_GB2312" w:cs="仿宋_GB2312"/>
          <w:b w:val="0"/>
          <w:bCs w:val="0"/>
          <w:spacing w:val="-4"/>
          <w:sz w:val="32"/>
          <w:szCs w:val="32"/>
        </w:rPr>
        <w:t>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 w:hAnsi="楷体" w:eastAsia="楷体" w:cs="楷体"/>
          <w:b w:val="0"/>
          <w:bCs w:val="0"/>
          <w:spacing w:val="-4"/>
          <w:sz w:val="32"/>
          <w:szCs w:val="32"/>
        </w:rPr>
        <w:t>（四）</w:t>
      </w:r>
      <w:r>
        <w:rPr>
          <w:rStyle w:val="19"/>
          <w:rFonts w:hint="eastAsia" w:ascii="仿宋_GB2312" w:hAnsi="仿宋_GB2312" w:eastAsia="仿宋_GB2312" w:cs="仿宋_GB2312"/>
          <w:b w:val="0"/>
          <w:bCs w:val="0"/>
          <w:spacing w:val="-4"/>
          <w:sz w:val="32"/>
          <w:szCs w:val="32"/>
        </w:rPr>
        <w:t>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2B60E25">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楷体" w:hAnsi="楷体" w:eastAsia="楷体" w:cs="楷体"/>
          <w:b w:val="0"/>
          <w:bCs w:val="0"/>
          <w:spacing w:val="-4"/>
          <w:sz w:val="32"/>
          <w:szCs w:val="32"/>
        </w:rPr>
        <w:t>（五）</w:t>
      </w:r>
      <w:r>
        <w:rPr>
          <w:rStyle w:val="19"/>
          <w:rFonts w:hint="eastAsia" w:ascii="仿宋_GB2312" w:hAnsi="仿宋_GB2312" w:eastAsia="仿宋_GB2312" w:cs="仿宋_GB2312"/>
          <w:b w:val="0"/>
          <w:bCs w:val="0"/>
          <w:spacing w:val="-4"/>
          <w:sz w:val="32"/>
          <w:szCs w:val="32"/>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70A8A8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ESI楷体-GB2312">
    <w:panose1 w:val="02000500000000000000"/>
    <w:charset w:val="86"/>
    <w:family w:val="auto"/>
    <w:pitch w:val="default"/>
    <w:sig w:usb0="800002BF" w:usb1="184F6CF8" w:usb2="00000012" w:usb3="00000000" w:csb0="0004000F" w:csb1="00000000"/>
  </w:font>
  <w:font w:name="方正小标宋简体">
    <w:panose1 w:val="02000000000000000000"/>
    <w:charset w:val="86"/>
    <w:family w:val="auto"/>
    <w:pitch w:val="default"/>
    <w:sig w:usb0="A00002BF" w:usb1="184F6CFA" w:usb2="00000012"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C098D92">
        <w:pPr>
          <w:pStyle w:val="12"/>
          <w:jc w:val="center"/>
        </w:pPr>
        <w:r>
          <w:fldChar w:fldCharType="begin"/>
        </w:r>
        <w:r>
          <w:instrText xml:space="preserve">PAGE   \* MERGEFORMAT</w:instrText>
        </w:r>
        <w:r>
          <w:fldChar w:fldCharType="separate"/>
        </w:r>
        <w:r>
          <w:rPr>
            <w:lang w:val="zh-CN"/>
          </w:rPr>
          <w:t>1</w:t>
        </w:r>
        <w:r>
          <w:fldChar w:fldCharType="end"/>
        </w:r>
      </w:p>
    </w:sdtContent>
  </w:sdt>
  <w:p w14:paraId="2770DE6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92C88"/>
    <w:rsid w:val="0DE250F8"/>
    <w:rsid w:val="34B14BE2"/>
    <w:rsid w:val="79CF18F4"/>
    <w:rsid w:val="9F7D99D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2052-11.8.2.9831</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4949080e-abdb-4418-ab4d-25a25b302a24}">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15</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恺_xFF08_预算处_xFF09_</dc:creator>
  <cp:lastModifiedBy>sugon</cp:lastModifiedBy>
  <cp:lastPrinted>2025-09-26T18:39:09Z</cp:lastPrinted>
  <dcterms:modified xsi:type="dcterms:W3CDTF">2025-09-26T18:39:26Z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