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和田玉保护发展中心2024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5977468">
      <w:r>
        <w:br w:type="page"/>
      </w:r>
    </w:p>
    <w:p w14:paraId="683DDA96">
      <w:pPr>
        <w:spacing w:line="640" w:lineRule="exact"/>
        <w:jc w:val="center"/>
        <w:outlineLvl w:val="1"/>
      </w:pPr>
      <w:r>
        <w:rPr>
          <w:rFonts w:ascii="黑体" w:hAnsi="黑体" w:eastAsia="黑体"/>
          <w:sz w:val="32"/>
        </w:rPr>
        <w:t>第一部分 单位概况</w:t>
      </w:r>
    </w:p>
    <w:p w14:paraId="1DA7D78E">
      <w:pPr>
        <w:spacing w:line="640" w:lineRule="exact"/>
        <w:ind w:firstLine="640"/>
        <w:jc w:val="both"/>
        <w:outlineLvl w:val="2"/>
      </w:pPr>
      <w:r>
        <w:rPr>
          <w:rFonts w:ascii="黑体" w:hAnsi="黑体" w:eastAsia="黑体"/>
          <w:sz w:val="32"/>
        </w:rPr>
        <w:t>一、主要职能</w:t>
      </w:r>
    </w:p>
    <w:p w14:paraId="326B5C7C">
      <w:pPr>
        <w:spacing w:line="580" w:lineRule="exact"/>
        <w:ind w:firstLine="640"/>
        <w:jc w:val="both"/>
      </w:pPr>
      <w:r>
        <w:rPr>
          <w:rFonts w:ascii="仿宋_GB2312" w:hAnsi="仿宋_GB2312" w:eastAsia="仿宋_GB2312"/>
          <w:sz w:val="32"/>
        </w:rPr>
        <w:t>（1）宣传与推广，推动、促进和田玉文化挖掘、传承、保护和发展。</w:t>
      </w:r>
    </w:p>
    <w:p w14:paraId="0B23BDDB">
      <w:pPr>
        <w:spacing w:line="580" w:lineRule="exact"/>
        <w:ind w:firstLine="640"/>
        <w:jc w:val="both"/>
      </w:pPr>
      <w:r>
        <w:rPr>
          <w:rFonts w:ascii="仿宋_GB2312" w:hAnsi="仿宋_GB2312" w:eastAsia="仿宋_GB2312"/>
          <w:sz w:val="32"/>
        </w:rPr>
        <w:t>（2）组织和田玉质量检验检测机构开展玉材鉴定、分类和检验检测等相关工作。</w:t>
      </w:r>
    </w:p>
    <w:p w14:paraId="35413F37">
      <w:pPr>
        <w:spacing w:line="580" w:lineRule="exact"/>
        <w:ind w:firstLine="640"/>
        <w:jc w:val="both"/>
      </w:pPr>
      <w:r>
        <w:rPr>
          <w:rFonts w:ascii="仿宋_GB2312" w:hAnsi="仿宋_GB2312" w:eastAsia="仿宋_GB2312"/>
          <w:sz w:val="32"/>
        </w:rPr>
        <w:t>（3）指导和田玉石行业协会自律管理，提高行业公律性和公信度，推动和田玉石行业的成熟健康发展。</w:t>
      </w:r>
    </w:p>
    <w:p w14:paraId="04692BD5">
      <w:pPr>
        <w:spacing w:line="640" w:lineRule="exact"/>
        <w:ind w:firstLine="640"/>
        <w:jc w:val="both"/>
        <w:outlineLvl w:val="2"/>
      </w:pPr>
      <w:r>
        <w:rPr>
          <w:rFonts w:ascii="黑体" w:hAnsi="黑体" w:eastAsia="黑体"/>
          <w:sz w:val="32"/>
        </w:rPr>
        <w:t>二、机构设置及人员情况</w:t>
      </w:r>
    </w:p>
    <w:p w14:paraId="1E609F6E">
      <w:pPr>
        <w:spacing w:line="580" w:lineRule="exact"/>
        <w:ind w:firstLine="640"/>
        <w:jc w:val="both"/>
      </w:pPr>
      <w:r>
        <w:rPr>
          <w:rFonts w:ascii="仿宋_GB2312" w:hAnsi="仿宋_GB2312" w:eastAsia="仿宋_GB2312"/>
          <w:sz w:val="32"/>
        </w:rPr>
        <w:t>和田玉保护发展中心2024年度，实有人数10人，其中：在职人员10人，增加0人；离休人员0人，增加0人；退休人员0人,增加0人。</w:t>
      </w:r>
    </w:p>
    <w:p w14:paraId="3D3A2B9D">
      <w:pPr>
        <w:spacing w:line="580" w:lineRule="exact"/>
        <w:ind w:firstLine="640"/>
        <w:jc w:val="both"/>
      </w:pPr>
      <w:r>
        <w:rPr>
          <w:rFonts w:ascii="仿宋_GB2312" w:hAnsi="仿宋_GB2312" w:eastAsia="仿宋_GB2312"/>
          <w:sz w:val="32"/>
        </w:rPr>
        <w:t>和田玉保护发展中心无下属预算单位，下设4个科室，分别是：办公室、保护开发科、产业发展科、产品质量科。</w:t>
      </w:r>
    </w:p>
    <w:p w14:paraId="66CB9652">
      <w:pPr>
        <w:jc w:val="center"/>
      </w:pPr>
      <w:r>
        <w:rPr>
          <w:rFonts w:ascii="黑体" w:hAnsi="黑体" w:eastAsia="黑体"/>
          <w:sz w:val="32"/>
        </w:rPr>
        <w:t>第二部分 部门决算情况说明</w:t>
      </w:r>
    </w:p>
    <w:p w14:paraId="3CA5F09D">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一、收入支出决算总体情况说明</w:t>
      </w:r>
    </w:p>
    <w:p w14:paraId="6D10AF81">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2024年度收入总计245.14万元，</w:t>
      </w:r>
      <w:r>
        <w:rPr>
          <w:rFonts w:ascii="仿宋_GB2312" w:hAnsi="仿宋_GB2312" w:eastAsia="仿宋_GB2312"/>
          <w:b w:val="0"/>
          <w:sz w:val="32"/>
        </w:rPr>
        <w:t>其中：本年收入合计243.84万元，使用非财政拨款结余（含专用结余）0.00万元，年初结转和结余1.30万元。</w:t>
      </w:r>
    </w:p>
    <w:p w14:paraId="171A9420">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2024年度支出总计245.14万元，</w:t>
      </w:r>
      <w:r>
        <w:rPr>
          <w:rFonts w:ascii="仿宋_GB2312" w:hAnsi="仿宋_GB2312" w:eastAsia="仿宋_GB2312"/>
          <w:b w:val="0"/>
          <w:sz w:val="32"/>
        </w:rPr>
        <w:t>其中：本年支出合计243.85万元，结余分配0.00万元，年末结转和结余1.29万元。</w:t>
      </w:r>
    </w:p>
    <w:p w14:paraId="15CC7DB6">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收入支出总体与上年相比，减少15.13万元，下降5.81%，主要原因是：本年减少“和田玉子料”国家地理标志保护产品经费及和田玉公共商标经费项目，导致经费较上年减少。</w:t>
      </w:r>
    </w:p>
    <w:p w14:paraId="1757F5C6">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二、收入决算情况说明</w:t>
      </w:r>
    </w:p>
    <w:p w14:paraId="7FA8742B">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本年收入243.84万元，</w:t>
      </w:r>
      <w:r>
        <w:rPr>
          <w:rFonts w:ascii="仿宋_GB2312" w:hAnsi="仿宋_GB2312" w:eastAsia="仿宋_GB2312"/>
          <w:b w:val="0"/>
          <w:sz w:val="32"/>
        </w:rPr>
        <w:t>其中：财政拨款收入243.84万元，占100.00%；上级补助收入0.00万元，占0.00%；事业收入0.00万元，占0.00%；经营收入0.00万元，占0.00%；附属单位上缴收入0.00万元，占0.00%；其他收入0.00万元，占0.00%。</w:t>
      </w:r>
    </w:p>
    <w:p w14:paraId="1D0DA29B">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三、支出决算情况说明</w:t>
      </w:r>
    </w:p>
    <w:p w14:paraId="31D1E03E">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本年支出243.85万元，</w:t>
      </w:r>
      <w:r>
        <w:rPr>
          <w:rFonts w:ascii="仿宋_GB2312" w:hAnsi="仿宋_GB2312" w:eastAsia="仿宋_GB2312"/>
          <w:b w:val="0"/>
          <w:sz w:val="32"/>
        </w:rPr>
        <w:t>其中：基本支出214.95万元，占88.15%；项目支出28.90万元，占11.85%；上缴上级支出0.00万元，占0.00%；经营支出0.00万元，占0.00%；对附属单位补助支出0.00万元，占0.00%。</w:t>
      </w:r>
    </w:p>
    <w:p w14:paraId="1465AE1C">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四、财政拨款收入支出决算总体情况说明</w:t>
      </w:r>
    </w:p>
    <w:p w14:paraId="36C1CF2C">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2024年度财政拨款收入总计244.43万元，</w:t>
      </w:r>
      <w:r>
        <w:rPr>
          <w:rFonts w:ascii="仿宋_GB2312" w:hAnsi="仿宋_GB2312" w:eastAsia="仿宋_GB2312"/>
          <w:b w:val="0"/>
          <w:sz w:val="32"/>
        </w:rPr>
        <w:t>其中：年初财政拨款结转和结余0.59万元，本年财政拨款收入243.84万元。</w:t>
      </w:r>
      <w:r>
        <w:rPr>
          <w:rFonts w:ascii="仿宋_GB2312" w:hAnsi="仿宋_GB2312" w:eastAsia="仿宋_GB2312"/>
          <w:b/>
          <w:sz w:val="32"/>
        </w:rPr>
        <w:t>财政拨款支出总计244.43万元，</w:t>
      </w:r>
      <w:r>
        <w:rPr>
          <w:rFonts w:ascii="仿宋_GB2312" w:hAnsi="仿宋_GB2312" w:eastAsia="仿宋_GB2312"/>
          <w:b w:val="0"/>
          <w:sz w:val="32"/>
        </w:rPr>
        <w:t>其中：年末财政拨款结转和结余0.58万元，本年财政拨款支出243.85万元。</w:t>
      </w:r>
    </w:p>
    <w:p w14:paraId="73086942">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财政拨款收入支出总体与上年相比，</w:t>
      </w:r>
      <w:r>
        <w:rPr>
          <w:rFonts w:ascii="仿宋_GB2312" w:hAnsi="仿宋_GB2312" w:eastAsia="仿宋_GB2312"/>
          <w:b w:val="0"/>
          <w:sz w:val="32"/>
        </w:rPr>
        <w:t>减少10.63万元，下降4.17%，主要原因是：本年减少“和田玉子料”国家地理标志保护产品经费及和田玉公共商标经费项目，导致经费较上年减少。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年初预算数218.52万元，决算数244.43万元，预决算差异率11.86%，主要原因是：年中追加全国工艺品雕刻工职业技能竞赛（新疆赛区）选拔赛活动经费项目，导致预决算存在差异。</w:t>
      </w:r>
    </w:p>
    <w:p w14:paraId="2D5BCB5B">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五、一般公共预算财政拨款支出决算情况说明</w:t>
      </w:r>
    </w:p>
    <w:p w14:paraId="11C013A7">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3"/>
        <w:rPr>
          <w:b w:val="0"/>
          <w:bCs/>
        </w:rPr>
      </w:pPr>
      <w:r>
        <w:rPr>
          <w:rFonts w:ascii="楷体_GB2312" w:hAnsi="楷体_GB2312" w:eastAsia="楷体_GB2312"/>
          <w:b w:val="0"/>
          <w:bCs/>
          <w:sz w:val="32"/>
        </w:rPr>
        <w:t>（一）一般公共预算财政拨款支出决算总体情况</w:t>
      </w:r>
    </w:p>
    <w:p w14:paraId="7F6C11E4">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2024年度一般公共预算财政拨款支出243.85万元，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减少10.62万元，下降4.17%，主要原因是：本年减少“和田玉子料”国家地理标志保护产品经费及和田玉公共商标经费项目，导致经费较上年减少。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年初预算数218.52万元，决算数243.85万元，预决算差异率11.59%，主要原因是：年中追加全国工艺品雕刻工职业技能竞赛（新疆赛区）选拔赛活动经费项目，导致预决算存在差异。</w:t>
      </w:r>
    </w:p>
    <w:p w14:paraId="63481F78">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3"/>
        <w:rPr>
          <w:b w:val="0"/>
          <w:bCs/>
        </w:rPr>
      </w:pPr>
      <w:r>
        <w:rPr>
          <w:rFonts w:ascii="楷体_GB2312" w:hAnsi="楷体_GB2312" w:eastAsia="楷体_GB2312"/>
          <w:b w:val="0"/>
          <w:bCs/>
          <w:sz w:val="32"/>
        </w:rPr>
        <w:t>（二）一般公共预算财政拨款支出决算结构情况</w:t>
      </w:r>
    </w:p>
    <w:p w14:paraId="0AA17A1E">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1.一般公共服务支出(类)198.97万元,占81.60%。</w:t>
      </w:r>
    </w:p>
    <w:p w14:paraId="70CC33DC">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2.社会保障和就业支出(类)20.93万元,占8.58%。</w:t>
      </w:r>
    </w:p>
    <w:p w14:paraId="6A4997B3">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3.卫生健康支出(类)7.83万元,占3.21%。</w:t>
      </w:r>
    </w:p>
    <w:p w14:paraId="08253A75">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4.住房保障支出(类)16.12万元,占6.61%。</w:t>
      </w:r>
    </w:p>
    <w:p w14:paraId="3DDE9C1C">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3"/>
        <w:rPr>
          <w:b w:val="0"/>
          <w:bCs/>
        </w:rPr>
      </w:pPr>
      <w:r>
        <w:rPr>
          <w:rFonts w:ascii="楷体_GB2312" w:hAnsi="楷体_GB2312" w:eastAsia="楷体_GB2312"/>
          <w:b w:val="0"/>
          <w:bCs/>
          <w:sz w:val="32"/>
        </w:rPr>
        <w:t>（三）一般公共预算财政拨款支出决算具体情况</w:t>
      </w:r>
    </w:p>
    <w:p w14:paraId="7ABB28F6">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1.一般公共服务支出(类)市场监督管理事务(款)事业运行(项):支出决算数为170.07万元，比上年决算减少18.61万元，下降9.86%,主要原因是：本年功能科目调整，事业单位医疗、住房公积金经费上年度在主科目列支，本年单独列支，导致经费较上年减少。</w:t>
      </w:r>
    </w:p>
    <w:p w14:paraId="18D613C0">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2.一般公共服务支出(类)市场监督管理事务(款)其他市场监督管理事务(项):支出决算数为28.90万元，比上年决算减少18.38万元，下降38.87%,主要原因是：本年减少“和田玉子料”国家地理标志保护产品经费及和田玉公共商标经费项目，导致经费较上年减少。</w:t>
      </w:r>
    </w:p>
    <w:p w14:paraId="30D6C20A">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3.社会保障和就业支出(类)行政事业单位养老支出(款)机关事业单位基本养老保险缴费支出(项):支出决算数为20.93万元，比上年决算增加2.41万元，增长13.01%,主要原因是：本年在职人员工资基数调增，养老缴费基数上涨，相应支出增加。</w:t>
      </w:r>
    </w:p>
    <w:p w14:paraId="39B4F142">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4.卫生健康支出(类)行政事业单位医疗(款)事业单位医疗(项):支出决算数为7.83万元，比上年决算增加7.83万元，增长100.00%,主要原因是：本年功能科目调整，事业单位医疗支出上年度在主科目列支，本年单独列支，导致经费较上年增加。</w:t>
      </w:r>
    </w:p>
    <w:p w14:paraId="781CE554">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5.住房保障支出(类)住房改革支出(款)住房公积金(项):支出决算数为16.12万元，比上年决算增加16.12万元，增长100.00%,主要原因是：本年功能科目调整，住房公积金上年度在主科目列支，本年单独列支，导致经费较上年增加。</w:t>
      </w:r>
    </w:p>
    <w:p w14:paraId="0BEBE056">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六、一般公共预算财政拨款基本支出决算情况说明</w:t>
      </w:r>
    </w:p>
    <w:p w14:paraId="22F88688">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2024年度一般公共预算财政拨款基本支出214.95万元，其中：</w:t>
      </w:r>
      <w:r>
        <w:rPr>
          <w:rFonts w:ascii="仿宋_GB2312" w:hAnsi="仿宋_GB2312" w:eastAsia="仿宋_GB2312"/>
          <w:b/>
          <w:sz w:val="32"/>
        </w:rPr>
        <w:t>人员经费205.05万元，</w:t>
      </w:r>
      <w:r>
        <w:rPr>
          <w:rFonts w:ascii="仿宋_GB2312" w:hAnsi="仿宋_GB2312" w:eastAsia="仿宋_GB2312"/>
          <w:b w:val="0"/>
          <w:sz w:val="32"/>
        </w:rPr>
        <w:t>包括：基本工资、津贴补贴、奖金、绩效工资、机关事业单位基本养老保险缴费、职工基本医疗保险缴费、其他社会保障缴费、住房公积金、奖励金。</w:t>
      </w:r>
    </w:p>
    <w:p w14:paraId="74B3B697">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公用经费9.90万元，</w:t>
      </w:r>
      <w:r>
        <w:rPr>
          <w:rFonts w:ascii="仿宋_GB2312" w:hAnsi="仿宋_GB2312" w:eastAsia="仿宋_GB2312"/>
          <w:b w:val="0"/>
          <w:sz w:val="32"/>
        </w:rPr>
        <w:t>包括：办公费、印刷费、手续费、差旅费、工会经费、福利费、其他商品和服务支出。</w:t>
      </w:r>
    </w:p>
    <w:p w14:paraId="5C893CDE">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七、政府性基金预算财政拨款收入支出决算情况说明</w:t>
      </w:r>
    </w:p>
    <w:p w14:paraId="085E8282">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DD165E">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八、国有资本经营预算财政拨款收入支出决算情况说明</w:t>
      </w:r>
    </w:p>
    <w:p w14:paraId="09675490">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D5203EA">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九、财政拨款“三公”经费支出决算情况说明</w:t>
      </w:r>
    </w:p>
    <w:p w14:paraId="3F490A3C">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E9AA613">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具体情况如下：</w:t>
      </w:r>
    </w:p>
    <w:p w14:paraId="181D5D1F">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60D3346">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AD41FE1">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公务接待费0.00万元，开支内容包括本单位无公务接待费。单位全年安排的国内公务接待0批次，0人次。</w:t>
      </w:r>
    </w:p>
    <w:p w14:paraId="549A699E">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6B5AE95">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十、其他重要事项的情况说明</w:t>
      </w:r>
    </w:p>
    <w:p w14:paraId="6E1FF74A">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3"/>
        <w:rPr>
          <w:b w:val="0"/>
          <w:bCs/>
        </w:rPr>
      </w:pPr>
      <w:r>
        <w:rPr>
          <w:rFonts w:ascii="楷体_GB2312" w:hAnsi="楷体_GB2312" w:eastAsia="楷体_GB2312"/>
          <w:b w:val="0"/>
          <w:bCs/>
          <w:sz w:val="32"/>
        </w:rPr>
        <w:t>（一）机关运行经费及公用经费支出情况</w:t>
      </w:r>
    </w:p>
    <w:p w14:paraId="3D2DD392">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2024年度和田玉保护发展中心（事业单位）公用经费支出9.90万元，比上年增加1.46万元，增长17.30%，主要原因是：本年差旅费增加，导致公用经费增加。</w:t>
      </w:r>
    </w:p>
    <w:p w14:paraId="640597C7">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3"/>
        <w:rPr>
          <w:b w:val="0"/>
          <w:bCs/>
        </w:rPr>
      </w:pPr>
      <w:r>
        <w:rPr>
          <w:rFonts w:ascii="楷体_GB2312" w:hAnsi="楷体_GB2312" w:eastAsia="楷体_GB2312"/>
          <w:b w:val="0"/>
          <w:bCs/>
          <w:sz w:val="32"/>
        </w:rPr>
        <w:t>（二）政府采购情况</w:t>
      </w:r>
    </w:p>
    <w:p w14:paraId="5D515E79">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86FE360">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34F47D7C">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3"/>
        <w:rPr>
          <w:b w:val="0"/>
          <w:bCs/>
        </w:rPr>
      </w:pPr>
      <w:r>
        <w:rPr>
          <w:rFonts w:ascii="楷体_GB2312" w:hAnsi="楷体_GB2312" w:eastAsia="楷体_GB2312"/>
          <w:b w:val="0"/>
          <w:bCs/>
          <w:sz w:val="32"/>
        </w:rPr>
        <w:t>（三）国有资产占用情况说明</w:t>
      </w:r>
    </w:p>
    <w:p w14:paraId="03658CFE">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AF43AF5">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outlineLvl w:val="2"/>
      </w:pPr>
      <w:r>
        <w:rPr>
          <w:rFonts w:ascii="黑体" w:hAnsi="黑体" w:eastAsia="黑体"/>
          <w:sz w:val="32"/>
        </w:rPr>
        <w:t>十一、预算绩效的情况说明</w:t>
      </w:r>
    </w:p>
    <w:p w14:paraId="5CD4C7C3">
      <w:pPr>
        <w:keepNext w:val="0"/>
        <w:keepLines w:val="0"/>
        <w:pageBreakBefore w:val="0"/>
        <w:widowControl w:val="0"/>
        <w:kinsoku/>
        <w:wordWrap/>
        <w:overflowPunct/>
        <w:topLinePunct w:val="0"/>
        <w:autoSpaceDE/>
        <w:autoSpaceDN/>
        <w:bidi w:val="0"/>
        <w:adjustRightInd/>
        <w:snapToGrid/>
        <w:spacing w:line="540" w:lineRule="exact"/>
        <w:ind w:firstLine="640"/>
        <w:jc w:val="both"/>
        <w:textAlignment w:val="auto"/>
      </w:pPr>
      <w:r>
        <w:rPr>
          <w:rFonts w:ascii="仿宋_GB2312" w:hAnsi="仿宋_GB2312" w:eastAsia="仿宋_GB2312"/>
          <w:b w:val="0"/>
          <w:sz w:val="32"/>
        </w:rPr>
        <w:t>根据预算绩效管理要求，本单位2024年度预算绩效管理形成整体支出绩效自评表1个，全年预算总额245.14万元，实际执行总额243.85万元；预算绩效评价项目2个，全年预算数28.90万元，全年执行数28.90万元。预算绩效管理取得的成效：一是财政资金使用效益提升；二是预算管理精细化程度提高。发现的问题及原因：一是对各项指标和指标值要进一步优化、完善，主要在细化、量化上改进。二是自评价工作还存在自我审定的局限性，会影响评价质量。下一步改进措施：项目前期做好调查，更加细化实施方案，严格执行资金管理办法和财政资金管理制度，严格按照项目实施方案稳步推进工作，根据项目的特点进行总结。具体附整体支出绩效自评表，项目支出绩效自评表和评价报告。</w:t>
      </w:r>
    </w:p>
    <w:p w14:paraId="64DE3E7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4AE8A06">
        <w:tblPrEx>
          <w:tblCellMar>
            <w:top w:w="0" w:type="dxa"/>
            <w:left w:w="108" w:type="dxa"/>
            <w:bottom w:w="0" w:type="dxa"/>
            <w:right w:w="108" w:type="dxa"/>
          </w:tblCellMar>
        </w:tblPrEx>
        <w:tc>
          <w:tcPr>
            <w:tcW w:w="8847" w:type="dxa"/>
            <w:gridSpan w:val="9"/>
            <w:vAlign w:val="center"/>
          </w:tcPr>
          <w:p w14:paraId="2690CE34">
            <w:pPr>
              <w:jc w:val="center"/>
            </w:pPr>
            <w:r>
              <w:rPr>
                <w:rFonts w:ascii="宋体" w:hAnsi="宋体" w:eastAsia="宋体"/>
                <w:sz w:val="24"/>
              </w:rPr>
              <w:t>单位整体支出绩效自评表</w:t>
            </w:r>
          </w:p>
        </w:tc>
      </w:tr>
      <w:tr w14:paraId="6BBAB654">
        <w:tblPrEx>
          <w:tblCellMar>
            <w:top w:w="0" w:type="dxa"/>
            <w:left w:w="108" w:type="dxa"/>
            <w:bottom w:w="0" w:type="dxa"/>
            <w:right w:w="108" w:type="dxa"/>
          </w:tblCellMar>
        </w:tblPrEx>
        <w:tc>
          <w:tcPr>
            <w:tcW w:w="8847" w:type="dxa"/>
            <w:gridSpan w:val="9"/>
            <w:vAlign w:val="center"/>
          </w:tcPr>
          <w:p w14:paraId="795C8A1F">
            <w:pPr>
              <w:jc w:val="center"/>
            </w:pPr>
            <w:r>
              <w:rPr>
                <w:rFonts w:ascii="宋体" w:hAnsi="宋体" w:eastAsia="宋体"/>
                <w:sz w:val="24"/>
              </w:rPr>
              <w:t>（2024年度）</w:t>
            </w:r>
          </w:p>
        </w:tc>
      </w:tr>
      <w:tr w14:paraId="505B5A3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C061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5BA795">
            <w:pPr>
              <w:jc w:val="center"/>
            </w:pPr>
            <w:r>
              <w:rPr>
                <w:rFonts w:ascii="宋体" w:hAnsi="宋体" w:eastAsia="宋体"/>
                <w:sz w:val="16"/>
              </w:rPr>
              <w:t>和田玉保护发展中心</w:t>
            </w:r>
          </w:p>
        </w:tc>
      </w:tr>
      <w:tr w14:paraId="65076D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16FD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43E1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CB58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703A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9850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1260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B1B1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960CD">
            <w:pPr>
              <w:jc w:val="center"/>
            </w:pPr>
            <w:r>
              <w:rPr>
                <w:rFonts w:ascii="宋体" w:hAnsi="宋体" w:eastAsia="宋体"/>
                <w:sz w:val="16"/>
              </w:rPr>
              <w:t>得分</w:t>
            </w:r>
          </w:p>
        </w:tc>
      </w:tr>
      <w:tr w14:paraId="7B64DC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7FE0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7712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A2706">
            <w:pPr>
              <w:jc w:val="center"/>
            </w:pPr>
            <w:r>
              <w:rPr>
                <w:rFonts w:ascii="宋体" w:hAnsi="宋体" w:eastAsia="宋体"/>
                <w:sz w:val="16"/>
              </w:rPr>
              <w:t>218.52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545C1">
            <w:pPr>
              <w:jc w:val="center"/>
            </w:pPr>
            <w:r>
              <w:rPr>
                <w:rFonts w:ascii="宋体" w:hAnsi="宋体" w:eastAsia="宋体"/>
                <w:sz w:val="16"/>
              </w:rPr>
              <w:t>245.14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67DC2">
            <w:pPr>
              <w:jc w:val="center"/>
            </w:pPr>
            <w:r>
              <w:rPr>
                <w:rFonts w:ascii="宋体" w:hAnsi="宋体" w:eastAsia="宋体"/>
                <w:sz w:val="16"/>
              </w:rPr>
              <w:t>243.85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82C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BB388">
            <w:pPr>
              <w:jc w:val="center"/>
            </w:pPr>
            <w:r>
              <w:rPr>
                <w:rFonts w:ascii="宋体" w:hAnsi="宋体" w:eastAsia="宋体"/>
                <w:sz w:val="16"/>
              </w:rPr>
              <w:t>99.47%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6210E">
            <w:pPr>
              <w:jc w:val="center"/>
            </w:pPr>
            <w:r>
              <w:rPr>
                <w:rFonts w:ascii="宋体" w:hAnsi="宋体" w:eastAsia="宋体"/>
                <w:sz w:val="16"/>
              </w:rPr>
              <w:t>9.95</w:t>
            </w:r>
          </w:p>
        </w:tc>
      </w:tr>
      <w:tr w14:paraId="098263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CA80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508F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17E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F5F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EF4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470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4882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3A5B5">
            <w:pPr>
              <w:jc w:val="center"/>
            </w:pPr>
            <w:r>
              <w:rPr>
                <w:rFonts w:ascii="宋体" w:hAnsi="宋体" w:eastAsia="宋体"/>
                <w:sz w:val="16"/>
              </w:rPr>
              <w:t>—</w:t>
            </w:r>
          </w:p>
        </w:tc>
      </w:tr>
      <w:tr w14:paraId="71A16D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716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B47C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9E3B1">
            <w:pPr>
              <w:jc w:val="center"/>
            </w:pPr>
            <w:r>
              <w:rPr>
                <w:rFonts w:ascii="宋体" w:hAnsi="宋体" w:eastAsia="宋体"/>
                <w:sz w:val="16"/>
              </w:rPr>
              <w:t>218.52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41E2B">
            <w:pPr>
              <w:jc w:val="center"/>
            </w:pPr>
            <w:r>
              <w:rPr>
                <w:rFonts w:ascii="宋体" w:hAnsi="宋体" w:eastAsia="宋体"/>
                <w:sz w:val="16"/>
              </w:rPr>
              <w:t>245.14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CA143">
            <w:pPr>
              <w:jc w:val="center"/>
            </w:pPr>
            <w:r>
              <w:rPr>
                <w:rFonts w:ascii="宋体" w:hAnsi="宋体" w:eastAsia="宋体"/>
                <w:sz w:val="16"/>
              </w:rPr>
              <w:t>243.85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237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1ED2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984FBD">
            <w:pPr>
              <w:jc w:val="center"/>
            </w:pPr>
            <w:r>
              <w:rPr>
                <w:rFonts w:ascii="宋体" w:hAnsi="宋体" w:eastAsia="宋体"/>
                <w:sz w:val="16"/>
              </w:rPr>
              <w:t>—</w:t>
            </w:r>
          </w:p>
        </w:tc>
      </w:tr>
      <w:tr w14:paraId="63A9F1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054B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EB82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8140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CC2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D104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A51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2DD3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0AA4">
            <w:pPr>
              <w:jc w:val="center"/>
            </w:pPr>
            <w:r>
              <w:rPr>
                <w:rFonts w:ascii="宋体" w:hAnsi="宋体" w:eastAsia="宋体"/>
                <w:sz w:val="16"/>
              </w:rPr>
              <w:t>—</w:t>
            </w:r>
          </w:p>
        </w:tc>
      </w:tr>
      <w:tr w14:paraId="748415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DB8F0">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98622C">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001345">
            <w:pPr>
              <w:jc w:val="center"/>
            </w:pPr>
            <w:r>
              <w:rPr>
                <w:rFonts w:ascii="宋体" w:hAnsi="宋体" w:eastAsia="宋体"/>
                <w:sz w:val="16"/>
              </w:rPr>
              <w:t>实际完成目标</w:t>
            </w:r>
          </w:p>
        </w:tc>
      </w:tr>
      <w:tr w14:paraId="41D191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33701"/>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8D71603">
            <w:pPr>
              <w:jc w:val="both"/>
            </w:pPr>
            <w:r>
              <w:rPr>
                <w:rFonts w:hint="eastAsia" w:ascii="宋体" w:hAnsi="宋体"/>
                <w:sz w:val="16"/>
                <w:lang w:eastAsia="zh-CN"/>
              </w:rPr>
              <w:t>1.</w:t>
            </w:r>
            <w:r>
              <w:rPr>
                <w:rFonts w:ascii="宋体" w:hAnsi="宋体" w:eastAsia="宋体"/>
                <w:sz w:val="16"/>
              </w:rPr>
              <w:t>保障和田玉发展中心10位在职人员工资、社保及公积金等支出，确保人员工作正常运行；2、利用和田玉保护发展中心微信公众号发布和田玉文化、知识、线上活动的开展，为和田玉文化正本清源，助力和田玉品牌建设，推动和田玉文化硬件、软件建设；3、不断推进和田玉文化宣传，制作和田玉宣传册（单）不少于10000份、更新宣传牌内容；4、对和田玉石市场进行调研不少于2次；5、组织和田玉文化交流、学习考察不少于2次。</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1F6F40">
            <w:pPr>
              <w:jc w:val="both"/>
            </w:pPr>
            <w:r>
              <w:rPr>
                <w:rFonts w:hint="eastAsia" w:ascii="宋体" w:hAnsi="宋体"/>
                <w:sz w:val="16"/>
                <w:lang w:eastAsia="zh-CN"/>
              </w:rPr>
              <w:t>截至2024</w:t>
            </w:r>
            <w:r>
              <w:rPr>
                <w:rFonts w:ascii="宋体" w:hAnsi="宋体" w:eastAsia="宋体"/>
                <w:sz w:val="16"/>
              </w:rPr>
              <w:t>年12月31日，本单位实际完成在职人员的工资、社保及公积金等支出，并多次对和田玉市场进行调研、学习考察，并制作宣传册1万余份进行宣传，和田玉文化宣传次数2次，和田玉文化交流学习考察2次，和田玉文化保护活动调研2次。实际形成支出243.85万元，通过完成以上工作，实现了和田玉的知名度，及行业健康发展的效益。</w:t>
            </w:r>
          </w:p>
        </w:tc>
      </w:tr>
      <w:tr w14:paraId="3E33DE0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7924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F6EA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40A8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2CD9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BDEB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491D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93CB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BE2C1">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87AC5">
            <w:pPr>
              <w:jc w:val="center"/>
            </w:pPr>
            <w:r>
              <w:rPr>
                <w:rFonts w:ascii="宋体" w:hAnsi="宋体" w:eastAsia="宋体"/>
                <w:sz w:val="16"/>
              </w:rPr>
              <w:t>得分</w:t>
            </w:r>
          </w:p>
        </w:tc>
      </w:tr>
      <w:tr w14:paraId="458CFD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A311E">
            <w:pPr>
              <w:jc w:val="center"/>
            </w:pPr>
            <w:r>
              <w:rPr>
                <w:rFonts w:ascii="宋体" w:hAnsi="宋体" w:eastAsia="宋体"/>
                <w:sz w:val="16"/>
              </w:rPr>
              <w:t>运行成本</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83F5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4A915">
            <w:pPr>
              <w:jc w:val="center"/>
            </w:pPr>
            <w:r>
              <w:rPr>
                <w:rFonts w:ascii="宋体" w:hAnsi="宋体" w:eastAsia="宋体"/>
                <w:sz w:val="16"/>
              </w:rPr>
              <w:t>日常公用经费控制率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01F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1E423">
            <w:pPr>
              <w:jc w:val="center"/>
            </w:pPr>
            <w:r>
              <w:rPr>
                <w:rFonts w:ascii="宋体" w:hAnsi="宋体" w:eastAsia="宋体"/>
                <w:sz w:val="16"/>
              </w:rPr>
              <w:t>财政部相关文件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3669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37C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351A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92A0A">
            <w:pPr>
              <w:jc w:val="center"/>
            </w:pPr>
            <w:r>
              <w:rPr>
                <w:rFonts w:ascii="宋体" w:hAnsi="宋体" w:eastAsia="宋体"/>
                <w:sz w:val="16"/>
              </w:rPr>
              <w:t>20</w:t>
            </w:r>
          </w:p>
        </w:tc>
      </w:tr>
      <w:tr w14:paraId="59D3DA7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F7DE0">
            <w:pPr>
              <w:jc w:val="center"/>
            </w:pPr>
            <w:r>
              <w:rPr>
                <w:rFonts w:ascii="宋体" w:hAnsi="宋体" w:eastAsia="宋体"/>
                <w:sz w:val="16"/>
              </w:rPr>
              <w:t>管理效率</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D1D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011E4">
            <w:pPr>
              <w:jc w:val="center"/>
            </w:pPr>
            <w:r>
              <w:rPr>
                <w:rFonts w:ascii="宋体" w:hAnsi="宋体" w:eastAsia="宋体"/>
                <w:sz w:val="16"/>
              </w:rPr>
              <w:t>和田玉文化宣传次数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EED71">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C7C2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C1A5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7761D">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5BAB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F0E31">
            <w:pPr>
              <w:jc w:val="center"/>
            </w:pPr>
            <w:r>
              <w:rPr>
                <w:rFonts w:ascii="宋体" w:hAnsi="宋体" w:eastAsia="宋体"/>
                <w:sz w:val="16"/>
              </w:rPr>
              <w:t>15</w:t>
            </w:r>
          </w:p>
        </w:tc>
      </w:tr>
      <w:tr w14:paraId="44DE91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B26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3F9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84442">
            <w:pPr>
              <w:jc w:val="center"/>
            </w:pPr>
            <w:r>
              <w:rPr>
                <w:rFonts w:ascii="宋体" w:hAnsi="宋体" w:eastAsia="宋体"/>
                <w:sz w:val="16"/>
              </w:rPr>
              <w:t>和田玉文化交流学习考察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A5EDE">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04D1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DCFC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AA12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E3C6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93584">
            <w:pPr>
              <w:jc w:val="center"/>
            </w:pPr>
            <w:r>
              <w:rPr>
                <w:rFonts w:ascii="宋体" w:hAnsi="宋体" w:eastAsia="宋体"/>
                <w:sz w:val="16"/>
              </w:rPr>
              <w:t>15</w:t>
            </w:r>
          </w:p>
        </w:tc>
      </w:tr>
      <w:tr w14:paraId="59808B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C53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152D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AC7A7">
            <w:pPr>
              <w:jc w:val="center"/>
            </w:pPr>
            <w:r>
              <w:rPr>
                <w:rFonts w:ascii="宋体" w:hAnsi="宋体" w:eastAsia="宋体"/>
                <w:sz w:val="16"/>
              </w:rPr>
              <w:t>和田玉文化保护活动调研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EBB5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64A0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C8DC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04D8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3ED9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EAE38">
            <w:pPr>
              <w:jc w:val="center"/>
            </w:pPr>
            <w:r>
              <w:rPr>
                <w:rFonts w:ascii="宋体" w:hAnsi="宋体" w:eastAsia="宋体"/>
                <w:sz w:val="16"/>
              </w:rPr>
              <w:t>15</w:t>
            </w:r>
          </w:p>
        </w:tc>
      </w:tr>
      <w:tr w14:paraId="73F824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541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1343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0AB6D">
            <w:pPr>
              <w:jc w:val="center"/>
            </w:pPr>
            <w:r>
              <w:rPr>
                <w:rFonts w:ascii="宋体" w:hAnsi="宋体" w:eastAsia="宋体"/>
                <w:sz w:val="16"/>
              </w:rPr>
              <w:t>制作和田玉宣传册（单）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9D74C">
            <w:pPr>
              <w:jc w:val="center"/>
            </w:pPr>
            <w:r>
              <w:rPr>
                <w:rFonts w:ascii="宋体" w:hAnsi="宋体" w:eastAsia="宋体"/>
                <w:sz w:val="16"/>
              </w:rPr>
              <w:t>≥10000份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66B9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632B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0E4EF">
            <w:pPr>
              <w:jc w:val="center"/>
            </w:pPr>
            <w:r>
              <w:rPr>
                <w:rFonts w:ascii="宋体" w:hAnsi="宋体" w:eastAsia="宋体"/>
                <w:sz w:val="16"/>
              </w:rPr>
              <w:t>10000份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8F2F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55EC1">
            <w:pPr>
              <w:jc w:val="center"/>
            </w:pPr>
            <w:r>
              <w:rPr>
                <w:rFonts w:ascii="宋体" w:hAnsi="宋体" w:eastAsia="宋体"/>
                <w:sz w:val="16"/>
              </w:rPr>
              <w:t>15</w:t>
            </w:r>
          </w:p>
        </w:tc>
      </w:tr>
      <w:tr w14:paraId="1911479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81B55">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5C71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61D42">
            <w:pPr>
              <w:jc w:val="center"/>
            </w:pPr>
            <w:r>
              <w:rPr>
                <w:rFonts w:ascii="宋体" w:hAnsi="宋体" w:eastAsia="宋体"/>
                <w:sz w:val="16"/>
              </w:rPr>
              <w:t>服务人员满意度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EEE03">
            <w:pPr>
              <w:jc w:val="center"/>
            </w:pPr>
            <w:r>
              <w:rPr>
                <w:rFonts w:ascii="宋体" w:hAnsi="宋体" w:eastAsia="宋体"/>
                <w:sz w:val="16"/>
              </w:rPr>
              <w:t>≥</w:t>
            </w:r>
            <w:bookmarkStart w:id="0" w:name="_GoBack"/>
            <w:bookmarkEnd w:id="0"/>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C5EF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B29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F54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8CEF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36E96">
            <w:pPr>
              <w:jc w:val="center"/>
            </w:pPr>
            <w:r>
              <w:rPr>
                <w:rFonts w:ascii="宋体" w:hAnsi="宋体" w:eastAsia="宋体"/>
                <w:sz w:val="16"/>
              </w:rPr>
              <w:t>10</w:t>
            </w:r>
          </w:p>
        </w:tc>
      </w:tr>
    </w:tbl>
    <w:p w14:paraId="3EFB272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0F5115D">
        <w:tblPrEx>
          <w:tblCellMar>
            <w:top w:w="0" w:type="dxa"/>
            <w:left w:w="108" w:type="dxa"/>
            <w:bottom w:w="0" w:type="dxa"/>
            <w:right w:w="108" w:type="dxa"/>
          </w:tblCellMar>
        </w:tblPrEx>
        <w:tc>
          <w:tcPr>
            <w:tcW w:w="8847" w:type="dxa"/>
            <w:gridSpan w:val="9"/>
            <w:vAlign w:val="center"/>
          </w:tcPr>
          <w:p w14:paraId="30D34D7C">
            <w:pPr>
              <w:jc w:val="center"/>
            </w:pPr>
            <w:r>
              <w:rPr>
                <w:rFonts w:ascii="宋体" w:hAnsi="宋体" w:eastAsia="宋体"/>
                <w:sz w:val="24"/>
              </w:rPr>
              <w:t>项目支出绩效自评表</w:t>
            </w:r>
          </w:p>
        </w:tc>
      </w:tr>
      <w:tr w14:paraId="1A432764">
        <w:tblPrEx>
          <w:tblCellMar>
            <w:top w:w="0" w:type="dxa"/>
            <w:left w:w="108" w:type="dxa"/>
            <w:bottom w:w="0" w:type="dxa"/>
            <w:right w:w="108" w:type="dxa"/>
          </w:tblCellMar>
        </w:tblPrEx>
        <w:tc>
          <w:tcPr>
            <w:tcW w:w="8847" w:type="dxa"/>
            <w:gridSpan w:val="9"/>
            <w:vAlign w:val="center"/>
          </w:tcPr>
          <w:p w14:paraId="636C4722">
            <w:pPr>
              <w:jc w:val="center"/>
            </w:pPr>
            <w:r>
              <w:rPr>
                <w:rFonts w:ascii="宋体" w:hAnsi="宋体" w:eastAsia="宋体"/>
                <w:sz w:val="24"/>
              </w:rPr>
              <w:t>(2024年度)</w:t>
            </w:r>
          </w:p>
        </w:tc>
      </w:tr>
      <w:tr w14:paraId="4262675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B34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85DC9FE">
            <w:pPr>
              <w:jc w:val="center"/>
            </w:pPr>
            <w:r>
              <w:rPr>
                <w:rFonts w:ascii="宋体" w:hAnsi="宋体" w:eastAsia="宋体"/>
                <w:sz w:val="16"/>
              </w:rPr>
              <w:t>全国工艺品雕刻工职业技能竞赛（新疆赛区）选拔赛活动经费</w:t>
            </w:r>
          </w:p>
        </w:tc>
      </w:tr>
      <w:tr w14:paraId="1B5493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E21E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9B7244">
            <w:pPr>
              <w:jc w:val="center"/>
            </w:pPr>
            <w:r>
              <w:rPr>
                <w:rFonts w:ascii="宋体" w:hAnsi="宋体" w:eastAsia="宋体"/>
                <w:sz w:val="16"/>
              </w:rPr>
              <w:t>和田玉保护发展中心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4D05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24C9B0">
            <w:pPr>
              <w:jc w:val="center"/>
            </w:pPr>
            <w:r>
              <w:rPr>
                <w:rFonts w:ascii="宋体" w:hAnsi="宋体" w:eastAsia="宋体"/>
                <w:sz w:val="16"/>
              </w:rPr>
              <w:t>和田玉保护发展中心</w:t>
            </w:r>
          </w:p>
        </w:tc>
      </w:tr>
      <w:tr w14:paraId="4FB8A0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20B3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7F30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678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90C1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80AF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9FE2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D3C0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C9EB0">
            <w:pPr>
              <w:jc w:val="center"/>
            </w:pPr>
            <w:r>
              <w:rPr>
                <w:rFonts w:ascii="宋体" w:hAnsi="宋体" w:eastAsia="宋体"/>
                <w:sz w:val="16"/>
              </w:rPr>
              <w:t>得分</w:t>
            </w:r>
          </w:p>
        </w:tc>
      </w:tr>
      <w:tr w14:paraId="3B9068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26B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1DFB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8DADE">
            <w:pPr>
              <w:jc w:val="center"/>
            </w:pPr>
            <w:r>
              <w:rPr>
                <w:rFonts w:ascii="宋体" w:hAnsi="宋体" w:eastAsia="宋体"/>
                <w:sz w:val="16"/>
              </w:rPr>
              <w:t>23.90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54022">
            <w:pPr>
              <w:jc w:val="center"/>
            </w:pPr>
            <w:r>
              <w:rPr>
                <w:rFonts w:ascii="宋体" w:hAnsi="宋体" w:eastAsia="宋体"/>
                <w:sz w:val="16"/>
              </w:rPr>
              <w:t>23.90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90C78">
            <w:pPr>
              <w:jc w:val="center"/>
            </w:pPr>
            <w:r>
              <w:rPr>
                <w:rFonts w:ascii="宋体" w:hAnsi="宋体" w:eastAsia="宋体"/>
                <w:sz w:val="16"/>
              </w:rPr>
              <w:t>23.90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631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04FC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0566F">
            <w:pPr>
              <w:jc w:val="center"/>
            </w:pPr>
            <w:r>
              <w:rPr>
                <w:rFonts w:ascii="宋体" w:hAnsi="宋体" w:eastAsia="宋体"/>
                <w:sz w:val="16"/>
              </w:rPr>
              <w:t>10.00分</w:t>
            </w:r>
          </w:p>
        </w:tc>
      </w:tr>
      <w:tr w14:paraId="140E05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0E0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E57C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E8932">
            <w:pPr>
              <w:jc w:val="center"/>
            </w:pPr>
            <w:r>
              <w:rPr>
                <w:rFonts w:ascii="宋体" w:hAnsi="宋体" w:eastAsia="宋体"/>
                <w:sz w:val="16"/>
              </w:rPr>
              <w:t>23.90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9FDAD">
            <w:pPr>
              <w:jc w:val="center"/>
            </w:pPr>
            <w:r>
              <w:rPr>
                <w:rFonts w:ascii="宋体" w:hAnsi="宋体" w:eastAsia="宋体"/>
                <w:sz w:val="16"/>
              </w:rPr>
              <w:t>23.90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A1F49">
            <w:pPr>
              <w:jc w:val="center"/>
            </w:pPr>
            <w:r>
              <w:rPr>
                <w:rFonts w:ascii="宋体" w:hAnsi="宋体" w:eastAsia="宋体"/>
                <w:sz w:val="16"/>
              </w:rPr>
              <w:t>23.90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7E3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DA3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B4369">
            <w:pPr>
              <w:jc w:val="center"/>
            </w:pPr>
            <w:r>
              <w:rPr>
                <w:rFonts w:ascii="宋体" w:hAnsi="宋体" w:eastAsia="宋体"/>
                <w:sz w:val="16"/>
              </w:rPr>
              <w:t>—</w:t>
            </w:r>
          </w:p>
        </w:tc>
      </w:tr>
      <w:tr w14:paraId="56BA4D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852B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9F75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8C2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FAD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397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671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3DA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8EF85">
            <w:pPr>
              <w:jc w:val="center"/>
            </w:pPr>
            <w:r>
              <w:rPr>
                <w:rFonts w:ascii="宋体" w:hAnsi="宋体" w:eastAsia="宋体"/>
                <w:sz w:val="16"/>
              </w:rPr>
              <w:t>—</w:t>
            </w:r>
          </w:p>
        </w:tc>
      </w:tr>
      <w:tr w14:paraId="55A557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D04D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C0D8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B1B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8AA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971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1EE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96A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5E0E9">
            <w:pPr>
              <w:jc w:val="center"/>
            </w:pPr>
            <w:r>
              <w:rPr>
                <w:rFonts w:ascii="宋体" w:hAnsi="宋体" w:eastAsia="宋体"/>
                <w:sz w:val="16"/>
              </w:rPr>
              <w:t>—</w:t>
            </w:r>
          </w:p>
        </w:tc>
      </w:tr>
      <w:tr w14:paraId="4FE01A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2E4F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A51C6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1788F6">
            <w:pPr>
              <w:jc w:val="center"/>
            </w:pPr>
            <w:r>
              <w:rPr>
                <w:rFonts w:ascii="宋体" w:hAnsi="宋体" w:eastAsia="宋体"/>
                <w:sz w:val="16"/>
              </w:rPr>
              <w:t>实际完成情况</w:t>
            </w:r>
          </w:p>
        </w:tc>
      </w:tr>
      <w:tr w14:paraId="46F120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9B91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CDEBB3">
            <w:pPr>
              <w:jc w:val="both"/>
            </w:pPr>
            <w:r>
              <w:rPr>
                <w:rFonts w:ascii="宋体" w:hAnsi="宋体" w:eastAsia="宋体"/>
                <w:sz w:val="16"/>
              </w:rPr>
              <w:t>项目总投资23.9万元，计划开展全国工艺品雕刻工职业技能竞赛（新疆赛区）选拔赛活动咨询服务，参加活动选手30人，通过项目的实施，发挥职业技能竞赛在人才培养和激励方面的积极作用，争取使受益人员满意度达到95%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A249B">
            <w:pPr>
              <w:jc w:val="both"/>
            </w:pPr>
            <w:r>
              <w:rPr>
                <w:rFonts w:hint="eastAsia" w:ascii="宋体" w:hAnsi="宋体"/>
                <w:sz w:val="16"/>
                <w:lang w:eastAsia="zh-CN"/>
              </w:rPr>
              <w:t>截至</w:t>
            </w:r>
            <w:r>
              <w:rPr>
                <w:rFonts w:ascii="宋体" w:hAnsi="宋体" w:eastAsia="宋体"/>
                <w:sz w:val="16"/>
              </w:rPr>
              <w:t>2024年12月31日，本项目实际形成支出23.9万元，已完成开展全国工艺品雕刻工职业技能竞赛（新疆赛区）选拔赛活动咨询服务，参加活动选手30人的任务，达到了发挥职业技能竞赛在人才培养和激励方面的积极作用的效益，受益人员满意度达到100%。</w:t>
            </w:r>
          </w:p>
        </w:tc>
      </w:tr>
      <w:tr w14:paraId="67E221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9B3B0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1C1A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6FF1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597B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F7F8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0A38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2F94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338A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913AA">
            <w:pPr>
              <w:jc w:val="center"/>
            </w:pPr>
            <w:r>
              <w:rPr>
                <w:rFonts w:ascii="宋体" w:hAnsi="宋体" w:eastAsia="宋体"/>
                <w:sz w:val="16"/>
              </w:rPr>
              <w:t>偏差原因分析及改进措施</w:t>
            </w:r>
          </w:p>
        </w:tc>
      </w:tr>
      <w:tr w14:paraId="7E4B778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D2C1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B450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EA3F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44377">
            <w:pPr>
              <w:jc w:val="center"/>
            </w:pPr>
            <w:r>
              <w:rPr>
                <w:rFonts w:ascii="宋体" w:hAnsi="宋体" w:eastAsia="宋体"/>
                <w:sz w:val="16"/>
              </w:rPr>
              <w:t>参加活动选手人数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0F003">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3CA51">
            <w:pPr>
              <w:jc w:val="center"/>
            </w:pPr>
            <w:r>
              <w:rPr>
                <w:rFonts w:ascii="宋体" w:hAnsi="宋体" w:eastAsia="宋体"/>
                <w:sz w:val="16"/>
              </w:rPr>
              <w: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7FF2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697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CC4B4">
            <w:pPr>
              <w:jc w:val="center"/>
            </w:pPr>
          </w:p>
        </w:tc>
      </w:tr>
      <w:tr w14:paraId="2F8E2B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687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580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E6E6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BBD99">
            <w:pPr>
              <w:jc w:val="center"/>
            </w:pPr>
            <w:r>
              <w:rPr>
                <w:rFonts w:ascii="宋体" w:hAnsi="宋体" w:eastAsia="宋体"/>
                <w:sz w:val="16"/>
              </w:rPr>
              <w:t>活动举办完成率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296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6AF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2CE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F45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CD640">
            <w:pPr>
              <w:jc w:val="center"/>
            </w:pPr>
          </w:p>
        </w:tc>
      </w:tr>
      <w:tr w14:paraId="525582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730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3CB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6869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E56C5">
            <w:pPr>
              <w:jc w:val="center"/>
            </w:pPr>
            <w:r>
              <w:rPr>
                <w:rFonts w:ascii="宋体" w:hAnsi="宋体" w:eastAsia="宋体"/>
                <w:sz w:val="16"/>
              </w:rPr>
              <w:t>活动开展及时率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9E4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C71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56B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0D1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2ED8B">
            <w:pPr>
              <w:jc w:val="center"/>
            </w:pPr>
          </w:p>
        </w:tc>
      </w:tr>
      <w:tr w14:paraId="41303D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D17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B1D03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0B43D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E1C02">
            <w:pPr>
              <w:jc w:val="center"/>
            </w:pPr>
            <w:r>
              <w:rPr>
                <w:rFonts w:ascii="宋体" w:hAnsi="宋体" w:eastAsia="宋体"/>
                <w:sz w:val="16"/>
              </w:rPr>
              <w:t>活动经费成本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AA886">
            <w:pPr>
              <w:jc w:val="center"/>
            </w:pPr>
            <w:r>
              <w:rPr>
                <w:rFonts w:ascii="宋体" w:hAnsi="宋体" w:eastAsia="宋体"/>
                <w:sz w:val="16"/>
              </w:rPr>
              <w:t>≤8.9万元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032BF">
            <w:pPr>
              <w:jc w:val="center"/>
            </w:pPr>
            <w:r>
              <w:rPr>
                <w:rFonts w:ascii="宋体" w:hAnsi="宋体" w:eastAsia="宋体"/>
                <w:sz w:val="16"/>
              </w:rPr>
              <w:t>=8.9万元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B8C7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A664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071C3">
            <w:pPr>
              <w:jc w:val="center"/>
            </w:pPr>
          </w:p>
        </w:tc>
      </w:tr>
      <w:tr w14:paraId="2D5100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8E8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9D82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747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76427">
            <w:pPr>
              <w:jc w:val="center"/>
            </w:pPr>
            <w:r>
              <w:rPr>
                <w:rFonts w:ascii="宋体" w:hAnsi="宋体" w:eastAsia="宋体"/>
                <w:sz w:val="16"/>
              </w:rPr>
              <w:t>赛事咨询服务费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370B7">
            <w:pPr>
              <w:jc w:val="center"/>
            </w:pPr>
            <w:r>
              <w:rPr>
                <w:rFonts w:ascii="宋体" w:hAnsi="宋体" w:eastAsia="宋体"/>
                <w:sz w:val="16"/>
              </w:rPr>
              <w:t>≤15万元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4D546">
            <w:pPr>
              <w:jc w:val="center"/>
            </w:pPr>
            <w:r>
              <w:rPr>
                <w:rFonts w:ascii="宋体" w:hAnsi="宋体" w:eastAsia="宋体"/>
                <w:sz w:val="16"/>
              </w:rPr>
              <w:t>=15万元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9BD9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9023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12417">
            <w:pPr>
              <w:jc w:val="center"/>
            </w:pPr>
          </w:p>
        </w:tc>
      </w:tr>
      <w:tr w14:paraId="374142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D5B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4D93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F990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98406">
            <w:pPr>
              <w:jc w:val="center"/>
            </w:pPr>
            <w:r>
              <w:rPr>
                <w:rFonts w:ascii="宋体" w:hAnsi="宋体" w:eastAsia="宋体"/>
                <w:sz w:val="16"/>
              </w:rPr>
              <w:t>发挥职业技能竞赛在人才培养和激励方面的积极作用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F77F">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625E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D07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843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09359">
            <w:pPr>
              <w:jc w:val="center"/>
            </w:pPr>
          </w:p>
        </w:tc>
      </w:tr>
      <w:tr w14:paraId="6997A3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4543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BD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FF5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8C554">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7E0D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5BD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5D6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AFC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D8BB2">
            <w:pPr>
              <w:jc w:val="center"/>
            </w:pPr>
          </w:p>
        </w:tc>
      </w:tr>
      <w:tr w14:paraId="1C8D4C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33238">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DDFE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C97F8">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2F3E1D">
            <w:pPr>
              <w:jc w:val="center"/>
            </w:pPr>
            <w:r>
              <w:rPr>
                <w:rFonts w:ascii="宋体" w:hAnsi="宋体" w:eastAsia="宋体"/>
                <w:sz w:val="16"/>
              </w:rPr>
              <w:t>100分</w:t>
            </w:r>
          </w:p>
        </w:tc>
      </w:tr>
    </w:tbl>
    <w:p w14:paraId="64197579">
      <w:r>
        <w:br w:type="page"/>
      </w:r>
    </w:p>
    <w:tbl>
      <w:tblPr>
        <w:tblStyle w:val="9"/>
        <w:tblW w:w="0" w:type="auto"/>
        <w:tblInd w:w="0" w:type="dxa"/>
        <w:tblLayout w:type="autofit"/>
        <w:tblCellMar>
          <w:top w:w="0" w:type="dxa"/>
          <w:left w:w="108" w:type="dxa"/>
          <w:bottom w:w="0" w:type="dxa"/>
          <w:right w:w="108" w:type="dxa"/>
        </w:tblCellMar>
      </w:tblPr>
      <w:tblGrid>
        <w:gridCol w:w="705"/>
        <w:gridCol w:w="900"/>
        <w:gridCol w:w="1215"/>
        <w:gridCol w:w="1650"/>
        <w:gridCol w:w="975"/>
        <w:gridCol w:w="900"/>
        <w:gridCol w:w="810"/>
        <w:gridCol w:w="855"/>
        <w:gridCol w:w="837"/>
      </w:tblGrid>
      <w:tr w14:paraId="2F015788">
        <w:tblPrEx>
          <w:tblCellMar>
            <w:top w:w="0" w:type="dxa"/>
            <w:left w:w="108" w:type="dxa"/>
            <w:bottom w:w="0" w:type="dxa"/>
            <w:right w:w="108" w:type="dxa"/>
          </w:tblCellMar>
        </w:tblPrEx>
        <w:tc>
          <w:tcPr>
            <w:tcW w:w="8847" w:type="dxa"/>
            <w:gridSpan w:val="9"/>
            <w:vAlign w:val="center"/>
          </w:tcPr>
          <w:p w14:paraId="59921E02">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24"/>
              </w:rPr>
              <w:t>项目支出绩效自评表</w:t>
            </w:r>
          </w:p>
        </w:tc>
      </w:tr>
      <w:tr w14:paraId="4CDBA6BF">
        <w:tblPrEx>
          <w:tblCellMar>
            <w:top w:w="0" w:type="dxa"/>
            <w:left w:w="108" w:type="dxa"/>
            <w:bottom w:w="0" w:type="dxa"/>
            <w:right w:w="108" w:type="dxa"/>
          </w:tblCellMar>
        </w:tblPrEx>
        <w:tc>
          <w:tcPr>
            <w:tcW w:w="8847" w:type="dxa"/>
            <w:gridSpan w:val="9"/>
            <w:vAlign w:val="center"/>
          </w:tcPr>
          <w:p w14:paraId="0B42D5A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24"/>
              </w:rPr>
              <w:t>(2024年度)</w:t>
            </w:r>
          </w:p>
        </w:tc>
      </w:tr>
      <w:tr w14:paraId="45E98288">
        <w:tblPrEx>
          <w:tblCellMar>
            <w:top w:w="0" w:type="dxa"/>
            <w:left w:w="108" w:type="dxa"/>
            <w:bottom w:w="0" w:type="dxa"/>
            <w:right w:w="108" w:type="dxa"/>
          </w:tblCellMar>
        </w:tblPrEx>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44272F9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项目名称</w:t>
            </w:r>
          </w:p>
        </w:tc>
        <w:tc>
          <w:tcPr>
            <w:tcW w:w="814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DD4D8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和田玉文化保护发展活动项目</w:t>
            </w:r>
          </w:p>
        </w:tc>
      </w:tr>
      <w:tr w14:paraId="12A9A161">
        <w:tblPrEx>
          <w:tblCellMar>
            <w:top w:w="0" w:type="dxa"/>
            <w:left w:w="108" w:type="dxa"/>
            <w:bottom w:w="0" w:type="dxa"/>
            <w:right w:w="108" w:type="dxa"/>
          </w:tblCellMar>
        </w:tblPrEx>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082161B6">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主管部门</w:t>
            </w:r>
          </w:p>
        </w:tc>
        <w:tc>
          <w:tcPr>
            <w:tcW w:w="376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DA729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和田玉保护发展中心</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59D5F28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实施单位</w:t>
            </w:r>
          </w:p>
        </w:tc>
        <w:tc>
          <w:tcPr>
            <w:tcW w:w="34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714D3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和田玉保护发展中心</w:t>
            </w:r>
          </w:p>
        </w:tc>
      </w:tr>
      <w:tr w14:paraId="363D640D">
        <w:tblPrEx>
          <w:tblCellMar>
            <w:top w:w="0" w:type="dxa"/>
            <w:left w:w="108" w:type="dxa"/>
            <w:bottom w:w="0" w:type="dxa"/>
            <w:right w:w="108" w:type="dxa"/>
          </w:tblCellMar>
        </w:tblPrEx>
        <w:tc>
          <w:tcPr>
            <w:tcW w:w="7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0A3D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项目资金 （万元）</w:t>
            </w:r>
          </w:p>
        </w:tc>
        <w:tc>
          <w:tcPr>
            <w:tcW w:w="21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6B94C">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6117E0FC">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年初预算数</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3497E49C">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全年预算数</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0E26295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全年执行数</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5FC1128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分值</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76C9E97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执行率</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1AFD730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得分</w:t>
            </w:r>
          </w:p>
        </w:tc>
      </w:tr>
      <w:tr w14:paraId="2E97147F">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7E398FF6">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21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1D5A2">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年度资金总额</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7317853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5.00</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F25D626">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5.00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6A5CCAE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E22FFAC">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719568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 xml:space="preserve">100.00% </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09D3C642">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10.00分</w:t>
            </w:r>
          </w:p>
        </w:tc>
      </w:tr>
      <w:tr w14:paraId="32F6D14B">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3072E20B">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21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3505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其中：当年财政拨款</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60CA6C1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5.00</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654318AB">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5.00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5AC2103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EE6E2C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2872C25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3347834B">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r>
      <w:tr w14:paraId="296C43D7">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47876D6B">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21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7234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 xml:space="preserve">      上年结转资金</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37370A2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0.00</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A75641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0.00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1207A266">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0.00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3DE7E2B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9D443F6">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001272F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r>
      <w:tr w14:paraId="3DBE11D6">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2DB614D8">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21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F756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 xml:space="preserve">  其他资金</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06B938E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0.00</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78F4C4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0.00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0837B3E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0.00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28C91E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2DF1E3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654F149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w:t>
            </w:r>
          </w:p>
        </w:tc>
      </w:tr>
      <w:tr w14:paraId="239337A1">
        <w:tblPrEx>
          <w:tblCellMar>
            <w:top w:w="0" w:type="dxa"/>
            <w:left w:w="108" w:type="dxa"/>
            <w:bottom w:w="0" w:type="dxa"/>
            <w:right w:w="108" w:type="dxa"/>
          </w:tblCellMar>
        </w:tblPrEx>
        <w:tc>
          <w:tcPr>
            <w:tcW w:w="7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5343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年度总体目标</w:t>
            </w:r>
          </w:p>
        </w:tc>
        <w:tc>
          <w:tcPr>
            <w:tcW w:w="474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D0416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预期目标</w:t>
            </w:r>
          </w:p>
        </w:tc>
        <w:tc>
          <w:tcPr>
            <w:tcW w:w="34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23B7E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实际完成情况</w:t>
            </w:r>
          </w:p>
        </w:tc>
      </w:tr>
      <w:tr w14:paraId="7045C453">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37418FF3">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474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1332EF">
            <w:pPr>
              <w:keepNext w:val="0"/>
              <w:keepLines w:val="0"/>
              <w:pageBreakBefore w:val="0"/>
              <w:widowControl w:val="0"/>
              <w:kinsoku/>
              <w:wordWrap/>
              <w:overflowPunct/>
              <w:topLinePunct w:val="0"/>
              <w:autoSpaceDE/>
              <w:autoSpaceDN/>
              <w:bidi w:val="0"/>
              <w:adjustRightInd/>
              <w:snapToGrid/>
              <w:spacing w:line="280" w:lineRule="exact"/>
              <w:jc w:val="both"/>
              <w:textAlignment w:val="auto"/>
            </w:pPr>
            <w:r>
              <w:rPr>
                <w:rFonts w:ascii="宋体" w:hAnsi="宋体" w:eastAsia="宋体"/>
                <w:sz w:val="16"/>
              </w:rPr>
              <w:t>计划用于和田玉文化更新宣传栏内容不少于8个、宣传单/册不少于10000份等推广和田玉文化宣传；对地区和田玉人才、各县市玉石市场、玉石采挖点进行调研不少于2次、赴内地玉文化交流学习不少于1次；玉文化学术交流座谈不少于2次；进一步发挥和田玉文化保护发展，将和田玉原产地优势转化为市场优势、文化优势，打造和田玉品牌，推动和田玉产业健康</w:t>
            </w:r>
            <w:r>
              <w:rPr>
                <w:rFonts w:hint="eastAsia" w:ascii="宋体" w:hAnsi="宋体"/>
                <w:sz w:val="16"/>
                <w:lang w:eastAsia="zh-CN"/>
              </w:rPr>
              <w:t>可</w:t>
            </w:r>
            <w:r>
              <w:rPr>
                <w:rFonts w:ascii="宋体" w:hAnsi="宋体" w:eastAsia="宋体"/>
                <w:sz w:val="16"/>
              </w:rPr>
              <w:t>持续发展。</w:t>
            </w:r>
          </w:p>
        </w:tc>
        <w:tc>
          <w:tcPr>
            <w:tcW w:w="34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D6E9F5">
            <w:pPr>
              <w:keepNext w:val="0"/>
              <w:keepLines w:val="0"/>
              <w:pageBreakBefore w:val="0"/>
              <w:widowControl w:val="0"/>
              <w:kinsoku/>
              <w:wordWrap/>
              <w:overflowPunct/>
              <w:topLinePunct w:val="0"/>
              <w:autoSpaceDE/>
              <w:autoSpaceDN/>
              <w:bidi w:val="0"/>
              <w:adjustRightInd/>
              <w:snapToGrid/>
              <w:spacing w:line="280" w:lineRule="exact"/>
              <w:jc w:val="both"/>
              <w:textAlignment w:val="auto"/>
            </w:pPr>
            <w:r>
              <w:rPr>
                <w:rFonts w:hint="eastAsia" w:ascii="宋体" w:hAnsi="宋体"/>
                <w:sz w:val="16"/>
                <w:lang w:eastAsia="zh-CN"/>
              </w:rPr>
              <w:t>截至2024</w:t>
            </w:r>
            <w:r>
              <w:rPr>
                <w:rFonts w:ascii="宋体" w:hAnsi="宋体" w:eastAsia="宋体"/>
                <w:sz w:val="16"/>
              </w:rPr>
              <w:t>年12月31日，本项目实际形成支出5万元，已完成为推广和田玉文化宣传工作制作宣传单/册10000份；更新宣传栏内容8个，开展和田玉文化宣传2次的任务，达到了提升和田玉品牌知名度，推动了和田玉产业健康和持续发展，服务群众满意度达到99.6%。</w:t>
            </w:r>
          </w:p>
        </w:tc>
      </w:tr>
      <w:tr w14:paraId="5739E7A9">
        <w:tblPrEx>
          <w:tblCellMar>
            <w:top w:w="0" w:type="dxa"/>
            <w:left w:w="108" w:type="dxa"/>
            <w:bottom w:w="0" w:type="dxa"/>
            <w:right w:w="108" w:type="dxa"/>
          </w:tblCellMar>
        </w:tblPrEx>
        <w:tc>
          <w:tcPr>
            <w:tcW w:w="705" w:type="dxa"/>
            <w:tcBorders>
              <w:top w:val="single" w:color="auto" w:sz="10" w:space="0"/>
              <w:left w:val="single" w:color="auto" w:sz="10" w:space="0"/>
              <w:bottom w:val="single" w:color="auto" w:sz="10" w:space="0"/>
              <w:right w:val="single" w:color="auto" w:sz="10" w:space="0"/>
              <w:insideV w:val="single" w:sz="10" w:space="0"/>
            </w:tcBorders>
          </w:tcPr>
          <w:p w14:paraId="58B69F33">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064BE1E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一级指标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02E8A67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二级指标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41AE6CA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三级指标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362A611">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年度指标值</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36ED803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实际完成值</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347F4E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分值</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081FC98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得分</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5AA99DD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3"/>
                <w:szCs w:val="21"/>
              </w:rPr>
              <w:t>偏差原因分析及改进措施</w:t>
            </w:r>
          </w:p>
        </w:tc>
      </w:tr>
      <w:tr w14:paraId="185E4E42">
        <w:tblPrEx>
          <w:tblCellMar>
            <w:top w:w="0" w:type="dxa"/>
            <w:left w:w="108" w:type="dxa"/>
            <w:bottom w:w="0" w:type="dxa"/>
            <w:right w:w="108" w:type="dxa"/>
          </w:tblCellMar>
        </w:tblPrEx>
        <w:trPr>
          <w:trHeight w:val="494" w:hRule="atLeast"/>
        </w:trPr>
        <w:tc>
          <w:tcPr>
            <w:tcW w:w="7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92F26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年度绩效指标完成情况</w:t>
            </w:r>
          </w:p>
        </w:tc>
        <w:tc>
          <w:tcPr>
            <w:tcW w:w="9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4BA0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产出指标</w:t>
            </w:r>
          </w:p>
        </w:tc>
        <w:tc>
          <w:tcPr>
            <w:tcW w:w="12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9453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数量指标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112F72C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和田玉文化宣传次数（次）</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41639AE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≥2次</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4089950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=2次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0D1E9B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6</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CF6916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6</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4C7B4F9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061F8AB9">
        <w:tblPrEx>
          <w:tblCellMar>
            <w:top w:w="0" w:type="dxa"/>
            <w:left w:w="108" w:type="dxa"/>
            <w:bottom w:w="0" w:type="dxa"/>
            <w:right w:w="108" w:type="dxa"/>
          </w:tblCellMar>
        </w:tblPrEx>
        <w:trPr>
          <w:trHeight w:val="404" w:hRule="atLeast"/>
        </w:trPr>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20A80">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6DB76B68">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215" w:type="dxa"/>
            <w:vMerge w:val="continue"/>
            <w:tcBorders>
              <w:top w:val="single" w:color="auto" w:sz="10" w:space="0"/>
              <w:left w:val="single" w:color="auto" w:sz="10" w:space="0"/>
              <w:bottom w:val="single" w:color="auto" w:sz="10" w:space="0"/>
              <w:right w:val="single" w:color="auto" w:sz="10" w:space="0"/>
              <w:insideV w:val="single" w:sz="10" w:space="0"/>
            </w:tcBorders>
          </w:tcPr>
          <w:p w14:paraId="25C2CBFD">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393A1F9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和田玉文化宣传栏（个）</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6C95A2B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≥8个</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52A937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=8个</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600BF1B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6</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32F9F876">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6</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5BD7340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7C154C2A">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4E5070B9">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3800FDA6">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215" w:type="dxa"/>
            <w:vMerge w:val="continue"/>
            <w:tcBorders>
              <w:top w:val="single" w:color="auto" w:sz="10" w:space="0"/>
              <w:left w:val="single" w:color="auto" w:sz="10" w:space="0"/>
              <w:bottom w:val="single" w:color="auto" w:sz="10" w:space="0"/>
              <w:right w:val="single" w:color="auto" w:sz="10" w:space="0"/>
              <w:insideV w:val="single" w:sz="10" w:space="0"/>
            </w:tcBorders>
          </w:tcPr>
          <w:p w14:paraId="107532C4">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70EEADF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和田玉文化宣传单、册（份）</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0E8396E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≥10000份</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6D928B4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=10000份</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07DDA3E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3E39242B">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31CEF53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78D84488">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3FA9D4BD">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5BD89EF9">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215" w:type="dxa"/>
            <w:vMerge w:val="continue"/>
            <w:tcBorders>
              <w:top w:val="single" w:color="auto" w:sz="10" w:space="0"/>
              <w:left w:val="single" w:color="auto" w:sz="10" w:space="0"/>
              <w:bottom w:val="single" w:color="auto" w:sz="10" w:space="0"/>
              <w:right w:val="single" w:color="auto" w:sz="10" w:space="0"/>
              <w:insideV w:val="single" w:sz="10" w:space="0"/>
            </w:tcBorders>
          </w:tcPr>
          <w:p w14:paraId="58D6F4CF">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29BB2EF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和田玉文化交流学习（次）</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2400C79C">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≥1次</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6F98004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=1次</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18F19D9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18B928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6D94C25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1B712D7D">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1DBC512E">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11914CA8">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0FBD1C5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质量指标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1E786EF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文化宣传质量验收合格率（%）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27B7F62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1F4CBE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903B01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1FBD93B">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1FE52E5C">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6367F74B">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5BB3E4A0">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5A952D4F">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24D4528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时效指标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3F5B0B1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资金拨付及时率（%）</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05561F1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D52BAA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8012482">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030746A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7</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19BF33D7">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6F96C3CA">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15BBE18F">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0B707DD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成本指标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4EEDC81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经济成本指标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3CCED5F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和田玉文化保护发展活动经费</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1B1550EF">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&lt;5万元</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1D1DC75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=5万元</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F93F77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20</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1B67697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20</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5BCE845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206CFC24">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7B1248ED">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FEEAFD">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效益指标</w:t>
            </w:r>
          </w:p>
        </w:tc>
        <w:tc>
          <w:tcPr>
            <w:tcW w:w="12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C880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社会效益指标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4E8FB7E1">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提高和田玉知名度</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6C0496A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有效提高</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11C0047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基本达成目标</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2C456B54">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1CB3ABA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4D40D7A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1805CA03">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568D4148">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510B2C5A">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215" w:type="dxa"/>
            <w:vMerge w:val="continue"/>
            <w:tcBorders>
              <w:top w:val="single" w:color="auto" w:sz="10" w:space="0"/>
              <w:left w:val="single" w:color="auto" w:sz="10" w:space="0"/>
              <w:bottom w:val="single" w:color="auto" w:sz="10" w:space="0"/>
              <w:right w:val="single" w:color="auto" w:sz="10" w:space="0"/>
              <w:insideV w:val="single" w:sz="10" w:space="0"/>
            </w:tcBorders>
          </w:tcPr>
          <w:p w14:paraId="0128908A">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4706385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促进和田玉行业健康发展</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22E6EC92">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有效促进</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460334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基本达成目标</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7E50E491">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C82B6D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5DA1C15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07953652">
        <w:tblPrEx>
          <w:tblCellMar>
            <w:top w:w="0" w:type="dxa"/>
            <w:left w:w="108" w:type="dxa"/>
            <w:bottom w:w="0" w:type="dxa"/>
            <w:right w:w="108" w:type="dxa"/>
          </w:tblCellMar>
        </w:tblPrEx>
        <w:tc>
          <w:tcPr>
            <w:tcW w:w="705" w:type="dxa"/>
            <w:vMerge w:val="continue"/>
            <w:tcBorders>
              <w:top w:val="single" w:color="auto" w:sz="10" w:space="0"/>
              <w:left w:val="single" w:color="auto" w:sz="10" w:space="0"/>
              <w:bottom w:val="single" w:color="auto" w:sz="10" w:space="0"/>
              <w:right w:val="single" w:color="auto" w:sz="10" w:space="0"/>
              <w:insideV w:val="single" w:sz="10" w:space="0"/>
            </w:tcBorders>
          </w:tcPr>
          <w:p w14:paraId="3B89CF1F">
            <w:pPr>
              <w:keepNext w:val="0"/>
              <w:keepLines w:val="0"/>
              <w:pageBreakBefore w:val="0"/>
              <w:widowControl w:val="0"/>
              <w:kinsoku/>
              <w:wordWrap/>
              <w:overflowPunct/>
              <w:topLinePunct w:val="0"/>
              <w:autoSpaceDE/>
              <w:autoSpaceDN/>
              <w:bidi w:val="0"/>
              <w:adjustRightInd/>
              <w:snapToGrid/>
              <w:spacing w:line="280" w:lineRule="exact"/>
              <w:textAlignment w:val="auto"/>
            </w:pP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509A0FF0">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满意度指标</w:t>
            </w:r>
          </w:p>
        </w:tc>
        <w:tc>
          <w:tcPr>
            <w:tcW w:w="1215" w:type="dxa"/>
            <w:tcBorders>
              <w:top w:val="single" w:color="auto" w:sz="10" w:space="0"/>
              <w:left w:val="single" w:color="auto" w:sz="10" w:space="0"/>
              <w:bottom w:val="single" w:color="auto" w:sz="10" w:space="0"/>
              <w:right w:val="single" w:color="auto" w:sz="10" w:space="0"/>
              <w:insideV w:val="single" w:sz="10" w:space="0"/>
            </w:tcBorders>
            <w:vAlign w:val="center"/>
          </w:tcPr>
          <w:p w14:paraId="15A4A7D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满意度指标</w:t>
            </w:r>
          </w:p>
        </w:tc>
        <w:tc>
          <w:tcPr>
            <w:tcW w:w="1650" w:type="dxa"/>
            <w:tcBorders>
              <w:top w:val="single" w:color="auto" w:sz="10" w:space="0"/>
              <w:left w:val="single" w:color="auto" w:sz="10" w:space="0"/>
              <w:bottom w:val="single" w:color="auto" w:sz="10" w:space="0"/>
              <w:right w:val="single" w:color="auto" w:sz="10" w:space="0"/>
              <w:insideV w:val="single" w:sz="10" w:space="0"/>
            </w:tcBorders>
            <w:vAlign w:val="center"/>
          </w:tcPr>
          <w:p w14:paraId="604C22E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服务群众满意度（%）</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17EA209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≥98%</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78D6CB8E">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=99.6%</w:t>
            </w:r>
          </w:p>
        </w:tc>
        <w:tc>
          <w:tcPr>
            <w:tcW w:w="810" w:type="dxa"/>
            <w:tcBorders>
              <w:top w:val="single" w:color="auto" w:sz="10" w:space="0"/>
              <w:left w:val="single" w:color="auto" w:sz="10" w:space="0"/>
              <w:bottom w:val="single" w:color="auto" w:sz="10" w:space="0"/>
              <w:right w:val="single" w:color="auto" w:sz="10" w:space="0"/>
              <w:insideV w:val="single" w:sz="10" w:space="0"/>
            </w:tcBorders>
            <w:vAlign w:val="center"/>
          </w:tcPr>
          <w:p w14:paraId="45022863">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20CE29A9">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w:t>
            </w:r>
          </w:p>
        </w:tc>
        <w:tc>
          <w:tcPr>
            <w:tcW w:w="837" w:type="dxa"/>
            <w:tcBorders>
              <w:top w:val="single" w:color="auto" w:sz="10" w:space="0"/>
              <w:left w:val="single" w:color="auto" w:sz="10" w:space="0"/>
              <w:bottom w:val="single" w:color="auto" w:sz="10" w:space="0"/>
              <w:right w:val="single" w:color="auto" w:sz="10" w:space="0"/>
              <w:insideV w:val="single" w:sz="10" w:space="0"/>
            </w:tcBorders>
            <w:vAlign w:val="center"/>
          </w:tcPr>
          <w:p w14:paraId="39DED24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p>
        </w:tc>
      </w:tr>
      <w:tr w14:paraId="7A5477CF">
        <w:tblPrEx>
          <w:tblCellMar>
            <w:top w:w="0" w:type="dxa"/>
            <w:left w:w="108" w:type="dxa"/>
            <w:bottom w:w="0" w:type="dxa"/>
            <w:right w:w="108" w:type="dxa"/>
          </w:tblCellMar>
        </w:tblPrEx>
        <w:tc>
          <w:tcPr>
            <w:tcW w:w="705" w:type="dxa"/>
            <w:tcBorders>
              <w:top w:val="single" w:color="auto" w:sz="10" w:space="0"/>
              <w:left w:val="single" w:color="auto" w:sz="10" w:space="0"/>
              <w:bottom w:val="single" w:color="auto" w:sz="10" w:space="0"/>
              <w:right w:val="single" w:color="auto" w:sz="10" w:space="0"/>
              <w:insideV w:val="single" w:sz="10" w:space="0"/>
            </w:tcBorders>
            <w:vAlign w:val="center"/>
          </w:tcPr>
          <w:p w14:paraId="300360E8">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总分</w:t>
            </w:r>
          </w:p>
        </w:tc>
        <w:tc>
          <w:tcPr>
            <w:tcW w:w="376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6264F5">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w:t>
            </w:r>
          </w:p>
        </w:tc>
        <w:tc>
          <w:tcPr>
            <w:tcW w:w="975" w:type="dxa"/>
            <w:tcBorders>
              <w:top w:val="single" w:color="auto" w:sz="10" w:space="0"/>
              <w:left w:val="single" w:color="auto" w:sz="10" w:space="0"/>
              <w:bottom w:val="single" w:color="auto" w:sz="10" w:space="0"/>
              <w:right w:val="single" w:color="auto" w:sz="10" w:space="0"/>
              <w:insideV w:val="single" w:sz="10" w:space="0"/>
            </w:tcBorders>
            <w:vAlign w:val="center"/>
          </w:tcPr>
          <w:p w14:paraId="08C1ACBA">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得分</w:t>
            </w:r>
          </w:p>
        </w:tc>
        <w:tc>
          <w:tcPr>
            <w:tcW w:w="34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2F0052">
            <w:pPr>
              <w:keepNext w:val="0"/>
              <w:keepLines w:val="0"/>
              <w:pageBreakBefore w:val="0"/>
              <w:widowControl w:val="0"/>
              <w:kinsoku/>
              <w:wordWrap/>
              <w:overflowPunct/>
              <w:topLinePunct w:val="0"/>
              <w:autoSpaceDE/>
              <w:autoSpaceDN/>
              <w:bidi w:val="0"/>
              <w:adjustRightInd/>
              <w:snapToGrid/>
              <w:spacing w:line="280" w:lineRule="exact"/>
              <w:jc w:val="center"/>
              <w:textAlignment w:val="auto"/>
            </w:pPr>
            <w:r>
              <w:rPr>
                <w:rFonts w:ascii="宋体" w:hAnsi="宋体" w:eastAsia="宋体"/>
                <w:sz w:val="16"/>
              </w:rPr>
              <w:t>100分</w:t>
            </w:r>
          </w:p>
        </w:tc>
      </w:tr>
    </w:tbl>
    <w:p w14:paraId="5EE8A28B">
      <w:pPr>
        <w:keepNext w:val="0"/>
        <w:keepLines w:val="0"/>
        <w:pageBreakBefore w:val="0"/>
        <w:widowControl w:val="0"/>
        <w:kinsoku/>
        <w:wordWrap/>
        <w:overflowPunct/>
        <w:topLinePunct w:val="0"/>
        <w:autoSpaceDE/>
        <w:autoSpaceDN/>
        <w:bidi w:val="0"/>
        <w:adjustRightInd/>
        <w:snapToGrid/>
        <w:spacing w:line="280" w:lineRule="exact"/>
        <w:textAlignment w:val="auto"/>
      </w:pPr>
      <w:r>
        <w:br w:type="page"/>
      </w:r>
    </w:p>
    <w:p w14:paraId="267B3506">
      <w:pPr>
        <w:spacing w:line="640" w:lineRule="exact"/>
        <w:ind w:firstLine="640"/>
        <w:jc w:val="both"/>
        <w:outlineLvl w:val="2"/>
      </w:pPr>
      <w:r>
        <w:rPr>
          <w:rFonts w:ascii="黑体" w:hAnsi="黑体" w:eastAsia="黑体"/>
          <w:sz w:val="32"/>
        </w:rPr>
        <w:t>十二、其他需说明的事项</w:t>
      </w:r>
    </w:p>
    <w:p w14:paraId="4841DC3D">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3233CA9">
      <w:pPr>
        <w:jc w:val="center"/>
      </w:pPr>
      <w:r>
        <w:rPr>
          <w:rFonts w:ascii="黑体" w:hAnsi="黑体" w:eastAsia="黑体"/>
          <w:sz w:val="32"/>
        </w:rPr>
        <w:t>第三部分 专业名词解释</w:t>
      </w:r>
    </w:p>
    <w:p w14:paraId="5016020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925B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B013E0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2D308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84460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D1600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454E9E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16AF3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6A86A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59C26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E149D0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3E741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7AB370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D72F2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5F76EE">
      <w:pPr>
        <w:jc w:val="center"/>
      </w:pPr>
      <w:r>
        <w:rPr>
          <w:rFonts w:ascii="黑体" w:hAnsi="黑体" w:eastAsia="黑体"/>
          <w:sz w:val="32"/>
        </w:rPr>
        <w:t>第四部分 部门决算报表（见附表）</w:t>
      </w:r>
    </w:p>
    <w:p w14:paraId="53906324">
      <w:pPr>
        <w:spacing w:line="240" w:lineRule="auto"/>
        <w:ind w:firstLine="640"/>
        <w:jc w:val="both"/>
      </w:pPr>
      <w:r>
        <w:rPr>
          <w:rFonts w:ascii="仿宋_GB2312" w:hAnsi="仿宋_GB2312" w:eastAsia="仿宋_GB2312"/>
          <w:b w:val="0"/>
          <w:sz w:val="32"/>
        </w:rPr>
        <w:t>一、《收入支出决算总表》</w:t>
      </w:r>
    </w:p>
    <w:p w14:paraId="0F45E33A">
      <w:pPr>
        <w:spacing w:line="240" w:lineRule="auto"/>
        <w:ind w:firstLine="640"/>
        <w:jc w:val="both"/>
      </w:pPr>
      <w:r>
        <w:rPr>
          <w:rFonts w:ascii="仿宋_GB2312" w:hAnsi="仿宋_GB2312" w:eastAsia="仿宋_GB2312"/>
          <w:b w:val="0"/>
          <w:sz w:val="32"/>
        </w:rPr>
        <w:t>二、《收入决算表》</w:t>
      </w:r>
    </w:p>
    <w:p w14:paraId="2C21AB68">
      <w:pPr>
        <w:spacing w:line="240" w:lineRule="auto"/>
        <w:ind w:firstLine="640"/>
        <w:jc w:val="both"/>
      </w:pPr>
      <w:r>
        <w:rPr>
          <w:rFonts w:ascii="仿宋_GB2312" w:hAnsi="仿宋_GB2312" w:eastAsia="仿宋_GB2312"/>
          <w:b w:val="0"/>
          <w:sz w:val="32"/>
        </w:rPr>
        <w:t>三、《支出决算表》</w:t>
      </w:r>
    </w:p>
    <w:p w14:paraId="18FAD2BE">
      <w:pPr>
        <w:spacing w:line="240" w:lineRule="auto"/>
        <w:ind w:firstLine="640"/>
        <w:jc w:val="both"/>
      </w:pPr>
      <w:r>
        <w:rPr>
          <w:rFonts w:ascii="仿宋_GB2312" w:hAnsi="仿宋_GB2312" w:eastAsia="仿宋_GB2312"/>
          <w:b w:val="0"/>
          <w:sz w:val="32"/>
        </w:rPr>
        <w:t>四、《财政拨款收入支出决算总表》</w:t>
      </w:r>
    </w:p>
    <w:p w14:paraId="3253552C">
      <w:pPr>
        <w:spacing w:line="240" w:lineRule="auto"/>
        <w:ind w:firstLine="640"/>
        <w:jc w:val="both"/>
      </w:pPr>
      <w:r>
        <w:rPr>
          <w:rFonts w:ascii="仿宋_GB2312" w:hAnsi="仿宋_GB2312" w:eastAsia="仿宋_GB2312"/>
          <w:b w:val="0"/>
          <w:sz w:val="32"/>
        </w:rPr>
        <w:t>五、《一般公共预算财政拨款支出决算表》</w:t>
      </w:r>
    </w:p>
    <w:p w14:paraId="1CCC8D7C">
      <w:pPr>
        <w:spacing w:line="240" w:lineRule="auto"/>
        <w:ind w:firstLine="640"/>
        <w:jc w:val="both"/>
      </w:pPr>
      <w:r>
        <w:rPr>
          <w:rFonts w:ascii="仿宋_GB2312" w:hAnsi="仿宋_GB2312" w:eastAsia="仿宋_GB2312"/>
          <w:b w:val="0"/>
          <w:sz w:val="32"/>
        </w:rPr>
        <w:t>六、《一般公共预算财政拨款基本支出决算表》</w:t>
      </w:r>
    </w:p>
    <w:p w14:paraId="097C5366">
      <w:pPr>
        <w:spacing w:line="240" w:lineRule="auto"/>
        <w:ind w:firstLine="640"/>
        <w:jc w:val="both"/>
      </w:pPr>
      <w:r>
        <w:rPr>
          <w:rFonts w:ascii="仿宋_GB2312" w:hAnsi="仿宋_GB2312" w:eastAsia="仿宋_GB2312"/>
          <w:b w:val="0"/>
          <w:sz w:val="32"/>
        </w:rPr>
        <w:t>七、《政府性基金预算财政拨款收入支出决算表》</w:t>
      </w:r>
    </w:p>
    <w:p w14:paraId="4441D60B">
      <w:pPr>
        <w:spacing w:line="240" w:lineRule="auto"/>
        <w:ind w:firstLine="640"/>
        <w:jc w:val="both"/>
      </w:pPr>
      <w:r>
        <w:rPr>
          <w:rFonts w:ascii="仿宋_GB2312" w:hAnsi="仿宋_GB2312" w:eastAsia="仿宋_GB2312"/>
          <w:b w:val="0"/>
          <w:sz w:val="32"/>
        </w:rPr>
        <w:t>八、《国有资本经营预算财政拨款收入支出决算表》</w:t>
      </w:r>
    </w:p>
    <w:p w14:paraId="44F28872">
      <w:pPr>
        <w:spacing w:line="240" w:lineRule="auto"/>
        <w:ind w:firstLine="640"/>
        <w:jc w:val="both"/>
      </w:pPr>
      <w:r>
        <w:rPr>
          <w:rFonts w:ascii="仿宋_GB2312" w:hAnsi="仿宋_GB2312" w:eastAsia="仿宋_GB2312"/>
          <w:b w:val="0"/>
          <w:sz w:val="32"/>
        </w:rPr>
        <w:t>九、《财政拨款“三公”经费支出决算表》</w:t>
      </w:r>
    </w:p>
    <w:p w14:paraId="1E947685">
      <w:pPr>
        <w:spacing w:line="240" w:lineRule="auto"/>
        <w:ind w:firstLine="640"/>
        <w:jc w:val="both"/>
      </w:pPr>
    </w:p>
    <w:p w14:paraId="2A410D3D">
      <w:pPr>
        <w:spacing w:line="240" w:lineRule="auto"/>
        <w:ind w:firstLine="640"/>
        <w:jc w:val="both"/>
      </w:pPr>
    </w:p>
    <w:p w14:paraId="2586ED87">
      <w:pPr>
        <w:spacing w:line="240" w:lineRule="auto"/>
        <w:ind w:firstLine="640"/>
        <w:jc w:val="both"/>
      </w:pPr>
    </w:p>
    <w:p w14:paraId="5E13D94E">
      <w:pPr>
        <w:spacing w:line="240" w:lineRule="auto"/>
        <w:ind w:firstLine="640"/>
        <w:jc w:val="both"/>
      </w:pPr>
    </w:p>
    <w:p w14:paraId="2DE118C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A42976"/>
    <w:rsid w:val="2C1965E9"/>
    <w:rsid w:val="2D1136DF"/>
    <w:rsid w:val="2D9023A4"/>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8F0E1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4735</Words>
  <Characters>5470</Characters>
  <Lines>0</Lines>
  <Paragraphs>0</Paragraphs>
  <TotalTime>1</TotalTime>
  <ScaleCrop>false</ScaleCrop>
  <LinksUpToDate>false</LinksUpToDate>
  <CharactersWithSpaces>5478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2025-09-09T11:37:18Z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