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6CD94B">
      <w:pPr>
        <w:keepNext w:val="0"/>
        <w:keepLines w:val="0"/>
        <w:pageBreakBefore w:val="0"/>
        <w:widowControl w:val="0"/>
        <w:kinsoku/>
        <w:wordWrap/>
        <w:overflowPunct/>
        <w:topLinePunct w:val="0"/>
        <w:autoSpaceDE/>
        <w:autoSpaceDN/>
        <w:bidi w:val="0"/>
        <w:adjustRightInd/>
        <w:snapToGrid/>
        <w:spacing w:line="540" w:lineRule="exact"/>
        <w:textAlignment w:val="auto"/>
      </w:pPr>
    </w:p>
    <w:p w14:paraId="4C1842D4">
      <w:pPr>
        <w:keepNext w:val="0"/>
        <w:keepLines w:val="0"/>
        <w:pageBreakBefore w:val="0"/>
        <w:widowControl w:val="0"/>
        <w:kinsoku/>
        <w:wordWrap/>
        <w:overflowPunct/>
        <w:topLinePunct w:val="0"/>
        <w:autoSpaceDE/>
        <w:autoSpaceDN/>
        <w:bidi w:val="0"/>
        <w:adjustRightInd/>
        <w:snapToGrid/>
        <w:spacing w:line="540" w:lineRule="exact"/>
        <w:jc w:val="left"/>
        <w:textAlignment w:val="auto"/>
        <w:rPr>
          <w:rFonts w:ascii="仿宋" w:hAnsi="仿宋" w:eastAsia="仿宋" w:cs="宋体"/>
          <w:kern w:val="0"/>
          <w:sz w:val="32"/>
          <w:szCs w:val="32"/>
        </w:rPr>
      </w:pPr>
      <w:r>
        <w:rPr>
          <w:rFonts w:hint="eastAsia" w:ascii="仿宋" w:hAnsi="仿宋" w:eastAsia="仿宋" w:cs="宋体"/>
          <w:kern w:val="0"/>
          <w:sz w:val="32"/>
          <w:szCs w:val="32"/>
        </w:rPr>
        <w:t>附件2：</w:t>
      </w:r>
    </w:p>
    <w:p w14:paraId="2252F2A8">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ascii="华文中宋" w:hAnsi="华文中宋" w:eastAsia="华文中宋" w:cs="宋体"/>
          <w:b/>
          <w:kern w:val="0"/>
          <w:sz w:val="52"/>
          <w:szCs w:val="52"/>
        </w:rPr>
      </w:pPr>
    </w:p>
    <w:p w14:paraId="58C4978C">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ascii="华文中宋" w:hAnsi="华文中宋" w:eastAsia="华文中宋" w:cs="宋体"/>
          <w:b/>
          <w:kern w:val="0"/>
          <w:sz w:val="52"/>
          <w:szCs w:val="52"/>
        </w:rPr>
      </w:pPr>
    </w:p>
    <w:p w14:paraId="2D6041D6">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ascii="华文中宋" w:hAnsi="华文中宋" w:eastAsia="华文中宋" w:cs="宋体"/>
          <w:b/>
          <w:kern w:val="0"/>
          <w:sz w:val="52"/>
          <w:szCs w:val="52"/>
        </w:rPr>
      </w:pPr>
    </w:p>
    <w:p w14:paraId="5EAE1254">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ascii="华文中宋" w:hAnsi="华文中宋" w:eastAsia="华文中宋" w:cs="宋体"/>
          <w:b/>
          <w:kern w:val="0"/>
          <w:sz w:val="52"/>
          <w:szCs w:val="52"/>
        </w:rPr>
      </w:pPr>
    </w:p>
    <w:p w14:paraId="1EC71606">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ascii="华文中宋" w:hAnsi="华文中宋" w:eastAsia="华文中宋" w:cs="宋体"/>
          <w:b/>
          <w:kern w:val="0"/>
          <w:sz w:val="52"/>
          <w:szCs w:val="52"/>
        </w:rPr>
      </w:pPr>
    </w:p>
    <w:p w14:paraId="1C0A2F71">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ascii="华文中宋" w:hAnsi="华文中宋" w:eastAsia="华文中宋" w:cs="宋体"/>
          <w:b/>
          <w:kern w:val="0"/>
          <w:sz w:val="52"/>
          <w:szCs w:val="52"/>
        </w:rPr>
      </w:pPr>
    </w:p>
    <w:p w14:paraId="19C54BBA">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7DD0D22F">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ascii="华文中宋" w:hAnsi="华文中宋" w:eastAsia="华文中宋" w:cs="宋体"/>
          <w:b/>
          <w:kern w:val="0"/>
          <w:sz w:val="52"/>
          <w:szCs w:val="52"/>
        </w:rPr>
      </w:pPr>
    </w:p>
    <w:p w14:paraId="748C9B57">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Ansi="宋体" w:eastAsia="仿宋_GB2312" w:cs="宋体"/>
          <w:kern w:val="0"/>
          <w:sz w:val="36"/>
          <w:szCs w:val="36"/>
        </w:rPr>
      </w:pPr>
      <w:r>
        <w:rPr>
          <w:rFonts w:hint="eastAsia" w:hAnsi="宋体" w:eastAsia="仿宋_GB2312" w:cs="宋体"/>
          <w:kern w:val="0"/>
          <w:sz w:val="36"/>
          <w:szCs w:val="36"/>
        </w:rPr>
        <w:t>（</w:t>
      </w:r>
      <w:r>
        <w:rPr>
          <w:rStyle w:val="19"/>
          <w:rFonts w:hint="eastAsia" w:ascii="楷体" w:hAnsi="楷体" w:eastAsia="楷体"/>
          <w:spacing w:val="-4"/>
          <w:sz w:val="32"/>
          <w:szCs w:val="32"/>
        </w:rPr>
        <w:t>2024</w:t>
      </w:r>
      <w:r>
        <w:rPr>
          <w:rFonts w:hint="eastAsia" w:hAnsi="宋体" w:eastAsia="仿宋_GB2312" w:cs="宋体"/>
          <w:kern w:val="0"/>
          <w:sz w:val="36"/>
          <w:szCs w:val="36"/>
        </w:rPr>
        <w:t>年度）</w:t>
      </w:r>
    </w:p>
    <w:p w14:paraId="4B688DF3">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Ansi="宋体" w:eastAsia="仿宋_GB2312" w:cs="宋体"/>
          <w:kern w:val="0"/>
          <w:sz w:val="30"/>
          <w:szCs w:val="30"/>
        </w:rPr>
      </w:pPr>
    </w:p>
    <w:p w14:paraId="71334446">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Ansi="宋体" w:eastAsia="仿宋_GB2312" w:cs="宋体"/>
          <w:kern w:val="0"/>
          <w:sz w:val="30"/>
          <w:szCs w:val="30"/>
        </w:rPr>
      </w:pPr>
    </w:p>
    <w:p w14:paraId="6698E81D">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Ansi="宋体" w:eastAsia="仿宋_GB2312" w:cs="宋体"/>
          <w:kern w:val="0"/>
          <w:sz w:val="30"/>
          <w:szCs w:val="30"/>
        </w:rPr>
      </w:pPr>
    </w:p>
    <w:p w14:paraId="2D42E78A">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Ansi="宋体" w:eastAsia="仿宋_GB2312" w:cs="宋体"/>
          <w:kern w:val="0"/>
          <w:sz w:val="30"/>
          <w:szCs w:val="30"/>
        </w:rPr>
      </w:pPr>
    </w:p>
    <w:p w14:paraId="152DB2E3">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Ansi="宋体" w:eastAsia="仿宋_GB2312" w:cs="宋体"/>
          <w:kern w:val="0"/>
          <w:sz w:val="30"/>
          <w:szCs w:val="30"/>
        </w:rPr>
      </w:pPr>
    </w:p>
    <w:p w14:paraId="627AA9F7">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Ansi="宋体" w:eastAsia="仿宋_GB2312" w:cs="宋体"/>
          <w:kern w:val="0"/>
          <w:sz w:val="30"/>
          <w:szCs w:val="30"/>
        </w:rPr>
      </w:pPr>
    </w:p>
    <w:p w14:paraId="02F3C7B4">
      <w:pPr>
        <w:keepNext w:val="0"/>
        <w:keepLines w:val="0"/>
        <w:pageBreakBefore w:val="0"/>
        <w:widowControl w:val="0"/>
        <w:kinsoku/>
        <w:wordWrap/>
        <w:overflowPunct/>
        <w:topLinePunct w:val="0"/>
        <w:autoSpaceDE/>
        <w:autoSpaceDN/>
        <w:bidi w:val="0"/>
        <w:adjustRightInd/>
        <w:snapToGrid/>
        <w:spacing w:line="540" w:lineRule="exact"/>
        <w:textAlignment w:val="auto"/>
        <w:rPr>
          <w:rFonts w:hAnsi="宋体" w:eastAsia="仿宋_GB2312" w:cs="宋体"/>
          <w:kern w:val="0"/>
          <w:sz w:val="30"/>
          <w:szCs w:val="30"/>
        </w:rPr>
      </w:pPr>
    </w:p>
    <w:p w14:paraId="13D4F03D">
      <w:pPr>
        <w:keepNext w:val="0"/>
        <w:keepLines w:val="0"/>
        <w:pageBreakBefore w:val="0"/>
        <w:widowControl w:val="0"/>
        <w:kinsoku/>
        <w:wordWrap/>
        <w:overflowPunct/>
        <w:topLinePunct w:val="0"/>
        <w:autoSpaceDE/>
        <w:autoSpaceDN/>
        <w:bidi w:val="0"/>
        <w:adjustRightInd/>
        <w:snapToGrid/>
        <w:spacing w:line="540" w:lineRule="exact"/>
        <w:ind w:firstLine="643" w:firstLineChars="200"/>
        <w:jc w:val="left"/>
        <w:textAlignment w:val="auto"/>
        <w:rPr>
          <w:rStyle w:val="19"/>
          <w:rFonts w:hint="eastAsia" w:ascii="方正小标宋简体" w:hAnsi="方正小标宋简体" w:eastAsia="方正小标宋简体" w:cs="方正小标宋简体"/>
          <w:b w:val="0"/>
          <w:bCs w:val="0"/>
          <w:spacing w:val="-4"/>
          <w:sz w:val="32"/>
          <w:szCs w:val="32"/>
        </w:rPr>
      </w:pPr>
      <w:r>
        <w:rPr>
          <w:rFonts w:hint="eastAsia" w:ascii="方正小标宋简体" w:hAnsi="方正小标宋简体" w:eastAsia="方正小标宋简体" w:cs="方正小标宋简体"/>
          <w:b/>
          <w:bCs/>
          <w:kern w:val="0"/>
          <w:sz w:val="32"/>
          <w:szCs w:val="32"/>
        </w:rPr>
        <w:t>项目名称：</w:t>
      </w:r>
      <w:r>
        <w:rPr>
          <w:rStyle w:val="19"/>
          <w:rFonts w:hint="eastAsia" w:ascii="方正小标宋简体" w:hAnsi="方正小标宋简体" w:eastAsia="方正小标宋简体" w:cs="方正小标宋简体"/>
          <w:b w:val="0"/>
          <w:bCs w:val="0"/>
          <w:spacing w:val="-4"/>
          <w:sz w:val="32"/>
          <w:szCs w:val="32"/>
        </w:rPr>
        <w:t>全国工艺品雕刻工职业技能竞赛（新疆赛区）选拔赛活动经费</w:t>
      </w:r>
    </w:p>
    <w:p w14:paraId="2EEECA1A">
      <w:pPr>
        <w:keepNext w:val="0"/>
        <w:keepLines w:val="0"/>
        <w:pageBreakBefore w:val="0"/>
        <w:widowControl w:val="0"/>
        <w:kinsoku/>
        <w:wordWrap/>
        <w:overflowPunct/>
        <w:topLinePunct w:val="0"/>
        <w:autoSpaceDE/>
        <w:autoSpaceDN/>
        <w:bidi w:val="0"/>
        <w:adjustRightInd/>
        <w:snapToGrid/>
        <w:spacing w:line="540" w:lineRule="exact"/>
        <w:ind w:firstLine="643" w:firstLineChars="200"/>
        <w:jc w:val="left"/>
        <w:textAlignment w:val="auto"/>
        <w:rPr>
          <w:rFonts w:hint="eastAsia" w:ascii="方正小标宋简体" w:hAnsi="方正小标宋简体" w:eastAsia="方正小标宋简体" w:cs="方正小标宋简体"/>
          <w:b w:val="0"/>
          <w:bCs w:val="0"/>
          <w:spacing w:val="-4"/>
          <w:sz w:val="32"/>
          <w:szCs w:val="32"/>
        </w:rPr>
      </w:pPr>
      <w:r>
        <w:rPr>
          <w:rFonts w:hint="eastAsia" w:ascii="方正小标宋简体" w:hAnsi="方正小标宋简体" w:eastAsia="方正小标宋简体" w:cs="方正小标宋简体"/>
          <w:b/>
          <w:bCs/>
          <w:kern w:val="0"/>
          <w:sz w:val="32"/>
          <w:szCs w:val="32"/>
        </w:rPr>
        <w:t>实施单位（公章）：</w:t>
      </w:r>
      <w:r>
        <w:rPr>
          <w:rStyle w:val="19"/>
          <w:rFonts w:hint="eastAsia" w:ascii="方正小标宋简体" w:hAnsi="方正小标宋简体" w:eastAsia="方正小标宋简体" w:cs="方正小标宋简体"/>
          <w:b w:val="0"/>
          <w:bCs w:val="0"/>
          <w:spacing w:val="-4"/>
          <w:sz w:val="32"/>
          <w:szCs w:val="32"/>
        </w:rPr>
        <w:t>和田玉保护发展中心</w:t>
      </w:r>
    </w:p>
    <w:p w14:paraId="443CC1AB">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方正小标宋简体" w:hAnsi="方正小标宋简体" w:eastAsia="方正小标宋简体" w:cs="方正小标宋简体"/>
          <w:b w:val="0"/>
          <w:bCs w:val="0"/>
          <w:spacing w:val="-4"/>
          <w:sz w:val="32"/>
          <w:szCs w:val="32"/>
        </w:rPr>
      </w:pPr>
      <w:r>
        <w:rPr>
          <w:rFonts w:hint="eastAsia" w:ascii="方正小标宋简体" w:hAnsi="方正小标宋简体" w:eastAsia="方正小标宋简体" w:cs="方正小标宋简体"/>
          <w:b/>
          <w:bCs/>
          <w:kern w:val="0"/>
          <w:sz w:val="32"/>
          <w:szCs w:val="32"/>
        </w:rPr>
        <w:t>主管部门（公章）：</w:t>
      </w:r>
      <w:r>
        <w:rPr>
          <w:rStyle w:val="19"/>
          <w:rFonts w:hint="eastAsia" w:ascii="方正小标宋简体" w:hAnsi="方正小标宋简体" w:eastAsia="方正小标宋简体" w:cs="方正小标宋简体"/>
          <w:b w:val="0"/>
          <w:bCs w:val="0"/>
          <w:spacing w:val="-4"/>
          <w:sz w:val="32"/>
          <w:szCs w:val="32"/>
        </w:rPr>
        <w:t>和田玉保护发展中心</w:t>
      </w:r>
    </w:p>
    <w:p w14:paraId="2DE849B0">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方正小标宋简体" w:hAnsi="方正小标宋简体" w:eastAsia="方正小标宋简体" w:cs="方正小标宋简体"/>
          <w:b w:val="0"/>
          <w:bCs w:val="0"/>
          <w:spacing w:val="-4"/>
          <w:sz w:val="32"/>
          <w:szCs w:val="32"/>
        </w:rPr>
      </w:pPr>
      <w:r>
        <w:rPr>
          <w:rFonts w:hint="eastAsia" w:ascii="方正小标宋简体" w:hAnsi="方正小标宋简体" w:eastAsia="方正小标宋简体" w:cs="方正小标宋简体"/>
          <w:b/>
          <w:bCs/>
          <w:kern w:val="0"/>
          <w:sz w:val="32"/>
          <w:szCs w:val="32"/>
        </w:rPr>
        <w:t>项目负责人（签章）：</w:t>
      </w:r>
      <w:r>
        <w:rPr>
          <w:rStyle w:val="19"/>
          <w:rFonts w:hint="eastAsia" w:ascii="方正小标宋简体" w:hAnsi="方正小标宋简体" w:eastAsia="方正小标宋简体" w:cs="方正小标宋简体"/>
          <w:b w:val="0"/>
          <w:bCs w:val="0"/>
          <w:spacing w:val="-4"/>
          <w:sz w:val="32"/>
          <w:szCs w:val="32"/>
        </w:rPr>
        <w:t>史培宏</w:t>
      </w:r>
    </w:p>
    <w:p w14:paraId="24B21A11">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Style w:val="19"/>
          <w:rFonts w:hint="eastAsia" w:ascii="方正小标宋简体" w:hAnsi="方正小标宋简体" w:eastAsia="方正小标宋简体" w:cs="方正小标宋简体"/>
          <w:b w:val="0"/>
          <w:bCs w:val="0"/>
          <w:spacing w:val="-4"/>
          <w:sz w:val="32"/>
          <w:szCs w:val="32"/>
        </w:rPr>
      </w:pPr>
      <w:r>
        <w:rPr>
          <w:rFonts w:hint="eastAsia" w:ascii="方正小标宋简体" w:hAnsi="方正小标宋简体" w:eastAsia="方正小标宋简体" w:cs="方正小标宋简体"/>
          <w:b w:val="0"/>
          <w:bCs w:val="0"/>
          <w:kern w:val="0"/>
          <w:sz w:val="32"/>
          <w:szCs w:val="32"/>
        </w:rPr>
        <w:t>填报时间：</w:t>
      </w:r>
      <w:r>
        <w:rPr>
          <w:rStyle w:val="19"/>
          <w:rFonts w:hint="eastAsia" w:ascii="方正小标宋简体" w:hAnsi="方正小标宋简体" w:eastAsia="方正小标宋简体" w:cs="方正小标宋简体"/>
          <w:b w:val="0"/>
          <w:bCs w:val="0"/>
          <w:spacing w:val="-4"/>
          <w:sz w:val="32"/>
          <w:szCs w:val="32"/>
        </w:rPr>
        <w:t>2025年03月17日</w:t>
      </w:r>
    </w:p>
    <w:p w14:paraId="79B5591C">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9"/>
          <w:rFonts w:hint="eastAsia" w:ascii="黑体" w:hAnsi="黑体" w:eastAsia="黑体" w:cs="黑体"/>
          <w:b w:val="0"/>
          <w:spacing w:val="-4"/>
          <w:sz w:val="32"/>
          <w:szCs w:val="32"/>
        </w:rPr>
      </w:pPr>
    </w:p>
    <w:p w14:paraId="43D09196">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9"/>
          <w:rFonts w:hint="eastAsia" w:ascii="黑体" w:hAnsi="黑体" w:eastAsia="黑体" w:cs="黑体"/>
          <w:b w:val="0"/>
          <w:spacing w:val="-4"/>
          <w:sz w:val="32"/>
          <w:szCs w:val="32"/>
        </w:rPr>
      </w:pPr>
      <w:r>
        <w:rPr>
          <w:rStyle w:val="19"/>
          <w:rFonts w:hint="eastAsia" w:ascii="黑体" w:hAnsi="黑体" w:eastAsia="黑体" w:cs="黑体"/>
          <w:b w:val="0"/>
          <w:spacing w:val="-4"/>
          <w:sz w:val="32"/>
          <w:szCs w:val="32"/>
        </w:rPr>
        <w:t>一、基本情况</w:t>
      </w:r>
    </w:p>
    <w:p w14:paraId="6A139438">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9"/>
          <w:rFonts w:hint="eastAsia" w:ascii="楷体" w:hAnsi="楷体" w:eastAsia="楷体" w:cs="楷体"/>
          <w:b w:val="0"/>
          <w:bCs w:val="0"/>
          <w:spacing w:val="-4"/>
          <w:sz w:val="32"/>
          <w:szCs w:val="32"/>
        </w:rPr>
      </w:pPr>
      <w:r>
        <w:rPr>
          <w:rStyle w:val="19"/>
          <w:rFonts w:hint="eastAsia" w:ascii="楷体" w:hAnsi="楷体" w:eastAsia="楷体" w:cs="楷体"/>
          <w:b w:val="0"/>
          <w:bCs w:val="0"/>
          <w:spacing w:val="-4"/>
          <w:sz w:val="32"/>
          <w:szCs w:val="32"/>
        </w:rPr>
        <w:t>（一）项目概况</w:t>
      </w:r>
    </w:p>
    <w:p w14:paraId="06D299A6">
      <w:pPr>
        <w:keepNext w:val="0"/>
        <w:keepLines w:val="0"/>
        <w:pageBreakBefore w:val="0"/>
        <w:widowControl w:val="0"/>
        <w:kinsoku/>
        <w:wordWrap/>
        <w:overflowPunct/>
        <w:topLinePunct w:val="0"/>
        <w:autoSpaceDE/>
        <w:autoSpaceDN/>
        <w:bidi w:val="0"/>
        <w:adjustRightInd/>
        <w:snapToGrid/>
        <w:spacing w:line="540" w:lineRule="exact"/>
        <w:ind w:left="638" w:leftChars="304" w:firstLine="0" w:firstLineChars="0"/>
        <w:textAlignment w:val="auto"/>
        <w:rPr>
          <w:rStyle w:val="19"/>
          <w:rFonts w:hint="eastAsia" w:ascii="仿宋" w:hAnsi="仿宋" w:eastAsia="仿宋" w:cs="仿宋"/>
          <w:b/>
          <w:bCs/>
          <w:spacing w:val="-4"/>
          <w:sz w:val="32"/>
          <w:szCs w:val="32"/>
        </w:rPr>
      </w:pPr>
      <w:r>
        <w:rPr>
          <w:rStyle w:val="19"/>
          <w:rFonts w:hint="eastAsia" w:ascii="仿宋" w:hAnsi="仿宋" w:eastAsia="仿宋" w:cs="仿宋"/>
          <w:b/>
          <w:bCs/>
          <w:spacing w:val="-4"/>
          <w:sz w:val="32"/>
          <w:szCs w:val="32"/>
        </w:rPr>
        <w:t>1.项目背景</w:t>
      </w:r>
    </w:p>
    <w:p w14:paraId="0599F42A">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为深入学习贯彻习近平总书记关于技能人才工作的重要指示精神，充分发挥职业技能竞赛对技能人才培养的引领示范作用，更好地促进和田玉产业的高质量发展。在中国轻工珠宝首饰中心的大力支持和指导下，在各级领导和相关单位的支持下，2024年全国行业职业技能竞赛-第七届全国珠宝玉石检测制作职业技能竞赛-“陆子冈杯”全国工艺品雕刻工职业技能竞赛（新疆赛区）选拔赛在和田成功举办。大赛的举办，是贯彻党的二十大报告中“加快建设国家战略人才力量，努力培养造就更多大师、大国工匠、高技能人才”部署要求的具体体现，是落实习近平总书记对技能人才工作系列重要指示的重要举措，对搭建人才技能交流平台，促进行业持续健康发展具有非常重要的意义。</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bCs/>
          <w:spacing w:val="-4"/>
          <w:sz w:val="32"/>
          <w:szCs w:val="32"/>
        </w:rPr>
        <w:t>2.主要内容</w:t>
      </w:r>
      <w:r>
        <w:cr/>
      </w:r>
      <w:r>
        <w:rPr>
          <w:rStyle w:val="19"/>
          <w:rFonts w:hint="eastAsia" w:ascii="仿宋" w:hAnsi="仿宋" w:eastAsia="仿宋" w:cs="仿宋"/>
          <w:b/>
          <w:bCs/>
          <w:spacing w:val="-4"/>
          <w:sz w:val="32"/>
          <w:szCs w:val="32"/>
          <w:lang w:val="en-US" w:eastAsia="zh-CN"/>
        </w:rPr>
        <w:t xml:space="preserve">    </w:t>
      </w:r>
      <w:r>
        <w:rPr>
          <w:rStyle w:val="19"/>
          <w:rFonts w:hint="eastAsia" w:ascii="仿宋" w:hAnsi="仿宋" w:eastAsia="仿宋" w:cs="仿宋"/>
          <w:b w:val="0"/>
          <w:bCs w:val="0"/>
          <w:spacing w:val="-4"/>
          <w:sz w:val="32"/>
          <w:szCs w:val="32"/>
        </w:rPr>
        <w:t>2024年全国行业职业技能竞赛-第七届全国珠宝玉石检测制作职业技能竞赛-“陆子冈杯”全国工艺品雕刻工职业技能竞赛（新疆赛区）选拔赛项目资金23.9万元，其中：财政资金23.9万元，其他资金0万元。</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val="0"/>
          <w:bCs w:val="0"/>
          <w:spacing w:val="-4"/>
          <w:sz w:val="32"/>
          <w:szCs w:val="32"/>
        </w:rPr>
        <w:t>用于2024年全国行业职业技能竞赛-第七届全国珠宝玉石检测制作职业技能竞赛-“陆子冈杯”全国工艺品雕刻工职业技能竞赛（新疆赛区）选拔赛项目咨询服务费、宣传、邀请嘉宾、裁判、评审等。全面提升参赛选手的工艺品雕刻技能水平；精准选拔出技艺精湛、富有创新精神的工艺品雕刻人才。</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bCs/>
          <w:spacing w:val="-4"/>
          <w:sz w:val="32"/>
          <w:szCs w:val="32"/>
        </w:rPr>
        <w:t>3.实施情况</w:t>
      </w:r>
      <w:r>
        <w:cr/>
      </w:r>
      <w:r>
        <w:rPr>
          <w:rStyle w:val="19"/>
          <w:rFonts w:hint="eastAsia" w:ascii="仿宋" w:hAnsi="仿宋" w:eastAsia="仿宋" w:cs="仿宋"/>
          <w:b/>
          <w:bCs/>
          <w:spacing w:val="-4"/>
          <w:sz w:val="32"/>
          <w:szCs w:val="32"/>
          <w:lang w:val="en-US" w:eastAsia="zh-CN"/>
        </w:rPr>
        <w:t xml:space="preserve">    </w:t>
      </w:r>
      <w:r>
        <w:rPr>
          <w:rStyle w:val="19"/>
          <w:rFonts w:hint="eastAsia" w:ascii="仿宋" w:hAnsi="仿宋" w:eastAsia="仿宋" w:cs="仿宋"/>
          <w:b w:val="0"/>
          <w:bCs w:val="0"/>
          <w:spacing w:val="-4"/>
          <w:sz w:val="32"/>
          <w:szCs w:val="32"/>
        </w:rPr>
        <w:t>实施主体：和田玉保护发展中心</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val="0"/>
          <w:bCs w:val="0"/>
          <w:spacing w:val="-4"/>
          <w:sz w:val="32"/>
          <w:szCs w:val="32"/>
        </w:rPr>
        <w:t>实施时间：本项目实施期限为2024年1月—2024年12月。</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val="0"/>
          <w:bCs w:val="0"/>
          <w:spacing w:val="-4"/>
          <w:sz w:val="32"/>
          <w:szCs w:val="32"/>
        </w:rPr>
        <w:t>实施情况：本次竞赛为二类职业技能竞赛。在中国轻工珠宝首饰中心的指导和地委、行署及北京援疆和田指挥部的支持下，竞赛于2024年8月开始筹备。组织乌鲁木齐、和田等地33人报名，符合竞赛规则的有30名选手。竞赛场地由地区中等职业技术学校提供，竞赛机器由和田玉石雕刻培训学校（京和玉器厂）进行调试和设备维护，竞赛和田玉料由和田东山公司（和田市玉出东山珠宝有限责任公司）提供60块山料，竞赛开幕式、场地布置、赛事保障等由和田玉保护发展中心负责。竞赛采用笔试+实操的形式，其中笔试2小时，占20%；实操24小时，占80%。经过4天时间角逐，经过中国工艺美术大师樊军民，中国工艺美术大师袁新根，全国技术能手、大国工匠侯晓峰等5名评审专家的评审，9名职工组选手晋级半决赛（10月28日至10月31日在深圳举行）。全面提升参赛选手的工艺品雕刻技能水平；精准选拔出技艺精湛、富有创新精神的工艺品雕刻人才。</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bCs/>
          <w:spacing w:val="-4"/>
          <w:sz w:val="32"/>
          <w:szCs w:val="32"/>
          <w:lang w:val="en-US" w:eastAsia="zh-CN"/>
        </w:rPr>
        <w:t xml:space="preserve"> </w:t>
      </w:r>
      <w:r>
        <w:rPr>
          <w:rStyle w:val="19"/>
          <w:rFonts w:hint="eastAsia" w:ascii="仿宋" w:hAnsi="仿宋" w:eastAsia="仿宋" w:cs="仿宋"/>
          <w:b/>
          <w:bCs/>
          <w:spacing w:val="-4"/>
          <w:sz w:val="32"/>
          <w:szCs w:val="32"/>
        </w:rPr>
        <w:t>4.资金投入和使用情况</w:t>
      </w:r>
      <w:r>
        <w:cr/>
      </w:r>
      <w:r>
        <w:rPr>
          <w:rStyle w:val="19"/>
          <w:rFonts w:hint="eastAsia" w:ascii="仿宋" w:hAnsi="仿宋" w:eastAsia="仿宋" w:cs="仿宋"/>
          <w:b/>
          <w:bCs/>
          <w:spacing w:val="-4"/>
          <w:sz w:val="32"/>
          <w:szCs w:val="32"/>
          <w:lang w:val="en-US" w:eastAsia="zh-CN"/>
        </w:rPr>
        <w:t xml:space="preserve">    </w:t>
      </w:r>
      <w:r>
        <w:rPr>
          <w:rStyle w:val="19"/>
          <w:rFonts w:hint="eastAsia" w:ascii="仿宋" w:hAnsi="仿宋" w:eastAsia="仿宋" w:cs="仿宋"/>
          <w:b w:val="0"/>
          <w:bCs w:val="0"/>
          <w:spacing w:val="-4"/>
          <w:sz w:val="32"/>
          <w:szCs w:val="32"/>
        </w:rPr>
        <w:t>（1）项目资金安排落实、总投入等情况分析</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val="0"/>
          <w:bCs w:val="0"/>
          <w:spacing w:val="-4"/>
          <w:sz w:val="32"/>
          <w:szCs w:val="32"/>
        </w:rPr>
        <w:t>本项目预算安排总额为23.9万元，资金来源为本级部门预算，其中：财政资金23.9万元，其他资金0万元，2024年实际收到预算资金23.9万元，预算资金到位率为100%。</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val="0"/>
          <w:bCs w:val="0"/>
          <w:spacing w:val="-4"/>
          <w:sz w:val="32"/>
          <w:szCs w:val="32"/>
        </w:rPr>
        <w:t>（2）项目资金实际使用情况分析</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val="0"/>
          <w:bCs w:val="0"/>
          <w:spacing w:val="-4"/>
          <w:sz w:val="32"/>
          <w:szCs w:val="32"/>
        </w:rPr>
        <w:t>本项目实际支付资金23.9万元，预算执行率100%。本项目资金主要用于支付大赛咨询费用15万元、专家评审们差旅费用及办公费8.9万元。</w:t>
      </w:r>
    </w:p>
    <w:p w14:paraId="07758C7E">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9"/>
          <w:rFonts w:hint="eastAsia" w:ascii="楷体" w:hAnsi="楷体" w:eastAsia="楷体" w:cs="楷体"/>
          <w:b w:val="0"/>
          <w:bCs w:val="0"/>
          <w:spacing w:val="-4"/>
          <w:sz w:val="32"/>
          <w:szCs w:val="32"/>
        </w:rPr>
      </w:pPr>
      <w:r>
        <w:rPr>
          <w:rStyle w:val="19"/>
          <w:rFonts w:hint="eastAsia" w:ascii="楷体" w:hAnsi="楷体" w:eastAsia="楷体" w:cs="楷体"/>
          <w:b w:val="0"/>
          <w:bCs w:val="0"/>
          <w:spacing w:val="-4"/>
          <w:sz w:val="32"/>
          <w:szCs w:val="32"/>
        </w:rPr>
        <w:t>（二）项目绩效目标</w:t>
      </w:r>
    </w:p>
    <w:p w14:paraId="6D29FC03">
      <w:pPr>
        <w:keepNext w:val="0"/>
        <w:keepLines w:val="0"/>
        <w:pageBreakBefore w:val="0"/>
        <w:widowControl w:val="0"/>
        <w:kinsoku/>
        <w:wordWrap/>
        <w:overflowPunct/>
        <w:topLinePunct w:val="0"/>
        <w:autoSpaceDE/>
        <w:autoSpaceDN/>
        <w:bidi w:val="0"/>
        <w:adjustRightInd/>
        <w:snapToGrid/>
        <w:spacing w:line="540" w:lineRule="exact"/>
        <w:ind w:left="638" w:leftChars="304" w:firstLine="0" w:firstLineChars="0"/>
        <w:textAlignment w:val="auto"/>
        <w:rPr>
          <w:rStyle w:val="19"/>
          <w:rFonts w:hint="eastAsia" w:ascii="仿宋" w:hAnsi="仿宋" w:eastAsia="仿宋" w:cs="仿宋"/>
          <w:b/>
          <w:bCs/>
          <w:spacing w:val="-4"/>
          <w:sz w:val="32"/>
          <w:szCs w:val="32"/>
        </w:rPr>
      </w:pPr>
      <w:r>
        <w:rPr>
          <w:rStyle w:val="19"/>
          <w:rFonts w:hint="eastAsia" w:ascii="仿宋" w:hAnsi="仿宋" w:eastAsia="仿宋" w:cs="仿宋"/>
          <w:b/>
          <w:bCs/>
          <w:spacing w:val="-4"/>
          <w:sz w:val="32"/>
          <w:szCs w:val="32"/>
        </w:rPr>
        <w:t>1.总体目标</w:t>
      </w:r>
    </w:p>
    <w:p w14:paraId="0921E819">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一是全面提升参赛选手的工艺品雕刻技能水平；二是精准选拔出技艺精湛、富有创新精神的工艺品雕刻人才；三是弘扬工艺品雕刻传统文化，通过大赛提高社会对工艺品雕刻行业的关注度。</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bCs/>
          <w:spacing w:val="-4"/>
          <w:sz w:val="32"/>
          <w:szCs w:val="32"/>
          <w:lang w:val="en-US" w:eastAsia="zh-CN"/>
        </w:rPr>
        <w:t xml:space="preserve">  </w:t>
      </w:r>
      <w:r>
        <w:rPr>
          <w:rStyle w:val="19"/>
          <w:rFonts w:hint="eastAsia" w:ascii="仿宋" w:hAnsi="仿宋" w:eastAsia="仿宋" w:cs="仿宋"/>
          <w:b/>
          <w:bCs/>
          <w:spacing w:val="-4"/>
          <w:sz w:val="32"/>
          <w:szCs w:val="32"/>
        </w:rPr>
        <w:t>2.阶段性目标</w:t>
      </w:r>
      <w:r>
        <w:cr/>
      </w:r>
      <w:r>
        <w:rPr>
          <w:rStyle w:val="19"/>
          <w:rFonts w:hint="eastAsia" w:ascii="仿宋" w:hAnsi="仿宋" w:eastAsia="仿宋" w:cs="仿宋"/>
          <w:b/>
          <w:bCs/>
          <w:spacing w:val="-4"/>
          <w:sz w:val="32"/>
          <w:szCs w:val="32"/>
          <w:lang w:val="en-US" w:eastAsia="zh-CN"/>
        </w:rPr>
        <w:t xml:space="preserve">    </w:t>
      </w:r>
      <w:r>
        <w:rPr>
          <w:rStyle w:val="19"/>
          <w:rFonts w:hint="eastAsia" w:ascii="仿宋" w:hAnsi="仿宋" w:eastAsia="仿宋" w:cs="仿宋"/>
          <w:b w:val="0"/>
          <w:bCs w:val="0"/>
          <w:spacing w:val="-4"/>
          <w:sz w:val="32"/>
          <w:szCs w:val="32"/>
        </w:rPr>
        <w:t>项目前期准备工作：竞赛于2024年8月开始筹备，组织乌鲁木齐、和田等地33人报名，单位成立筹备小组负责赛事整体规划与筹备，涵盖赛程制定、场地安排、物资筹备等工作。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val="0"/>
          <w:bCs w:val="0"/>
          <w:spacing w:val="-4"/>
          <w:sz w:val="32"/>
          <w:szCs w:val="32"/>
        </w:rPr>
        <w:t>项目实施：收集选手报名资料，审核参赛资格，确定参赛名单并通知选手，为选手答疑解惑。</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val="0"/>
          <w:bCs w:val="0"/>
          <w:spacing w:val="-4"/>
          <w:sz w:val="32"/>
          <w:szCs w:val="32"/>
        </w:rPr>
        <w:t>项目完成：核算成绩，公布获奖名单，举办颁奖典礼，表彰优秀选手。颁发荣誉证书与奖品。为全面提升参赛选手的工艺品雕刻技能水平；精准选拔出技艺精湛、富有创新精神的工艺品雕刻人才。</w:t>
      </w:r>
    </w:p>
    <w:p w14:paraId="4AEA910D">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9"/>
          <w:rFonts w:hint="eastAsia" w:ascii="黑体" w:hAnsi="黑体" w:eastAsia="黑体" w:cs="黑体"/>
          <w:b w:val="0"/>
          <w:spacing w:val="-4"/>
          <w:sz w:val="32"/>
          <w:szCs w:val="32"/>
        </w:rPr>
      </w:pPr>
      <w:r>
        <w:rPr>
          <w:rStyle w:val="19"/>
          <w:rFonts w:hint="eastAsia" w:ascii="黑体" w:hAnsi="黑体" w:eastAsia="黑体" w:cs="黑体"/>
          <w:b w:val="0"/>
          <w:spacing w:val="-4"/>
          <w:sz w:val="32"/>
          <w:szCs w:val="32"/>
        </w:rPr>
        <w:t>二、绩效评价工作开展情况</w:t>
      </w:r>
    </w:p>
    <w:p w14:paraId="561A3F44">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9"/>
          <w:rFonts w:hint="eastAsia" w:ascii="楷体" w:hAnsi="楷体" w:eastAsia="楷体" w:cs="楷体"/>
          <w:b w:val="0"/>
          <w:bCs w:val="0"/>
          <w:spacing w:val="-4"/>
          <w:sz w:val="32"/>
          <w:szCs w:val="32"/>
        </w:rPr>
      </w:pPr>
      <w:r>
        <w:rPr>
          <w:rStyle w:val="19"/>
          <w:rFonts w:hint="eastAsia" w:ascii="楷体" w:hAnsi="楷体" w:eastAsia="楷体" w:cs="楷体"/>
          <w:b w:val="0"/>
          <w:bCs w:val="0"/>
          <w:spacing w:val="-4"/>
          <w:sz w:val="32"/>
          <w:szCs w:val="32"/>
        </w:rPr>
        <w:t>（一）绩效评价目的、对象和范围</w:t>
      </w:r>
    </w:p>
    <w:p w14:paraId="33CF48CC">
      <w:pPr>
        <w:keepNext w:val="0"/>
        <w:keepLines w:val="0"/>
        <w:pageBreakBefore w:val="0"/>
        <w:widowControl w:val="0"/>
        <w:kinsoku/>
        <w:wordWrap/>
        <w:overflowPunct/>
        <w:topLinePunct w:val="0"/>
        <w:autoSpaceDE/>
        <w:autoSpaceDN/>
        <w:bidi w:val="0"/>
        <w:adjustRightInd/>
        <w:snapToGrid/>
        <w:spacing w:line="540" w:lineRule="exact"/>
        <w:ind w:left="638" w:leftChars="304" w:firstLine="0" w:firstLineChars="0"/>
        <w:textAlignment w:val="auto"/>
        <w:rPr>
          <w:rStyle w:val="19"/>
          <w:rFonts w:hint="eastAsia" w:ascii="仿宋" w:hAnsi="仿宋" w:eastAsia="仿宋" w:cs="仿宋"/>
          <w:b/>
          <w:bCs/>
          <w:spacing w:val="-4"/>
          <w:sz w:val="32"/>
          <w:szCs w:val="32"/>
        </w:rPr>
      </w:pPr>
      <w:r>
        <w:rPr>
          <w:rStyle w:val="19"/>
          <w:rFonts w:hint="eastAsia" w:ascii="仿宋" w:hAnsi="仿宋" w:eastAsia="仿宋" w:cs="仿宋"/>
          <w:b/>
          <w:bCs/>
          <w:spacing w:val="-4"/>
          <w:sz w:val="32"/>
          <w:szCs w:val="32"/>
        </w:rPr>
        <w:t>1.绩效评价的目的</w:t>
      </w:r>
    </w:p>
    <w:p w14:paraId="1CC2FFF9">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全国工艺品雕刻工职业技能竞赛（新疆赛区）选拔赛活动经费项目开展本次部门项目支出绩效评价工作。通过绩效评价，促进本单位发现问题、总结经验、改进工作。绩效评价旨在评价本项目前期审批、实施过程及实施效果，促进预算管理不断完善，加快绩效目标的实现，保证财政资金有效、合理使用，具体绩效评价的目的细分如下：</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val="0"/>
          <w:bCs w:val="0"/>
          <w:spacing w:val="-4"/>
          <w:sz w:val="32"/>
          <w:szCs w:val="32"/>
        </w:rPr>
        <w:t>一是：通过部门项目支出绩效评价，进一步严格落实《中华人民共和国预算法》以及党中央、国务院关于加强预算绩效管理的指示精神，建立健全“花钱必问效、无效必问责”的绩效预算管理机制，提升财政资金的使用效能。</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val="0"/>
          <w:bCs w:val="0"/>
          <w:spacing w:val="-4"/>
          <w:sz w:val="32"/>
          <w:szCs w:val="32"/>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val="0"/>
          <w:bCs w:val="0"/>
          <w:spacing w:val="-4"/>
          <w:sz w:val="32"/>
          <w:szCs w:val="32"/>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14:paraId="3C8869DB">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bCs/>
          <w:spacing w:val="-4"/>
          <w:sz w:val="32"/>
          <w:szCs w:val="32"/>
          <w:lang w:val="en-US" w:eastAsia="zh-CN"/>
        </w:rPr>
        <w:t xml:space="preserve">   </w:t>
      </w:r>
      <w:r>
        <w:rPr>
          <w:rStyle w:val="19"/>
          <w:rFonts w:hint="eastAsia" w:ascii="仿宋" w:hAnsi="仿宋" w:eastAsia="仿宋" w:cs="仿宋"/>
          <w:b/>
          <w:bCs/>
          <w:spacing w:val="-4"/>
          <w:sz w:val="32"/>
          <w:szCs w:val="32"/>
        </w:rPr>
        <w:t>2.绩效评价对象</w:t>
      </w:r>
      <w:r>
        <w:cr/>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val="0"/>
          <w:bCs w:val="0"/>
          <w:spacing w:val="-4"/>
          <w:sz w:val="32"/>
          <w:szCs w:val="32"/>
        </w:rPr>
        <w:t>此次我单位根据《财政支出绩效评价管理暂行办法》（财预〔2020〕10号）文件要求实施评价工作，本次评价对象为全国工艺品雕刻工职业技能竞赛（新疆赛区）选拔赛活动经费项目，评价核心为项目的资金投入、产出及效益。</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bCs/>
          <w:spacing w:val="-4"/>
          <w:sz w:val="32"/>
          <w:szCs w:val="32"/>
          <w:lang w:val="en-US" w:eastAsia="zh-CN"/>
        </w:rPr>
        <w:t xml:space="preserve">  </w:t>
      </w:r>
      <w:r>
        <w:rPr>
          <w:rStyle w:val="19"/>
          <w:rFonts w:hint="eastAsia" w:ascii="仿宋" w:hAnsi="仿宋" w:eastAsia="仿宋" w:cs="仿宋"/>
          <w:b/>
          <w:bCs/>
          <w:spacing w:val="-4"/>
          <w:sz w:val="32"/>
          <w:szCs w:val="32"/>
        </w:rPr>
        <w:t>3.绩效评价范围</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14:paraId="7F77D1C0">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9"/>
          <w:rFonts w:hint="eastAsia" w:ascii="楷体" w:hAnsi="楷体" w:eastAsia="楷体" w:cs="楷体"/>
          <w:b w:val="0"/>
          <w:bCs w:val="0"/>
          <w:spacing w:val="-4"/>
          <w:sz w:val="32"/>
          <w:szCs w:val="32"/>
        </w:rPr>
      </w:pPr>
      <w:r>
        <w:rPr>
          <w:rStyle w:val="19"/>
          <w:rFonts w:hint="eastAsia" w:ascii="楷体" w:hAnsi="楷体" w:eastAsia="楷体" w:cs="楷体"/>
          <w:b w:val="0"/>
          <w:bCs w:val="0"/>
          <w:spacing w:val="-4"/>
          <w:sz w:val="32"/>
          <w:szCs w:val="32"/>
        </w:rPr>
        <w:t>（二）绩效评价原则、评价指标体系、评价方法、评价标准</w:t>
      </w:r>
    </w:p>
    <w:p w14:paraId="603114D8">
      <w:pPr>
        <w:keepNext w:val="0"/>
        <w:keepLines w:val="0"/>
        <w:pageBreakBefore w:val="0"/>
        <w:widowControl w:val="0"/>
        <w:kinsoku/>
        <w:wordWrap/>
        <w:overflowPunct/>
        <w:topLinePunct w:val="0"/>
        <w:autoSpaceDE/>
        <w:autoSpaceDN/>
        <w:bidi w:val="0"/>
        <w:adjustRightInd/>
        <w:snapToGrid/>
        <w:spacing w:line="540" w:lineRule="exact"/>
        <w:ind w:left="638" w:leftChars="304" w:firstLine="0" w:firstLineChars="0"/>
        <w:textAlignment w:val="auto"/>
        <w:rPr>
          <w:rStyle w:val="19"/>
          <w:rFonts w:hint="eastAsia" w:ascii="仿宋" w:hAnsi="仿宋" w:eastAsia="仿宋" w:cs="仿宋"/>
          <w:b/>
          <w:bCs/>
          <w:spacing w:val="-4"/>
          <w:sz w:val="32"/>
          <w:szCs w:val="32"/>
        </w:rPr>
      </w:pPr>
      <w:r>
        <w:rPr>
          <w:rStyle w:val="19"/>
          <w:rFonts w:hint="eastAsia" w:ascii="仿宋" w:hAnsi="仿宋" w:eastAsia="仿宋" w:cs="仿宋"/>
          <w:b/>
          <w:bCs/>
          <w:spacing w:val="-4"/>
          <w:sz w:val="32"/>
          <w:szCs w:val="32"/>
        </w:rPr>
        <w:t>1.绩效评价原则</w:t>
      </w:r>
    </w:p>
    <w:p w14:paraId="50C2C419">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val="0"/>
          <w:bCs w:val="0"/>
          <w:spacing w:val="-4"/>
          <w:sz w:val="32"/>
          <w:szCs w:val="32"/>
        </w:rPr>
        <w:t>（1）科学公正。绩效评价应当运用科学合理的方法，按照规范的程序，对项目绩效进行客观、公正地反映。</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val="0"/>
          <w:bCs w:val="0"/>
          <w:spacing w:val="-4"/>
          <w:sz w:val="32"/>
          <w:szCs w:val="32"/>
        </w:rPr>
        <w:t>（4）公开透明。绩效评价结果应依法依规公开，并自觉接受社会监督。</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val="0"/>
          <w:bCs w:val="0"/>
          <w:spacing w:val="-4"/>
          <w:sz w:val="32"/>
          <w:szCs w:val="32"/>
        </w:rPr>
        <w:t>根据以上原则，绩效评价应遵循如下要求:</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val="0"/>
          <w:bCs w:val="0"/>
          <w:spacing w:val="-4"/>
          <w:sz w:val="32"/>
          <w:szCs w:val="32"/>
        </w:rPr>
        <w:t>（1）在数据采集时，采取客观数据，主管部门审查、社会中介组织复查，与问卷调查相结合的形式，以保证各项指标的真实性。</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val="0"/>
          <w:bCs w:val="0"/>
          <w:spacing w:val="-4"/>
          <w:sz w:val="32"/>
          <w:szCs w:val="32"/>
        </w:rPr>
        <w:t>（2）保证评价结果的真实性、公正性，提高评价报告的公信力。</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val="0"/>
          <w:bCs w:val="0"/>
          <w:spacing w:val="-4"/>
          <w:sz w:val="32"/>
          <w:szCs w:val="32"/>
        </w:rP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bCs/>
          <w:spacing w:val="-4"/>
          <w:sz w:val="32"/>
          <w:szCs w:val="32"/>
          <w:lang w:val="en-US" w:eastAsia="zh-CN"/>
        </w:rPr>
        <w:t xml:space="preserve"> </w:t>
      </w:r>
      <w:r>
        <w:rPr>
          <w:rStyle w:val="19"/>
          <w:rFonts w:hint="eastAsia" w:ascii="仿宋" w:hAnsi="仿宋" w:eastAsia="仿宋" w:cs="仿宋"/>
          <w:b/>
          <w:bCs/>
          <w:spacing w:val="-4"/>
          <w:sz w:val="32"/>
          <w:szCs w:val="32"/>
        </w:rPr>
        <w:t>2.绩效评价指标体系</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val="0"/>
          <w:bCs w:val="0"/>
          <w:spacing w:val="-4"/>
          <w:sz w:val="32"/>
          <w:szCs w:val="32"/>
        </w:rPr>
        <w:t>我单位通过实施资料研读及前期调研，结合项目的实际开展情况，按照《项目支出绩效评价管理办法》（财预〔2020〕10号）文件要求，结合项目特点，经与专家组充分协商，设置指标体系结构如下：设置一级指标共4个，包括：决策指标（21%）、过程指标（19%）、产出指标（20%）、效益指标（40%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bCs/>
          <w:spacing w:val="-4"/>
          <w:sz w:val="32"/>
          <w:szCs w:val="32"/>
          <w:lang w:val="en-US" w:eastAsia="zh-CN"/>
        </w:rPr>
        <w:t xml:space="preserve">   </w:t>
      </w:r>
      <w:r>
        <w:rPr>
          <w:rStyle w:val="19"/>
          <w:rFonts w:hint="eastAsia" w:ascii="仿宋" w:hAnsi="仿宋" w:eastAsia="仿宋" w:cs="仿宋"/>
          <w:b/>
          <w:bCs/>
          <w:spacing w:val="-4"/>
          <w:sz w:val="32"/>
          <w:szCs w:val="32"/>
        </w:rPr>
        <w:t>3.评价方法</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val="0"/>
          <w:bCs w:val="0"/>
          <w:spacing w:val="-4"/>
          <w:sz w:val="32"/>
          <w:szCs w:val="32"/>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val="0"/>
          <w:bCs w:val="0"/>
          <w:spacing w:val="-4"/>
          <w:sz w:val="32"/>
          <w:szCs w:val="32"/>
        </w:rPr>
        <w:t>三级指标分析环节：总体采用比较法，同时辅以文献法、成本效益法、因素分析法以及公众评判法，根据不同三级指标类型进行逐项分析。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val="0"/>
          <w:bCs w:val="0"/>
          <w:spacing w:val="-4"/>
          <w:sz w:val="32"/>
          <w:szCs w:val="32"/>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val="0"/>
          <w:bCs w:val="0"/>
          <w:spacing w:val="-4"/>
          <w:sz w:val="32"/>
          <w:szCs w:val="32"/>
        </w:rPr>
        <w:t>②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val="0"/>
          <w:bCs w:val="0"/>
          <w:spacing w:val="-4"/>
          <w:sz w:val="32"/>
          <w:szCs w:val="32"/>
        </w:rPr>
        <w:t>立项依据充分性：比较法、文献法，查找法律法规政策以及规划，对比实际执行内容和政策支持内容是否匹配。</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val="0"/>
          <w:bCs w:val="0"/>
          <w:spacing w:val="-4"/>
          <w:sz w:val="32"/>
          <w:szCs w:val="32"/>
        </w:rPr>
        <w:t>立项程序规范性：比较法、文献法，查找相关项目设立的政策和文件要求，对比分析实际执行程序是否按照政策及文件要求执行，分析立项程序的规范性。</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val="0"/>
          <w:bCs w:val="0"/>
          <w:spacing w:val="-4"/>
          <w:sz w:val="32"/>
          <w:szCs w:val="32"/>
        </w:rPr>
        <w:t>绩效目标合理性：比较法，对比分析年初编制项目支出绩效目标表与项目内容的相关性、资金的匹配性等。</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val="0"/>
          <w:bCs w:val="0"/>
          <w:spacing w:val="-4"/>
          <w:sz w:val="32"/>
          <w:szCs w:val="32"/>
        </w:rPr>
        <w:t>绩效指标明确性：比较法，比较分析年初编制项目支出绩效目标表是否符合双七原则，是否可衡量。</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val="0"/>
          <w:bCs w:val="0"/>
          <w:spacing w:val="-4"/>
          <w:sz w:val="32"/>
          <w:szCs w:val="32"/>
        </w:rPr>
        <w:t>预算编制科学性：成本效益分析法，分析在产出一定的情况下，成本取值是否有依据，是否经过询价，是否按照市场最低成本编制。</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val="0"/>
          <w:bCs w:val="0"/>
          <w:spacing w:val="-4"/>
          <w:sz w:val="32"/>
          <w:szCs w:val="32"/>
        </w:rPr>
        <w:t>资金分配合理性：因素分析法，综合分析资金的分配依据是否充分，分配金额是否与项目实施单位需求金额一致，</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val="0"/>
          <w:bCs w:val="0"/>
          <w:spacing w:val="-4"/>
          <w:sz w:val="32"/>
          <w:szCs w:val="32"/>
        </w:rPr>
        <w:t>资金到位率：比较法，资金到位率预期指标值应为100%，通过实际计算，分析实际完成值和预期指标值之间的差距和原因。</w:t>
      </w:r>
    </w:p>
    <w:p w14:paraId="6EAB1FA0">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预算执行率：比较法，预算执行率预期指标值应为100%，通过实际计算，分析实际完成值和预期指标值之间的差距和原因。</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val="0"/>
          <w:bCs w:val="0"/>
          <w:spacing w:val="-4"/>
          <w:sz w:val="32"/>
          <w:szCs w:val="32"/>
        </w:rPr>
        <w:t>资金使用合规性：文献法、实地勘察法，一是查找资金管理办法，包括专项资金管理办法和单位自有资金管理办法；二是通过查账了解具体开支情况，是否专款专用，是否按照标准支出。</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val="0"/>
          <w:bCs w:val="0"/>
          <w:spacing w:val="-4"/>
          <w:sz w:val="32"/>
          <w:szCs w:val="32"/>
        </w:rPr>
        <w:t>管理制度健全性：文献法、比较法，查阅项目实施人员提供的财务和业务管理制度，将已建立的制度与现行的法律法规和政策要求进行对比，分析项目制度的合法性、合规性、完整性。</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val="0"/>
          <w:bCs w:val="0"/>
          <w:spacing w:val="-4"/>
          <w:sz w:val="32"/>
          <w:szCs w:val="32"/>
        </w:rPr>
        <w:t>制度执行有效性：比较法，结合项目实际实施过程性文件，根据已建设的财务管理制度和项目管理制度综合分析制度执行的有效性。</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val="0"/>
          <w:bCs w:val="0"/>
          <w:spacing w:val="-4"/>
          <w:sz w:val="32"/>
          <w:szCs w:val="32"/>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72773224">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定性指标：公众评判法，通过问卷及抽样调查等方式评价本项目实施后社会公众对于其实施效果的满意程度。</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bCs/>
          <w:spacing w:val="-4"/>
          <w:sz w:val="32"/>
          <w:szCs w:val="32"/>
          <w:lang w:val="en-US" w:eastAsia="zh-CN"/>
        </w:rPr>
        <w:t xml:space="preserve"> </w:t>
      </w:r>
      <w:r>
        <w:rPr>
          <w:rStyle w:val="19"/>
          <w:rFonts w:hint="eastAsia" w:ascii="仿宋" w:hAnsi="仿宋" w:eastAsia="仿宋" w:cs="仿宋"/>
          <w:b/>
          <w:bCs/>
          <w:spacing w:val="-4"/>
          <w:sz w:val="32"/>
          <w:szCs w:val="32"/>
        </w:rPr>
        <w:t>4.评价标准</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50A1837">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9"/>
          <w:rFonts w:hint="eastAsia" w:ascii="楷体" w:hAnsi="楷体" w:eastAsia="楷体" w:cs="楷体"/>
          <w:b w:val="0"/>
          <w:bCs w:val="0"/>
          <w:spacing w:val="-4"/>
          <w:sz w:val="32"/>
          <w:szCs w:val="32"/>
        </w:rPr>
      </w:pPr>
      <w:r>
        <w:rPr>
          <w:rStyle w:val="19"/>
          <w:rFonts w:hint="eastAsia" w:ascii="楷体" w:hAnsi="楷体" w:eastAsia="楷体" w:cs="楷体"/>
          <w:b w:val="0"/>
          <w:bCs w:val="0"/>
          <w:spacing w:val="-4"/>
          <w:sz w:val="32"/>
          <w:szCs w:val="32"/>
        </w:rPr>
        <w:t>（三）绩效评价工作过程</w:t>
      </w:r>
    </w:p>
    <w:p w14:paraId="7A22AC12">
      <w:pPr>
        <w:keepNext w:val="0"/>
        <w:keepLines w:val="0"/>
        <w:pageBreakBefore w:val="0"/>
        <w:widowControl w:val="0"/>
        <w:kinsoku/>
        <w:wordWrap/>
        <w:overflowPunct/>
        <w:topLinePunct w:val="0"/>
        <w:autoSpaceDE/>
        <w:autoSpaceDN/>
        <w:bidi w:val="0"/>
        <w:adjustRightInd/>
        <w:snapToGrid/>
        <w:spacing w:line="540" w:lineRule="exact"/>
        <w:ind w:left="638" w:leftChars="304" w:firstLine="0" w:firstLineChars="0"/>
        <w:textAlignment w:val="auto"/>
        <w:rPr>
          <w:rStyle w:val="19"/>
          <w:rFonts w:hint="eastAsia" w:ascii="仿宋" w:hAnsi="仿宋" w:eastAsia="仿宋" w:cs="仿宋"/>
          <w:b/>
          <w:bCs/>
          <w:spacing w:val="-4"/>
          <w:sz w:val="32"/>
          <w:szCs w:val="32"/>
        </w:rPr>
      </w:pPr>
      <w:r>
        <w:rPr>
          <w:rStyle w:val="19"/>
          <w:rFonts w:hint="eastAsia" w:ascii="仿宋" w:hAnsi="仿宋" w:eastAsia="仿宋" w:cs="仿宋"/>
          <w:b/>
          <w:bCs/>
          <w:spacing w:val="-4"/>
          <w:sz w:val="32"/>
          <w:szCs w:val="32"/>
        </w:rPr>
        <w:t>1.前期准备</w:t>
      </w:r>
    </w:p>
    <w:p w14:paraId="5FCF3872">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9"/>
          <w:rFonts w:hint="eastAsia" w:ascii="仿宋" w:hAnsi="仿宋" w:eastAsia="仿宋" w:cs="仿宋"/>
          <w:b/>
          <w:bCs/>
          <w:spacing w:val="-4"/>
          <w:sz w:val="32"/>
          <w:szCs w:val="32"/>
        </w:rPr>
      </w:pPr>
      <w:r>
        <w:rPr>
          <w:rStyle w:val="19"/>
          <w:rFonts w:hint="eastAsia" w:ascii="仿宋" w:hAnsi="仿宋" w:eastAsia="仿宋" w:cs="仿宋"/>
          <w:b w:val="0"/>
          <w:bCs w:val="0"/>
          <w:spacing w:val="-4"/>
          <w:sz w:val="32"/>
          <w:szCs w:val="32"/>
        </w:rPr>
        <w:t>我单位于2025年1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val="0"/>
          <w:bCs w:val="0"/>
          <w:spacing w:val="-4"/>
          <w:sz w:val="32"/>
          <w:szCs w:val="32"/>
        </w:rPr>
        <w:t>薛超（评价小组组长）：主要负责审核并解决项目实施过程所有相关问题，复核绩效评价报告质量;</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val="0"/>
          <w:bCs w:val="0"/>
          <w:spacing w:val="-4"/>
          <w:sz w:val="32"/>
          <w:szCs w:val="32"/>
        </w:rPr>
        <w:t>罗福（评价小组组员）：主要负责收集项目绩效相关所有资料，负责报告中数据的核实;</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val="0"/>
          <w:bCs w:val="0"/>
          <w:spacing w:val="-4"/>
          <w:sz w:val="32"/>
          <w:szCs w:val="32"/>
        </w:rPr>
        <w:t>赵欢欢（评价小组组员）：主要负责编制绩效评价报告，编制绩效评价附件表格。</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bCs/>
          <w:spacing w:val="-4"/>
          <w:sz w:val="32"/>
          <w:szCs w:val="32"/>
          <w:lang w:val="en-US" w:eastAsia="zh-CN"/>
        </w:rPr>
        <w:t xml:space="preserve"> </w:t>
      </w:r>
      <w:r>
        <w:rPr>
          <w:rStyle w:val="19"/>
          <w:rFonts w:hint="eastAsia" w:ascii="仿宋" w:hAnsi="仿宋" w:eastAsia="仿宋" w:cs="仿宋"/>
          <w:b/>
          <w:bCs/>
          <w:spacing w:val="-4"/>
          <w:sz w:val="32"/>
          <w:szCs w:val="32"/>
        </w:rPr>
        <w:t>2.组织实施</w:t>
      </w:r>
      <w:r>
        <w:cr/>
      </w:r>
      <w:r>
        <w:rPr>
          <w:rStyle w:val="19"/>
          <w:rFonts w:hint="eastAsia" w:ascii="仿宋" w:hAnsi="仿宋" w:eastAsia="仿宋" w:cs="仿宋"/>
          <w:b/>
          <w:bCs/>
          <w:spacing w:val="-4"/>
          <w:sz w:val="32"/>
          <w:szCs w:val="32"/>
          <w:lang w:val="en-US" w:eastAsia="zh-CN"/>
        </w:rPr>
        <w:t xml:space="preserve">    </w:t>
      </w:r>
      <w:r>
        <w:rPr>
          <w:rStyle w:val="19"/>
          <w:rFonts w:hint="eastAsia" w:ascii="仿宋" w:hAnsi="仿宋" w:eastAsia="仿宋" w:cs="仿宋"/>
          <w:b w:val="0"/>
          <w:bCs w:val="0"/>
          <w:spacing w:val="-4"/>
          <w:sz w:val="32"/>
          <w:szCs w:val="32"/>
        </w:rPr>
        <w:t>2025年1月10日-1月31日，评价工作进入实施阶段。在数据采集方面，评价小组整理单位前期提交的资料，与项目实施负责人沟通，了解资金的内容、操作流程、管理机制、资金使用方向等情况并采集信息，了解项目设置背景及资金使用等情况。</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bCs/>
          <w:spacing w:val="-4"/>
          <w:sz w:val="32"/>
          <w:szCs w:val="32"/>
          <w:lang w:val="en-US" w:eastAsia="zh-CN"/>
        </w:rPr>
        <w:t xml:space="preserve"> </w:t>
      </w:r>
      <w:r>
        <w:rPr>
          <w:rStyle w:val="19"/>
          <w:rFonts w:hint="eastAsia" w:ascii="仿宋" w:hAnsi="仿宋" w:eastAsia="仿宋" w:cs="仿宋"/>
          <w:b/>
          <w:bCs/>
          <w:spacing w:val="-4"/>
          <w:sz w:val="32"/>
          <w:szCs w:val="32"/>
        </w:rPr>
        <w:t>3.分析评价</w:t>
      </w:r>
      <w:r>
        <w:cr/>
      </w:r>
      <w:r>
        <w:rPr>
          <w:rStyle w:val="19"/>
          <w:rFonts w:hint="eastAsia" w:ascii="仿宋" w:hAnsi="仿宋" w:eastAsia="仿宋" w:cs="仿宋"/>
          <w:b/>
          <w:bCs/>
          <w:spacing w:val="-4"/>
          <w:sz w:val="32"/>
          <w:szCs w:val="32"/>
          <w:lang w:val="en-US" w:eastAsia="zh-CN"/>
        </w:rPr>
        <w:t xml:space="preserve">    </w:t>
      </w:r>
      <w:r>
        <w:rPr>
          <w:rStyle w:val="19"/>
          <w:rFonts w:hint="eastAsia" w:ascii="仿宋" w:hAnsi="仿宋" w:eastAsia="仿宋" w:cs="仿宋"/>
          <w:b w:val="0"/>
          <w:bCs w:val="0"/>
          <w:spacing w:val="-4"/>
          <w:sz w:val="32"/>
          <w:szCs w:val="32"/>
        </w:rPr>
        <w:t>2025年2月1日-2月28日，评价小组按照绩效评价的原则和规范，对取得的资料进行审查核实，对采集的数据进行分析，按照绩效评价指标评分表逐项进行打分、分析、汇总各方评价结果。</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bCs/>
          <w:spacing w:val="-4"/>
          <w:sz w:val="32"/>
          <w:szCs w:val="32"/>
        </w:rPr>
        <w:t>4.撰写与提交评价报告</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val="0"/>
          <w:bCs w:val="0"/>
          <w:spacing w:val="-4"/>
          <w:sz w:val="32"/>
          <w:szCs w:val="32"/>
        </w:rPr>
        <w:t>2025年3月1日-3月31日评价小组撰写绩效评价报告，按照新疆维吾尔自治区财政绩效管理信息系统绩效评价模块中统一格式和文本框架撰写绩效评价报告并提交审核。</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bCs/>
          <w:spacing w:val="-4"/>
          <w:sz w:val="32"/>
          <w:szCs w:val="32"/>
          <w:lang w:val="en-US" w:eastAsia="zh-CN"/>
        </w:rPr>
        <w:t xml:space="preserve"> </w:t>
      </w:r>
      <w:r>
        <w:rPr>
          <w:rStyle w:val="19"/>
          <w:rFonts w:hint="eastAsia" w:ascii="仿宋" w:hAnsi="仿宋" w:eastAsia="仿宋" w:cs="仿宋"/>
          <w:b/>
          <w:bCs/>
          <w:spacing w:val="-4"/>
          <w:sz w:val="32"/>
          <w:szCs w:val="32"/>
        </w:rPr>
        <w:t>5.问题整改</w:t>
      </w:r>
    </w:p>
    <w:p w14:paraId="7A293FDD">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bCs/>
          <w:spacing w:val="-4"/>
          <w:sz w:val="32"/>
          <w:szCs w:val="32"/>
        </w:rPr>
        <w:t>6.档案整理</w:t>
      </w:r>
      <w:r>
        <w:cr/>
      </w:r>
      <w:r>
        <w:rPr>
          <w:rStyle w:val="19"/>
          <w:rFonts w:hint="eastAsia" w:ascii="仿宋" w:hAnsi="仿宋" w:eastAsia="仿宋" w:cs="仿宋"/>
          <w:b/>
          <w:bCs/>
          <w:spacing w:val="-4"/>
          <w:sz w:val="32"/>
          <w:szCs w:val="32"/>
          <w:lang w:val="en-US" w:eastAsia="zh-CN"/>
        </w:rPr>
        <w:t xml:space="preserve">    </w:t>
      </w:r>
      <w:r>
        <w:rPr>
          <w:rStyle w:val="19"/>
          <w:rFonts w:hint="eastAsia" w:ascii="仿宋" w:hAnsi="仿宋" w:eastAsia="仿宋" w:cs="仿宋"/>
          <w:b w:val="0"/>
          <w:bCs w:val="0"/>
          <w:spacing w:val="-4"/>
          <w:sz w:val="32"/>
          <w:szCs w:val="32"/>
        </w:rPr>
        <w:t>建立和落实档案管理制度，将项目相关资料存档，包括但不限于：评价项目基本情况和相关文件、评价实施方案、项目支付资料等相关档案。</w:t>
      </w:r>
    </w:p>
    <w:p w14:paraId="433D7E4D">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9"/>
          <w:rFonts w:hint="eastAsia" w:ascii="黑体" w:hAnsi="黑体" w:eastAsia="黑体" w:cs="黑体"/>
          <w:b w:val="0"/>
          <w:spacing w:val="-4"/>
          <w:sz w:val="32"/>
          <w:szCs w:val="32"/>
        </w:rPr>
      </w:pPr>
      <w:r>
        <w:rPr>
          <w:rStyle w:val="19"/>
          <w:rFonts w:hint="eastAsia" w:ascii="黑体" w:hAnsi="黑体" w:eastAsia="黑体" w:cs="黑体"/>
          <w:b w:val="0"/>
          <w:spacing w:val="-4"/>
          <w:sz w:val="32"/>
          <w:szCs w:val="32"/>
        </w:rPr>
        <w:t>三、综合评价情况及评价结论</w:t>
      </w:r>
    </w:p>
    <w:p w14:paraId="4D98AA36">
      <w:pPr>
        <w:keepNext w:val="0"/>
        <w:keepLines w:val="0"/>
        <w:pageBreakBefore w:val="0"/>
        <w:widowControl w:val="0"/>
        <w:kinsoku/>
        <w:wordWrap/>
        <w:overflowPunct/>
        <w:topLinePunct w:val="0"/>
        <w:autoSpaceDE/>
        <w:autoSpaceDN/>
        <w:bidi w:val="0"/>
        <w:adjustRightInd/>
        <w:snapToGrid/>
        <w:spacing w:line="540" w:lineRule="exact"/>
        <w:ind w:firstLine="936" w:firstLineChars="300"/>
        <w:textAlignment w:val="auto"/>
        <w:rPr>
          <w:rStyle w:val="19"/>
          <w:rFonts w:hint="eastAsia" w:ascii="仿宋" w:hAnsi="仿宋" w:eastAsia="仿宋" w:cs="仿宋"/>
          <w:b w:val="0"/>
          <w:bCs w:val="0"/>
          <w:spacing w:val="-4"/>
          <w:sz w:val="32"/>
          <w:szCs w:val="32"/>
        </w:rPr>
      </w:pPr>
      <w:r>
        <w:rPr>
          <w:rStyle w:val="19"/>
          <w:rFonts w:hint="eastAsia" w:ascii="楷体" w:hAnsi="楷体" w:eastAsia="楷体" w:cs="楷体"/>
          <w:b w:val="0"/>
          <w:bCs w:val="0"/>
          <w:spacing w:val="-4"/>
          <w:sz w:val="32"/>
          <w:szCs w:val="32"/>
        </w:rPr>
        <w:t>（一）综合评价情况</w:t>
      </w:r>
      <w:r>
        <w:cr/>
      </w:r>
      <w:r>
        <w:rPr>
          <w:rStyle w:val="19"/>
          <w:rFonts w:hint="eastAsia" w:ascii="楷体" w:hAnsi="楷体" w:eastAsia="楷体" w:cs="楷体"/>
          <w:b w:val="0"/>
          <w:bCs w:val="0"/>
          <w:spacing w:val="-4"/>
          <w:sz w:val="32"/>
          <w:szCs w:val="32"/>
          <w:lang w:val="en-US" w:eastAsia="zh-CN"/>
        </w:rPr>
        <w:t xml:space="preserve">    </w:t>
      </w:r>
      <w:r>
        <w:rPr>
          <w:rStyle w:val="19"/>
          <w:rFonts w:hint="eastAsia" w:ascii="仿宋" w:hAnsi="仿宋" w:eastAsia="仿宋" w:cs="仿宋"/>
          <w:b w:val="0"/>
          <w:bCs w:val="0"/>
          <w:spacing w:val="-4"/>
          <w:sz w:val="32"/>
          <w:szCs w:val="32"/>
        </w:rPr>
        <w:t>经评价，本项目达成年初设立的绩效目标，在实施过程中取得了良好的成效，具体表现在以下三方面：</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bCs/>
          <w:spacing w:val="-4"/>
          <w:sz w:val="32"/>
          <w:szCs w:val="32"/>
        </w:rPr>
        <w:t>一是:</w:t>
      </w:r>
      <w:r>
        <w:rPr>
          <w:rStyle w:val="19"/>
          <w:rFonts w:hint="eastAsia" w:ascii="仿宋" w:hAnsi="仿宋" w:eastAsia="仿宋" w:cs="仿宋"/>
          <w:b w:val="0"/>
          <w:bCs w:val="0"/>
          <w:spacing w:val="-4"/>
          <w:sz w:val="32"/>
          <w:szCs w:val="32"/>
        </w:rPr>
        <w:t>梳理总结此次竞赛好的经验和做法，分析竞赛中不足，为做好2025年全国行业职业技能竞赛-第八届全国珠宝玉石检测制作职业技能竞赛-“陆子冈杯”全国工艺品雕刻工职业技能竞赛半决赛打下坚实基础。</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bCs/>
          <w:spacing w:val="-4"/>
          <w:sz w:val="32"/>
          <w:szCs w:val="32"/>
          <w:lang w:val="en-US" w:eastAsia="zh-CN"/>
        </w:rPr>
        <w:t xml:space="preserve"> </w:t>
      </w:r>
      <w:r>
        <w:rPr>
          <w:rStyle w:val="19"/>
          <w:rFonts w:hint="eastAsia" w:ascii="仿宋" w:hAnsi="仿宋" w:eastAsia="仿宋" w:cs="仿宋"/>
          <w:b/>
          <w:bCs/>
          <w:spacing w:val="-4"/>
          <w:sz w:val="32"/>
          <w:szCs w:val="32"/>
        </w:rPr>
        <w:t>二是:</w:t>
      </w:r>
      <w:r>
        <w:rPr>
          <w:rStyle w:val="19"/>
          <w:rFonts w:hint="eastAsia" w:ascii="仿宋" w:hAnsi="仿宋" w:eastAsia="仿宋" w:cs="仿宋"/>
          <w:b w:val="0"/>
          <w:bCs w:val="0"/>
          <w:spacing w:val="-4"/>
          <w:sz w:val="32"/>
          <w:szCs w:val="32"/>
        </w:rPr>
        <w:t>搭建合作交流平台，积极同中国轻工珠宝首饰中心、苏州市玉石文化行业协会对接，引导国内、疆内优秀玉雕大师落地和田，积极促成玉雕大师同和田中等职业技术学校、和田职业技术学院、昆玉职业技术学院等进行校企信息共享、合作交流等，培养更多和田玉加工、雕刻、鉴定、销售人才，助推和田玉产业高质量发展。</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bCs/>
          <w:spacing w:val="-4"/>
          <w:sz w:val="32"/>
          <w:szCs w:val="32"/>
        </w:rPr>
        <w:t>三是:</w:t>
      </w:r>
      <w:r>
        <w:rPr>
          <w:rStyle w:val="19"/>
          <w:rFonts w:hint="eastAsia" w:ascii="仿宋" w:hAnsi="仿宋" w:eastAsia="仿宋" w:cs="仿宋"/>
          <w:b w:val="0"/>
          <w:bCs w:val="0"/>
          <w:spacing w:val="-4"/>
          <w:sz w:val="32"/>
          <w:szCs w:val="32"/>
        </w:rPr>
        <w:t>结合竞赛召开座谈会精神，做好“和田·国玉之都”项目申报，将“和田·国玉之都”作为和田地区玉石产业和文化旅游发展的核心品牌和战略定位，突出和田玉的独特性、稀缺性和文化价值，将和田地区打造成为全球知名的玉石产业基地和文化旅游目的地，为和田地区的经济社会发展注入新的活力和动力。</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楷体" w:hAnsi="楷体" w:eastAsia="楷体" w:cs="楷体"/>
          <w:b w:val="0"/>
          <w:bCs w:val="0"/>
          <w:spacing w:val="-4"/>
          <w:sz w:val="32"/>
          <w:szCs w:val="32"/>
        </w:rPr>
        <w:t>（二）评价结论</w:t>
      </w:r>
      <w:r>
        <w:cr/>
      </w:r>
      <w:r>
        <w:rPr>
          <w:rStyle w:val="19"/>
          <w:rFonts w:hint="eastAsia" w:ascii="楷体" w:hAnsi="楷体" w:eastAsia="楷体" w:cs="楷体"/>
          <w:b w:val="0"/>
          <w:bCs w:val="0"/>
          <w:spacing w:val="-4"/>
          <w:sz w:val="32"/>
          <w:szCs w:val="32"/>
          <w:lang w:val="en-US" w:eastAsia="zh-CN"/>
        </w:rPr>
        <w:t xml:space="preserve">    </w:t>
      </w:r>
      <w:r>
        <w:rPr>
          <w:rStyle w:val="19"/>
          <w:rFonts w:hint="eastAsia" w:ascii="仿宋" w:hAnsi="仿宋" w:eastAsia="仿宋" w:cs="仿宋"/>
          <w:b w:val="0"/>
          <w:bCs w:val="0"/>
          <w:spacing w:val="-4"/>
          <w:sz w:val="32"/>
          <w:szCs w:val="32"/>
        </w:rPr>
        <w:t>此次绩效评价通过绩效评价小组论证的评价指标体系及评分标准，采用因素分析法和比较法对本项目绩效进行客观评价，最终评分结果：总分为100分，绩效评级为“优”。综合评价结论如下：本项目共设置三级指标数量18个，实现三级指标数量18个，总体完成率为100%。</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val="0"/>
          <w:bCs w:val="0"/>
          <w:spacing w:val="-4"/>
          <w:sz w:val="32"/>
          <w:szCs w:val="32"/>
        </w:rPr>
        <w:t>项目决策类指标共设置6个，满分指标6个，权重分21分，得分21分，得分率100%；</w:t>
      </w:r>
      <w:r>
        <w:cr/>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val="0"/>
          <w:bCs w:val="0"/>
          <w:spacing w:val="-4"/>
          <w:sz w:val="32"/>
          <w:szCs w:val="32"/>
        </w:rPr>
        <w:t>过程管理类指标共设置5个，满分指标5个，权重分19分，得分19分，得分率100%；</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val="0"/>
          <w:bCs w:val="0"/>
          <w:spacing w:val="-4"/>
          <w:sz w:val="32"/>
          <w:szCs w:val="32"/>
        </w:rPr>
        <w:t>项目产出类指标共设置5个，满分指标5个，权重分20分，得分20分，得分率100%；</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val="0"/>
          <w:bCs w:val="0"/>
          <w:spacing w:val="-4"/>
          <w:sz w:val="32"/>
          <w:szCs w:val="32"/>
        </w:rPr>
        <w:t>项目效益类指标共设置2个，满分指标2个，权重分40分，得分40分，得分率100%。</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val="0"/>
          <w:bCs w:val="0"/>
          <w:spacing w:val="-4"/>
          <w:sz w:val="32"/>
          <w:szCs w:val="32"/>
        </w:rPr>
        <w:t>详细情况见“附件2：项目综合得分表”。</w:t>
      </w:r>
    </w:p>
    <w:p w14:paraId="2378795C">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9"/>
          <w:rFonts w:hint="eastAsia" w:ascii="仿宋" w:hAnsi="仿宋" w:eastAsia="仿宋" w:cs="仿宋"/>
          <w:sz w:val="32"/>
          <w:szCs w:val="32"/>
        </w:rPr>
      </w:pPr>
      <w:r>
        <w:rPr>
          <w:rStyle w:val="19"/>
          <w:rFonts w:hint="eastAsia" w:ascii="黑体" w:hAnsi="黑体" w:eastAsia="黑体" w:cs="黑体"/>
          <w:b w:val="0"/>
          <w:bCs/>
          <w:spacing w:val="-4"/>
          <w:sz w:val="32"/>
          <w:szCs w:val="32"/>
        </w:rPr>
        <w:t>四、绩效评价指标分析</w:t>
      </w:r>
      <w:r>
        <w:rPr>
          <w:rStyle w:val="19"/>
          <w:rFonts w:hint="eastAsia" w:ascii="仿宋" w:hAnsi="仿宋" w:eastAsia="仿宋" w:cs="仿宋"/>
          <w:sz w:val="32"/>
          <w:szCs w:val="32"/>
        </w:rPr>
        <w:t xml:space="preserve"> </w:t>
      </w:r>
    </w:p>
    <w:p w14:paraId="6721BB1C">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Fonts w:hint="eastAsia" w:ascii="楷体" w:hAnsi="楷体" w:eastAsia="楷体" w:cs="楷体"/>
          <w:b w:val="0"/>
          <w:bCs/>
          <w:spacing w:val="-4"/>
          <w:sz w:val="32"/>
          <w:szCs w:val="32"/>
        </w:rPr>
      </w:pPr>
      <w:r>
        <w:rPr>
          <w:rFonts w:hint="eastAsia" w:ascii="楷体" w:hAnsi="楷体" w:eastAsia="楷体" w:cs="楷体"/>
          <w:b w:val="0"/>
          <w:bCs/>
          <w:spacing w:val="-4"/>
          <w:sz w:val="32"/>
          <w:szCs w:val="32"/>
        </w:rPr>
        <w:t>（一）</w:t>
      </w:r>
      <w:r>
        <w:rPr>
          <w:rStyle w:val="19"/>
          <w:rFonts w:hint="eastAsia" w:ascii="楷体" w:hAnsi="楷体" w:eastAsia="楷体" w:cs="楷体"/>
          <w:b w:val="0"/>
          <w:bCs/>
          <w:spacing w:val="-4"/>
          <w:sz w:val="32"/>
          <w:szCs w:val="32"/>
        </w:rPr>
        <w:t>项目决策情况</w:t>
      </w:r>
    </w:p>
    <w:p w14:paraId="5EF6EB08">
      <w:pPr>
        <w:keepNext w:val="0"/>
        <w:keepLines w:val="0"/>
        <w:pageBreakBefore w:val="0"/>
        <w:widowControl w:val="0"/>
        <w:tabs>
          <w:tab w:val="center" w:pos="4295"/>
        </w:tabs>
        <w:kinsoku/>
        <w:wordWrap/>
        <w:overflowPunct/>
        <w:topLinePunct w:val="0"/>
        <w:autoSpaceDE/>
        <w:autoSpaceDN/>
        <w:bidi w:val="0"/>
        <w:adjustRightInd/>
        <w:snapToGrid/>
        <w:spacing w:line="540" w:lineRule="exact"/>
        <w:ind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项目决策类指标由3个二级指标和6个三级指标构成，权重分21分，实际得分21分。</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bCs/>
          <w:spacing w:val="-4"/>
          <w:sz w:val="32"/>
          <w:szCs w:val="32"/>
          <w:lang w:val="en-US" w:eastAsia="zh-CN"/>
        </w:rPr>
        <w:t xml:space="preserve"> </w:t>
      </w:r>
      <w:r>
        <w:rPr>
          <w:rStyle w:val="19"/>
          <w:rFonts w:hint="eastAsia" w:ascii="仿宋" w:hAnsi="仿宋" w:eastAsia="仿宋" w:cs="仿宋"/>
          <w:b/>
          <w:bCs/>
          <w:spacing w:val="-4"/>
          <w:sz w:val="32"/>
          <w:szCs w:val="32"/>
        </w:rPr>
        <w:t>1.项目立项情况分析</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val="0"/>
          <w:bCs w:val="0"/>
          <w:spacing w:val="-4"/>
          <w:sz w:val="32"/>
          <w:szCs w:val="32"/>
        </w:rPr>
        <w:t>（1）立项依据充分性</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val="0"/>
          <w:bCs w:val="0"/>
          <w:spacing w:val="-4"/>
          <w:sz w:val="32"/>
          <w:szCs w:val="32"/>
        </w:rPr>
        <w:t>本项目立项符合中国轻工珠宝首饰中心、中国就业培训技术指导中心、中国财贸轻纺烟草工会全国委员会联合颁发的《关于举办2024年全国行业职业技能竞赛-第七届全国珠宝玉石检测制作职业技能竞赛的通知》（中轻珠宝〔2024〕51号）中：“赛程赛制”符合行业发展规划和政策要求；本项目立项符合《和田玉保护发展中心单位配置内设机构和人员编制规定》中职责范围中的“负责规范和田玉资源开采、加工、交易、流通及和田玉交易市场的运行，负责制定和田玉行业人才培养与实施计划，规范和田玉从业人员的管理和培训”，属于我单位履职所需；根据《财政资金直接支付申请书》，本项目资金性质为“公共财政预算”功能分类为“2013899其他市场监督管理事务”，经济分类为“50502商品和服务支出”属于公共财政支持范围，符合中央、地方事权支出责任划分原则；经检查我单位财政应用平台指标，本项目不存在重复。</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val="0"/>
          <w:bCs w:val="0"/>
          <w:spacing w:val="-4"/>
          <w:sz w:val="32"/>
          <w:szCs w:val="32"/>
        </w:rPr>
        <w:t>综上所述，本指标满分为5分，根据评分标准得5分，本项目立项依据充分。</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bCs/>
          <w:spacing w:val="-4"/>
          <w:sz w:val="32"/>
          <w:szCs w:val="32"/>
        </w:rPr>
        <w:t>（2）立项程序规范性</w:t>
      </w:r>
      <w:r>
        <w:cr/>
      </w:r>
      <w:r>
        <w:rPr>
          <w:rStyle w:val="19"/>
          <w:rFonts w:hint="eastAsia" w:ascii="仿宋" w:hAnsi="仿宋" w:eastAsia="仿宋" w:cs="仿宋"/>
          <w:b/>
          <w:bCs/>
          <w:spacing w:val="-4"/>
          <w:sz w:val="32"/>
          <w:szCs w:val="32"/>
          <w:lang w:val="en-US" w:eastAsia="zh-CN"/>
        </w:rPr>
        <w:t xml:space="preserve">    </w:t>
      </w:r>
      <w:r>
        <w:rPr>
          <w:rStyle w:val="19"/>
          <w:rFonts w:hint="eastAsia" w:ascii="仿宋" w:hAnsi="仿宋" w:eastAsia="仿宋" w:cs="仿宋"/>
          <w:b w:val="0"/>
          <w:bCs w:val="0"/>
          <w:spacing w:val="-4"/>
          <w:sz w:val="32"/>
          <w:szCs w:val="32"/>
        </w:rPr>
        <w:t>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关于申请举办2024年全国行业职业技能竞赛-第七届全国珠宝玉石检测制作职业技能竞赛-全国工艺品雕刻工职业技能大赛（新疆赛区）选拔赛经费的请示》(和地市监〔2024〕113号)文件要求实施项目。</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val="0"/>
          <w:bCs w:val="0"/>
          <w:spacing w:val="-4"/>
          <w:sz w:val="32"/>
          <w:szCs w:val="32"/>
        </w:rPr>
        <w:t>综上所述，本指标满分为3分，根据评分标准得3分，本项目立项程序规范。</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楷体" w:hAnsi="楷体" w:eastAsia="楷体" w:cs="楷体"/>
          <w:b w:val="0"/>
          <w:bCs w:val="0"/>
          <w:spacing w:val="-4"/>
          <w:sz w:val="32"/>
          <w:szCs w:val="32"/>
          <w:lang w:val="en-US" w:eastAsia="zh-CN"/>
        </w:rPr>
        <w:t xml:space="preserve"> </w:t>
      </w:r>
      <w:r>
        <w:rPr>
          <w:rStyle w:val="19"/>
          <w:rFonts w:hint="eastAsia" w:ascii="楷体" w:hAnsi="楷体" w:eastAsia="楷体" w:cs="楷体"/>
          <w:b w:val="0"/>
          <w:bCs w:val="0"/>
          <w:spacing w:val="-4"/>
          <w:sz w:val="32"/>
          <w:szCs w:val="32"/>
        </w:rPr>
        <w:t>2.绩效目标情况分析</w:t>
      </w:r>
      <w:r>
        <w:cr/>
      </w:r>
      <w:r>
        <w:rPr>
          <w:rStyle w:val="19"/>
          <w:rFonts w:hint="eastAsia" w:ascii="楷体" w:hAnsi="楷体" w:eastAsia="楷体" w:cs="楷体"/>
          <w:b w:val="0"/>
          <w:bCs w:val="0"/>
          <w:spacing w:val="-4"/>
          <w:sz w:val="32"/>
          <w:szCs w:val="32"/>
          <w:lang w:val="en-US" w:eastAsia="zh-CN"/>
        </w:rPr>
        <w:t xml:space="preserve">    </w:t>
      </w:r>
      <w:r>
        <w:rPr>
          <w:rStyle w:val="19"/>
          <w:rFonts w:hint="eastAsia" w:ascii="仿宋" w:hAnsi="仿宋" w:eastAsia="仿宋" w:cs="仿宋"/>
          <w:b/>
          <w:bCs/>
          <w:spacing w:val="-4"/>
          <w:sz w:val="32"/>
          <w:szCs w:val="32"/>
        </w:rPr>
        <w:t>（1）绩效目标合理性</w:t>
      </w:r>
      <w:r>
        <w:cr/>
      </w:r>
      <w:r>
        <w:rPr>
          <w:rStyle w:val="19"/>
          <w:rFonts w:hint="eastAsia" w:ascii="仿宋" w:hAnsi="仿宋" w:eastAsia="仿宋" w:cs="仿宋"/>
          <w:b/>
          <w:bCs/>
          <w:spacing w:val="-4"/>
          <w:sz w:val="32"/>
          <w:szCs w:val="32"/>
          <w:lang w:val="en-US" w:eastAsia="zh-CN"/>
        </w:rPr>
        <w:t xml:space="preserve">    </w:t>
      </w:r>
      <w:r>
        <w:rPr>
          <w:rStyle w:val="19"/>
          <w:rFonts w:hint="eastAsia" w:ascii="仿宋" w:hAnsi="仿宋" w:eastAsia="仿宋" w:cs="仿宋"/>
          <w:b w:val="0"/>
          <w:bCs w:val="0"/>
          <w:spacing w:val="-4"/>
          <w:sz w:val="32"/>
          <w:szCs w:val="32"/>
        </w:rPr>
        <w:t>本项目已设置年度绩效目标，具体内容为“项目总投资23.9万元，计划开展全国工艺品雕刻工职业技能竞赛（新疆赛区）选拔赛活动咨询服务，参加活动选手30人，争取使受益人员满意度达到95%以上”；本项目实际工作内容为：截止2024年12月31日，本项目实际支出资金23.9万元，预算执行率为100.00%。绩效目标与实际工作内容一致，两者具有相关性;本项目按照绩效目标完成了数量指标、质量指标、时效指标、成本指标，有效发挥职业技能竞赛在人才培养和激励方面的积极作用，年度绩效目标完成，预期产出效益和效果符合正常的业绩水平。</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val="0"/>
          <w:bCs w:val="0"/>
          <w:spacing w:val="-4"/>
          <w:sz w:val="32"/>
          <w:szCs w:val="32"/>
        </w:rPr>
        <w:t>综上所述，本指标满分为4分，根据评分标准得4分，本项目绩效目标设置合理。</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bCs/>
          <w:spacing w:val="-4"/>
          <w:sz w:val="32"/>
          <w:szCs w:val="32"/>
          <w:lang w:val="en-US" w:eastAsia="zh-CN"/>
        </w:rPr>
        <w:t xml:space="preserve">  </w:t>
      </w:r>
      <w:r>
        <w:rPr>
          <w:rStyle w:val="19"/>
          <w:rFonts w:hint="eastAsia" w:ascii="仿宋" w:hAnsi="仿宋" w:eastAsia="仿宋" w:cs="仿宋"/>
          <w:b/>
          <w:bCs/>
          <w:spacing w:val="-4"/>
          <w:sz w:val="32"/>
          <w:szCs w:val="32"/>
        </w:rPr>
        <w:t>（2）绩效指标明确性</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val="0"/>
          <w:bCs w:val="0"/>
          <w:spacing w:val="-4"/>
          <w:sz w:val="32"/>
          <w:szCs w:val="32"/>
        </w:rPr>
        <w:t>经检查我单位年初设置的《项目支出绩效目标表》，得出如下结论：本项目已将年度绩效目标进行细化为绩效指标体系，共设置一级指标4个，二级指标6个，三级指标7个，定量指标6个，定性指标1个，指标量化率为85.71%，量化率达70.00%以上。</w:t>
      </w:r>
    </w:p>
    <w:p w14:paraId="525DF16A">
      <w:pPr>
        <w:keepNext w:val="0"/>
        <w:keepLines w:val="0"/>
        <w:pageBreakBefore w:val="0"/>
        <w:widowControl w:val="0"/>
        <w:tabs>
          <w:tab w:val="center" w:pos="4295"/>
        </w:tabs>
        <w:kinsoku/>
        <w:wordWrap/>
        <w:overflowPunct/>
        <w:topLinePunct w:val="0"/>
        <w:autoSpaceDE/>
        <w:autoSpaceDN/>
        <w:bidi w:val="0"/>
        <w:adjustRightInd/>
        <w:snapToGrid/>
        <w:spacing w:line="540" w:lineRule="exact"/>
        <w:ind w:firstLine="624" w:firstLineChars="200"/>
        <w:textAlignment w:val="auto"/>
        <w:rPr>
          <w:rStyle w:val="19"/>
          <w:rFonts w:hint="eastAsia" w:ascii="仿宋" w:hAnsi="仿宋" w:eastAsia="仿宋" w:cs="仿宋"/>
          <w:b w:val="0"/>
          <w:bCs w:val="0"/>
          <w:spacing w:val="-4"/>
          <w:sz w:val="32"/>
          <w:szCs w:val="32"/>
          <w:lang w:eastAsia="zh-CN"/>
        </w:rPr>
      </w:pPr>
      <w:r>
        <w:rPr>
          <w:rStyle w:val="19"/>
          <w:rFonts w:hint="eastAsia" w:ascii="仿宋" w:hAnsi="仿宋" w:eastAsia="仿宋" w:cs="仿宋"/>
          <w:b w:val="0"/>
          <w:bCs w:val="0"/>
          <w:spacing w:val="-4"/>
          <w:sz w:val="32"/>
          <w:szCs w:val="32"/>
        </w:rPr>
        <w:t>综上所述，本指标满分为3分，根据评分标准得3分，本项目所设置绩效指标明确。</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楷体" w:hAnsi="楷体" w:eastAsia="楷体" w:cs="楷体"/>
          <w:b w:val="0"/>
          <w:bCs w:val="0"/>
          <w:spacing w:val="-4"/>
          <w:sz w:val="32"/>
          <w:szCs w:val="32"/>
          <w:lang w:val="en-US" w:eastAsia="zh-CN"/>
        </w:rPr>
        <w:t xml:space="preserve">   </w:t>
      </w:r>
      <w:r>
        <w:rPr>
          <w:rStyle w:val="19"/>
          <w:rFonts w:hint="eastAsia" w:ascii="楷体" w:hAnsi="楷体" w:eastAsia="楷体" w:cs="楷体"/>
          <w:b w:val="0"/>
          <w:bCs w:val="0"/>
          <w:spacing w:val="-4"/>
          <w:sz w:val="32"/>
          <w:szCs w:val="32"/>
        </w:rPr>
        <w:t>3.资金投入情况分析</w:t>
      </w:r>
      <w:r>
        <w:cr/>
      </w:r>
      <w:r>
        <w:rPr>
          <w:rStyle w:val="19"/>
          <w:rFonts w:hint="eastAsia" w:ascii="楷体" w:hAnsi="楷体" w:eastAsia="楷体" w:cs="楷体"/>
          <w:b w:val="0"/>
          <w:bCs w:val="0"/>
          <w:spacing w:val="-4"/>
          <w:sz w:val="32"/>
          <w:szCs w:val="32"/>
          <w:lang w:val="en-US" w:eastAsia="zh-CN"/>
        </w:rPr>
        <w:t xml:space="preserve">   </w:t>
      </w:r>
      <w:r>
        <w:rPr>
          <w:rStyle w:val="19"/>
          <w:rFonts w:hint="eastAsia" w:ascii="楷体" w:hAnsi="楷体" w:eastAsia="楷体" w:cs="楷体"/>
          <w:b/>
          <w:bCs/>
          <w:spacing w:val="-4"/>
          <w:sz w:val="32"/>
          <w:szCs w:val="32"/>
          <w:lang w:val="en-US" w:eastAsia="zh-CN"/>
        </w:rPr>
        <w:t xml:space="preserve"> </w:t>
      </w:r>
      <w:r>
        <w:rPr>
          <w:rStyle w:val="19"/>
          <w:rFonts w:hint="eastAsia" w:ascii="仿宋" w:hAnsi="仿宋" w:eastAsia="仿宋" w:cs="仿宋"/>
          <w:b/>
          <w:bCs/>
          <w:spacing w:val="-4"/>
          <w:sz w:val="32"/>
          <w:szCs w:val="32"/>
        </w:rPr>
        <w:t>（1）预算编制科学性</w:t>
      </w:r>
      <w:r>
        <w:cr/>
      </w:r>
      <w:r>
        <w:rPr>
          <w:rStyle w:val="19"/>
          <w:rFonts w:hint="eastAsia" w:ascii="仿宋" w:hAnsi="仿宋" w:eastAsia="仿宋" w:cs="仿宋"/>
          <w:b/>
          <w:bCs/>
          <w:spacing w:val="-4"/>
          <w:sz w:val="32"/>
          <w:szCs w:val="32"/>
          <w:lang w:val="en-US" w:eastAsia="zh-CN"/>
        </w:rPr>
        <w:t xml:space="preserve">    </w:t>
      </w:r>
      <w:r>
        <w:rPr>
          <w:rStyle w:val="19"/>
          <w:rFonts w:hint="eastAsia" w:ascii="仿宋" w:hAnsi="仿宋" w:eastAsia="仿宋" w:cs="仿宋"/>
          <w:b w:val="0"/>
          <w:bCs w:val="0"/>
          <w:spacing w:val="-4"/>
          <w:sz w:val="32"/>
          <w:szCs w:val="32"/>
        </w:rPr>
        <w:t>本项目预算编制涵盖宣传推广、赛事组织、咨询服务等关键环节，结合赛事规模、预期参赛人数及场地要求，确保设备的质量与数量能满足比赛与培训要求，即预算编制较科学且经过论证；</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val="0"/>
          <w:bCs w:val="0"/>
          <w:spacing w:val="-4"/>
          <w:sz w:val="32"/>
          <w:szCs w:val="32"/>
        </w:rPr>
        <w:t>预算申请内容为大赛开办咨询服务费、宣传费、评审专家机票等费用，项目实际内容为咨询服务费、评审专家机票费、办公宣传费用，预算申请与《全国工艺品雕刻工职业技能大赛（新疆赛区）选拔赛项目实施方案》中涉及的项目内容匹配；</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val="0"/>
          <w:bCs w:val="0"/>
          <w:spacing w:val="-4"/>
          <w:sz w:val="32"/>
          <w:szCs w:val="32"/>
        </w:rPr>
        <w:t>本项目预算申请资金23.9万元，我单位在预算申请中严格按照单位标准和数量进行核算，其中：为选拔赛场地布置、外宣等4.2万余元，数量为评委专家预计邀请16人，根据比赛项目及评审工作量确定，确保每个项目有足够专业评委把头。本项目预算额度测算依据充分，严格按照标准编制，预算确定资金量与实际工作任务相匹配；</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val="0"/>
          <w:bCs w:val="0"/>
          <w:spacing w:val="-4"/>
          <w:sz w:val="32"/>
          <w:szCs w:val="32"/>
        </w:rPr>
        <w:t>综上所述，本指标满分为4分，根据评分标准4分，本项目预算编制科学。</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bCs/>
          <w:spacing w:val="-4"/>
          <w:sz w:val="32"/>
          <w:szCs w:val="32"/>
        </w:rPr>
        <w:t>（2）资金分配合理性</w:t>
      </w:r>
      <w:r>
        <w:cr/>
      </w:r>
      <w:r>
        <w:rPr>
          <w:rStyle w:val="19"/>
          <w:rFonts w:hint="eastAsia" w:ascii="仿宋" w:hAnsi="仿宋" w:eastAsia="仿宋" w:cs="仿宋"/>
          <w:b/>
          <w:bCs/>
          <w:spacing w:val="-4"/>
          <w:sz w:val="32"/>
          <w:szCs w:val="32"/>
          <w:lang w:val="en-US" w:eastAsia="zh-CN"/>
        </w:rPr>
        <w:t xml:space="preserve">    </w:t>
      </w:r>
      <w:r>
        <w:rPr>
          <w:rStyle w:val="19"/>
          <w:rFonts w:hint="eastAsia" w:ascii="仿宋" w:hAnsi="仿宋" w:eastAsia="仿宋" w:cs="仿宋"/>
          <w:b w:val="0"/>
          <w:bCs w:val="0"/>
          <w:spacing w:val="-4"/>
          <w:sz w:val="32"/>
          <w:szCs w:val="32"/>
        </w:rPr>
        <w:t>本项目实际分配资金以《关于申请举办2024年全国行业职业技能竞赛-第七届全国珠宝玉石检测制作职业技能竞赛-全国工艺品雕刻工职业技能大赛（新疆赛区）选拔赛经费的请示》和《全国工艺品雕刻工职业技能大赛（新疆赛区）选拔赛项目实施方案》为依据进行资金分配，预算资金分配依据充分。根据《关于&lt;关于申请举办2024年全国行业职业技能竞赛-第七届全国珠宝玉石检测制作职业技能竞赛-全国工艺品雕刻工职业技能大赛（新疆赛区）选拔赛经费的请示&gt;办理情况的报告》文件显示，本项目实际到位资金23.9万元，实际分配资金与我单位提交申请的资金额度一致，资金分配额度合理，与我单位实际需求相适应。</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val="0"/>
          <w:bCs w:val="0"/>
          <w:spacing w:val="-4"/>
          <w:sz w:val="32"/>
          <w:szCs w:val="32"/>
        </w:rPr>
        <w:t>综上所述，本指标满分为2分，根据评分标准得2分，本项目资金分配合理。</w:t>
      </w:r>
      <w:r>
        <w:rPr>
          <w:rStyle w:val="19"/>
          <w:rFonts w:hint="eastAsia" w:ascii="仿宋" w:hAnsi="仿宋" w:eastAsia="仿宋" w:cs="仿宋"/>
          <w:b w:val="0"/>
          <w:bCs w:val="0"/>
          <w:spacing w:val="-4"/>
          <w:sz w:val="32"/>
          <w:szCs w:val="32"/>
          <w:lang w:eastAsia="zh-CN"/>
        </w:rPr>
        <w:tab/>
      </w:r>
    </w:p>
    <w:p w14:paraId="38403673">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9"/>
          <w:rFonts w:hint="eastAsia" w:ascii="楷体" w:hAnsi="楷体" w:eastAsia="楷体" w:cs="楷体"/>
          <w:b w:val="0"/>
          <w:bCs/>
          <w:spacing w:val="-4"/>
          <w:sz w:val="32"/>
          <w:szCs w:val="32"/>
        </w:rPr>
      </w:pPr>
      <w:r>
        <w:rPr>
          <w:rFonts w:hint="eastAsia" w:ascii="楷体" w:hAnsi="楷体" w:eastAsia="楷体" w:cs="楷体"/>
          <w:b w:val="0"/>
          <w:bCs/>
          <w:spacing w:val="-4"/>
          <w:sz w:val="32"/>
          <w:szCs w:val="32"/>
        </w:rPr>
        <w:t>（</w:t>
      </w:r>
      <w:r>
        <w:rPr>
          <w:rFonts w:hint="eastAsia" w:ascii="楷体" w:hAnsi="楷体" w:eastAsia="楷体" w:cs="楷体"/>
          <w:b w:val="0"/>
          <w:bCs/>
          <w:spacing w:val="-4"/>
          <w:sz w:val="32"/>
          <w:szCs w:val="32"/>
          <w:lang w:val="en-US" w:eastAsia="zh-CN"/>
        </w:rPr>
        <w:t>二</w:t>
      </w:r>
      <w:r>
        <w:rPr>
          <w:rFonts w:hint="eastAsia" w:ascii="楷体" w:hAnsi="楷体" w:eastAsia="楷体" w:cs="楷体"/>
          <w:b w:val="0"/>
          <w:bCs/>
          <w:spacing w:val="-4"/>
          <w:sz w:val="32"/>
          <w:szCs w:val="32"/>
        </w:rPr>
        <w:t>）</w:t>
      </w:r>
      <w:r>
        <w:rPr>
          <w:rStyle w:val="19"/>
          <w:rFonts w:hint="eastAsia" w:ascii="楷体" w:hAnsi="楷体" w:eastAsia="楷体" w:cs="楷体"/>
          <w:b w:val="0"/>
          <w:bCs/>
          <w:spacing w:val="-4"/>
          <w:sz w:val="32"/>
          <w:szCs w:val="32"/>
        </w:rPr>
        <w:t>项目过程情况</w:t>
      </w:r>
    </w:p>
    <w:p w14:paraId="08F68B4E">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项目过程管理类指标由2个二级指标和5个三级指标构成，权重分19分，实际得分19分。</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bCs/>
          <w:spacing w:val="-4"/>
          <w:sz w:val="32"/>
          <w:szCs w:val="32"/>
        </w:rPr>
        <w:t>1.资金管理情况分析</w:t>
      </w:r>
      <w:r>
        <w:cr/>
      </w:r>
      <w:r>
        <w:rPr>
          <w:rStyle w:val="19"/>
          <w:rFonts w:hint="eastAsia" w:ascii="仿宋" w:hAnsi="仿宋" w:eastAsia="仿宋" w:cs="仿宋"/>
          <w:b/>
          <w:bCs/>
          <w:spacing w:val="-4"/>
          <w:sz w:val="32"/>
          <w:szCs w:val="32"/>
          <w:lang w:val="en-US" w:eastAsia="zh-CN"/>
        </w:rPr>
        <w:t xml:space="preserve">    </w:t>
      </w:r>
      <w:r>
        <w:rPr>
          <w:rStyle w:val="19"/>
          <w:rFonts w:hint="eastAsia" w:ascii="仿宋" w:hAnsi="仿宋" w:eastAsia="仿宋" w:cs="仿宋"/>
          <w:b w:val="0"/>
          <w:bCs w:val="0"/>
          <w:spacing w:val="-4"/>
          <w:sz w:val="32"/>
          <w:szCs w:val="32"/>
        </w:rPr>
        <w:t>（1）资金到位率</w:t>
      </w:r>
      <w:r>
        <w:cr/>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val="0"/>
          <w:bCs w:val="0"/>
          <w:spacing w:val="-4"/>
          <w:sz w:val="32"/>
          <w:szCs w:val="32"/>
        </w:rPr>
        <w:t>本项目预算资金为23.9万元，其中：本级财政安排资金23.9万元，其他资金0万元，实际到位资金23.9万元，资金到位率100%。资金到位率=（实际到位资金/预算资金）×100%=（23.9/23.9）*100%=100%。得分=资金到位率*分值=100%*4=4分。</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val="0"/>
          <w:bCs w:val="0"/>
          <w:spacing w:val="-4"/>
          <w:sz w:val="32"/>
          <w:szCs w:val="32"/>
        </w:rPr>
        <w:t>综上所述，本指标满分为4分，根据评分标准得4分，本项目资金分配合理。</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bCs/>
          <w:spacing w:val="-4"/>
          <w:sz w:val="32"/>
          <w:szCs w:val="32"/>
        </w:rPr>
        <w:t>（2）预算执行率</w:t>
      </w:r>
      <w:r>
        <w:cr/>
      </w:r>
      <w:r>
        <w:rPr>
          <w:rStyle w:val="19"/>
          <w:rFonts w:hint="eastAsia" w:ascii="仿宋" w:hAnsi="仿宋" w:eastAsia="仿宋" w:cs="仿宋"/>
          <w:b/>
          <w:bCs/>
          <w:spacing w:val="-4"/>
          <w:sz w:val="32"/>
          <w:szCs w:val="32"/>
          <w:lang w:val="en-US" w:eastAsia="zh-CN"/>
        </w:rPr>
        <w:t xml:space="preserve">    </w:t>
      </w:r>
      <w:r>
        <w:rPr>
          <w:rStyle w:val="19"/>
          <w:rFonts w:hint="eastAsia" w:ascii="仿宋" w:hAnsi="仿宋" w:eastAsia="仿宋" w:cs="仿宋"/>
          <w:b w:val="0"/>
          <w:bCs w:val="0"/>
          <w:spacing w:val="-4"/>
          <w:sz w:val="32"/>
          <w:szCs w:val="32"/>
        </w:rPr>
        <w:t>本项目实际支出资金23.9万元，预算执行率=（实际支出资金/实际到位资金）×100%=（23.9/23.9）*100%=100%。得分=预算执行率*分值=100%*5=5分。</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val="0"/>
          <w:bCs w:val="0"/>
          <w:spacing w:val="-4"/>
          <w:sz w:val="32"/>
          <w:szCs w:val="32"/>
        </w:rPr>
        <w:t>综上所述，本指标满分为5分，根据评分标准得5分，本项目资金分配合理。</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bCs/>
          <w:spacing w:val="-4"/>
          <w:sz w:val="32"/>
          <w:szCs w:val="32"/>
        </w:rPr>
        <w:t>（3）资金使用合规性</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val="0"/>
          <w:bCs w:val="0"/>
          <w:spacing w:val="-4"/>
          <w:sz w:val="32"/>
          <w:szCs w:val="32"/>
        </w:rPr>
        <w:t>通过检查本项目签订的合同、资金申请文件、发票等财务付款凭证，得出本项目资金支出符合国家财经法规、《政府会计制度》以及《和田玉保护发展中心单位资金管理办法》《全国工艺品雕刻工职业技能竞赛（新疆赛区）选拔赛活动专项资金管理办法》，资金的拨付有完整的审批程序和手续，资金实际使用方向与预算批复用途一致，不存在截留、挤占、挪用、虚列支出的情况。</w:t>
      </w:r>
    </w:p>
    <w:p w14:paraId="0D101A11">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9"/>
          <w:rFonts w:hint="eastAsia" w:ascii="仿宋" w:hAnsi="仿宋" w:eastAsia="仿宋" w:cs="仿宋"/>
          <w:b/>
          <w:bCs/>
          <w:spacing w:val="-4"/>
          <w:sz w:val="32"/>
          <w:szCs w:val="32"/>
        </w:rPr>
      </w:pPr>
      <w:r>
        <w:rPr>
          <w:rStyle w:val="19"/>
          <w:rFonts w:hint="eastAsia" w:ascii="仿宋" w:hAnsi="仿宋" w:eastAsia="仿宋" w:cs="仿宋"/>
          <w:b w:val="0"/>
          <w:bCs w:val="0"/>
          <w:spacing w:val="-4"/>
          <w:sz w:val="32"/>
          <w:szCs w:val="32"/>
        </w:rPr>
        <w:t>综上所述，本指标满分为4分，根据评分标准得4分，资金支出符合我单位财务管理制度规定。</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楷体" w:hAnsi="楷体" w:eastAsia="楷体" w:cs="楷体"/>
          <w:b w:val="0"/>
          <w:bCs w:val="0"/>
          <w:spacing w:val="-4"/>
          <w:sz w:val="32"/>
          <w:szCs w:val="32"/>
        </w:rPr>
        <w:t>2.组织实施情况分析</w:t>
      </w:r>
      <w:r>
        <w:cr/>
      </w:r>
      <w:r>
        <w:rPr>
          <w:rStyle w:val="19"/>
          <w:rFonts w:hint="eastAsia" w:ascii="楷体" w:hAnsi="楷体" w:eastAsia="楷体" w:cs="楷体"/>
          <w:b w:val="0"/>
          <w:bCs w:val="0"/>
          <w:spacing w:val="-4"/>
          <w:sz w:val="32"/>
          <w:szCs w:val="32"/>
          <w:lang w:val="en-US" w:eastAsia="zh-CN"/>
        </w:rPr>
        <w:t xml:space="preserve">   </w:t>
      </w:r>
      <w:r>
        <w:rPr>
          <w:rStyle w:val="19"/>
          <w:rFonts w:hint="eastAsia" w:ascii="楷体" w:hAnsi="楷体" w:eastAsia="楷体" w:cs="楷体"/>
          <w:b/>
          <w:bCs/>
          <w:spacing w:val="-4"/>
          <w:sz w:val="32"/>
          <w:szCs w:val="32"/>
          <w:lang w:val="en-US" w:eastAsia="zh-CN"/>
        </w:rPr>
        <w:t xml:space="preserve"> </w:t>
      </w:r>
      <w:r>
        <w:rPr>
          <w:rStyle w:val="19"/>
          <w:rFonts w:hint="eastAsia" w:ascii="仿宋" w:hAnsi="仿宋" w:eastAsia="仿宋" w:cs="仿宋"/>
          <w:b/>
          <w:bCs/>
          <w:spacing w:val="-4"/>
          <w:sz w:val="32"/>
          <w:szCs w:val="32"/>
        </w:rPr>
        <w:t>（1）管理制度健全性</w:t>
      </w:r>
    </w:p>
    <w:p w14:paraId="29C3F7B7">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我单位已制定《全国工艺品雕刻工职业技能竞赛（新疆赛区）选拔赛活动经费资金管理办法》《全国工艺品雕刻工职业技能竞赛（新疆赛区）选拔赛活动经费收支业务管理制度》《全国工艺品雕刻工职业技能竞赛（新疆赛区）选拔赛活动经费政府采购业务管理制度》，上述已建立的制度均符合行政事业单位内控管理要求，财务和业务管理制度合法、合规、完整，本项目执行符合上述制度规定。</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val="0"/>
          <w:bCs w:val="0"/>
          <w:spacing w:val="-4"/>
          <w:sz w:val="32"/>
          <w:szCs w:val="32"/>
        </w:rPr>
        <w:t>综上所述，本指标满分为2分，根据评分标准得2分，项目制度建设健全。</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bCs/>
          <w:spacing w:val="-4"/>
          <w:sz w:val="32"/>
          <w:szCs w:val="32"/>
        </w:rPr>
        <w:t>（2）制度执行有效性</w:t>
      </w:r>
      <w:r>
        <w:cr/>
      </w:r>
      <w:r>
        <w:rPr>
          <w:rStyle w:val="19"/>
          <w:rFonts w:hint="eastAsia" w:ascii="仿宋" w:hAnsi="仿宋" w:eastAsia="仿宋" w:cs="仿宋"/>
          <w:b/>
          <w:bCs/>
          <w:spacing w:val="-4"/>
          <w:sz w:val="32"/>
          <w:szCs w:val="32"/>
          <w:lang w:val="en-US" w:eastAsia="zh-CN"/>
        </w:rPr>
        <w:t xml:space="preserve">    </w:t>
      </w:r>
      <w:r>
        <w:rPr>
          <w:rStyle w:val="19"/>
          <w:rFonts w:hint="eastAsia" w:ascii="仿宋" w:hAnsi="仿宋" w:eastAsia="仿宋" w:cs="仿宋"/>
          <w:b w:val="0"/>
          <w:bCs w:val="0"/>
          <w:spacing w:val="-4"/>
          <w:sz w:val="32"/>
          <w:szCs w:val="32"/>
        </w:rPr>
        <w:t>经对比分析本项目实际执行过程资料和已建立的项目管理制度和财务管理制度，得出本项目严格按照本单位已建立制度执行。项目资金支出严格按照自治区、地区</w:t>
      </w:r>
      <w:bookmarkStart w:id="0" w:name="_GoBack"/>
      <w:bookmarkEnd w:id="0"/>
      <w:r>
        <w:rPr>
          <w:rStyle w:val="19"/>
          <w:rFonts w:hint="eastAsia" w:ascii="仿宋" w:hAnsi="仿宋" w:eastAsia="仿宋" w:cs="仿宋"/>
          <w:b w:val="0"/>
          <w:bCs w:val="0"/>
          <w:spacing w:val="-4"/>
          <w:sz w:val="32"/>
          <w:szCs w:val="32"/>
        </w:rPr>
        <w:t>以及本单位资金管理办法执行，项目启动实施后，为了加快本项目的实施，成立了全国工艺品雕刻工职业技能竞赛（新疆赛区）选拔赛活动经费项目工作领导小组，由党支部书记史培宏任组长，负责项目的组织工作；陈丽娜任副组长，负责项目的实施工作；组员包括胡春仙，主要负责项目监督管理、验收以及资金核拨等工作。</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val="0"/>
          <w:bCs w:val="0"/>
          <w:spacing w:val="-4"/>
          <w:sz w:val="32"/>
          <w:szCs w:val="32"/>
        </w:rPr>
        <w:t>综上所述，本指标满分为4分，根据评分标准得4分，本项目所建立制度执行有效。</w:t>
      </w:r>
    </w:p>
    <w:p w14:paraId="12C471BF">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Fonts w:hint="eastAsia" w:ascii="仿宋" w:hAnsi="仿宋" w:eastAsia="仿宋" w:cs="仿宋"/>
          <w:b/>
          <w:spacing w:val="-4"/>
          <w:sz w:val="32"/>
          <w:szCs w:val="32"/>
        </w:rPr>
      </w:pPr>
      <w:r>
        <w:rPr>
          <w:rFonts w:hint="eastAsia" w:ascii="楷体" w:hAnsi="楷体" w:eastAsia="楷体" w:cs="楷体"/>
          <w:b w:val="0"/>
          <w:bCs/>
          <w:spacing w:val="-4"/>
          <w:sz w:val="32"/>
          <w:szCs w:val="32"/>
        </w:rPr>
        <w:t>（</w:t>
      </w:r>
      <w:r>
        <w:rPr>
          <w:rFonts w:hint="eastAsia" w:ascii="楷体" w:hAnsi="楷体" w:eastAsia="楷体" w:cs="楷体"/>
          <w:b w:val="0"/>
          <w:bCs/>
          <w:spacing w:val="-4"/>
          <w:sz w:val="32"/>
          <w:szCs w:val="32"/>
          <w:lang w:val="en-US" w:eastAsia="zh-CN"/>
        </w:rPr>
        <w:t>三</w:t>
      </w:r>
      <w:r>
        <w:rPr>
          <w:rFonts w:hint="eastAsia" w:ascii="楷体" w:hAnsi="楷体" w:eastAsia="楷体" w:cs="楷体"/>
          <w:b w:val="0"/>
          <w:bCs/>
          <w:spacing w:val="-4"/>
          <w:sz w:val="32"/>
          <w:szCs w:val="32"/>
        </w:rPr>
        <w:t>）</w:t>
      </w:r>
      <w:r>
        <w:rPr>
          <w:rStyle w:val="19"/>
          <w:rFonts w:hint="eastAsia" w:ascii="楷体" w:hAnsi="楷体" w:eastAsia="楷体" w:cs="楷体"/>
          <w:b w:val="0"/>
          <w:bCs/>
          <w:spacing w:val="-4"/>
          <w:sz w:val="32"/>
          <w:szCs w:val="32"/>
        </w:rPr>
        <w:t>项目产出情况</w:t>
      </w:r>
    </w:p>
    <w:p w14:paraId="76645A23">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项目产出类指标由4个二级指标和5个三级指标构成，权重分20分，实际得分20分。</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bCs/>
          <w:spacing w:val="-4"/>
          <w:sz w:val="32"/>
          <w:szCs w:val="32"/>
        </w:rPr>
        <w:t>1.数量指标完成情况分析</w:t>
      </w:r>
      <w:r>
        <w:cr/>
      </w:r>
      <w:r>
        <w:rPr>
          <w:rStyle w:val="19"/>
          <w:rFonts w:hint="eastAsia" w:ascii="仿宋" w:hAnsi="仿宋" w:eastAsia="仿宋" w:cs="仿宋"/>
          <w:b/>
          <w:bCs/>
          <w:spacing w:val="-4"/>
          <w:sz w:val="32"/>
          <w:szCs w:val="32"/>
          <w:lang w:val="en-US" w:eastAsia="zh-CN"/>
        </w:rPr>
        <w:t xml:space="preserve">    </w:t>
      </w:r>
      <w:r>
        <w:rPr>
          <w:rStyle w:val="19"/>
          <w:rFonts w:hint="eastAsia" w:ascii="仿宋" w:hAnsi="仿宋" w:eastAsia="仿宋" w:cs="仿宋"/>
          <w:b w:val="0"/>
          <w:bCs w:val="0"/>
          <w:spacing w:val="-4"/>
          <w:sz w:val="32"/>
          <w:szCs w:val="32"/>
        </w:rPr>
        <w:t>"参加活动选手人数:预期指标值为≥30人，实际完成值为=30人,指标完成率为100%。"</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bCs/>
          <w:spacing w:val="-4"/>
          <w:sz w:val="32"/>
          <w:szCs w:val="32"/>
        </w:rPr>
        <w:t>2.质量指标完成情况分析</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val="0"/>
          <w:bCs w:val="0"/>
          <w:spacing w:val="-4"/>
          <w:sz w:val="32"/>
          <w:szCs w:val="32"/>
        </w:rPr>
        <w:t>“活动举办完成率”指标：预期指标值为=100%，实际完成指标值为=100%，指标完成率为=100%。</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bCs/>
          <w:spacing w:val="-4"/>
          <w:sz w:val="32"/>
          <w:szCs w:val="32"/>
        </w:rPr>
        <w:t>3.时效指标完成情况分析</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val="0"/>
          <w:bCs w:val="0"/>
          <w:spacing w:val="-4"/>
          <w:sz w:val="32"/>
          <w:szCs w:val="32"/>
        </w:rPr>
        <w:t>“活动开展及时率”指标：预期指标值为=100%，实际完成指标值为=100%，指标完成率为=100%。</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bCs/>
          <w:spacing w:val="-4"/>
          <w:sz w:val="32"/>
          <w:szCs w:val="32"/>
          <w:lang w:val="en-US" w:eastAsia="zh-CN"/>
        </w:rPr>
        <w:t xml:space="preserve"> </w:t>
      </w:r>
      <w:r>
        <w:rPr>
          <w:rStyle w:val="19"/>
          <w:rFonts w:hint="eastAsia" w:ascii="仿宋" w:hAnsi="仿宋" w:eastAsia="仿宋" w:cs="仿宋"/>
          <w:b/>
          <w:bCs/>
          <w:spacing w:val="-4"/>
          <w:sz w:val="32"/>
          <w:szCs w:val="32"/>
        </w:rPr>
        <w:t>4.成本指标完成情况分析</w:t>
      </w:r>
      <w:r>
        <w:cr/>
      </w:r>
      <w:r>
        <w:rPr>
          <w:rStyle w:val="19"/>
          <w:rFonts w:hint="eastAsia" w:ascii="仿宋" w:hAnsi="仿宋" w:eastAsia="仿宋" w:cs="仿宋"/>
          <w:b/>
          <w:bCs/>
          <w:spacing w:val="-4"/>
          <w:sz w:val="32"/>
          <w:szCs w:val="32"/>
          <w:lang w:val="en-US" w:eastAsia="zh-CN"/>
        </w:rPr>
        <w:t xml:space="preserve">   </w:t>
      </w:r>
      <w:r>
        <w:rPr>
          <w:rStyle w:val="19"/>
          <w:rFonts w:hint="eastAsia" w:ascii="仿宋" w:hAnsi="仿宋" w:eastAsia="仿宋" w:cs="仿宋"/>
          <w:b w:val="0"/>
          <w:bCs w:val="0"/>
          <w:spacing w:val="-4"/>
          <w:sz w:val="32"/>
          <w:szCs w:val="32"/>
        </w:rPr>
        <w:t>“活动经费成本”指标：预期指标值为≤8.9万元，实际完成指标值为=8.9万元，指标完成率为100%。</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val="0"/>
          <w:bCs w:val="0"/>
          <w:spacing w:val="-4"/>
          <w:sz w:val="32"/>
          <w:szCs w:val="32"/>
        </w:rPr>
        <w:t>“赛事咨询服务费”指标：预期指标值为≤15万元，实际完成指标值为=15万元，指标完成率为100%。</w:t>
      </w:r>
    </w:p>
    <w:p w14:paraId="110B381B">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Fonts w:hint="eastAsia" w:ascii="仿宋" w:hAnsi="仿宋" w:eastAsia="仿宋" w:cs="仿宋"/>
          <w:b/>
          <w:spacing w:val="-4"/>
          <w:sz w:val="32"/>
          <w:szCs w:val="32"/>
        </w:rPr>
      </w:pPr>
      <w:r>
        <w:rPr>
          <w:rFonts w:hint="eastAsia" w:ascii="楷体" w:hAnsi="楷体" w:eastAsia="楷体" w:cs="楷体"/>
          <w:b w:val="0"/>
          <w:bCs/>
          <w:spacing w:val="-4"/>
          <w:sz w:val="32"/>
          <w:szCs w:val="32"/>
        </w:rPr>
        <w:t>（</w:t>
      </w:r>
      <w:r>
        <w:rPr>
          <w:rFonts w:hint="eastAsia" w:ascii="楷体" w:hAnsi="楷体" w:eastAsia="楷体" w:cs="楷体"/>
          <w:b w:val="0"/>
          <w:bCs/>
          <w:spacing w:val="-4"/>
          <w:sz w:val="32"/>
          <w:szCs w:val="32"/>
          <w:lang w:val="en-US" w:eastAsia="zh-CN"/>
        </w:rPr>
        <w:t>四</w:t>
      </w:r>
      <w:r>
        <w:rPr>
          <w:rFonts w:hint="eastAsia" w:ascii="楷体" w:hAnsi="楷体" w:eastAsia="楷体" w:cs="楷体"/>
          <w:b w:val="0"/>
          <w:bCs/>
          <w:spacing w:val="-4"/>
          <w:sz w:val="32"/>
          <w:szCs w:val="32"/>
        </w:rPr>
        <w:t>）</w:t>
      </w:r>
      <w:r>
        <w:rPr>
          <w:rStyle w:val="19"/>
          <w:rFonts w:hint="eastAsia" w:ascii="楷体" w:hAnsi="楷体" w:eastAsia="楷体" w:cs="楷体"/>
          <w:b w:val="0"/>
          <w:bCs/>
          <w:spacing w:val="-4"/>
          <w:sz w:val="32"/>
          <w:szCs w:val="32"/>
        </w:rPr>
        <w:t>项目效益情况</w:t>
      </w:r>
    </w:p>
    <w:p w14:paraId="4FB36A6E">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项目效益类指标由2个二级指标和2个三级指标构成，权重分40分，实际得分40分。</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bCs/>
          <w:spacing w:val="-4"/>
          <w:sz w:val="32"/>
          <w:szCs w:val="32"/>
          <w:lang w:val="en-US" w:eastAsia="zh-CN"/>
        </w:rPr>
        <w:t xml:space="preserve">  </w:t>
      </w:r>
      <w:r>
        <w:rPr>
          <w:rStyle w:val="19"/>
          <w:rFonts w:hint="eastAsia" w:ascii="仿宋" w:hAnsi="仿宋" w:eastAsia="仿宋" w:cs="仿宋"/>
          <w:b/>
          <w:bCs/>
          <w:spacing w:val="-4"/>
          <w:sz w:val="32"/>
          <w:szCs w:val="32"/>
        </w:rPr>
        <w:t>1.经济效益完成情况分析</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val="0"/>
          <w:bCs w:val="0"/>
          <w:spacing w:val="-4"/>
          <w:sz w:val="32"/>
          <w:szCs w:val="32"/>
        </w:rPr>
        <w:t>无。</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bCs/>
          <w:spacing w:val="-4"/>
          <w:sz w:val="32"/>
          <w:szCs w:val="32"/>
          <w:lang w:val="en-US" w:eastAsia="zh-CN"/>
        </w:rPr>
        <w:t xml:space="preserve"> </w:t>
      </w:r>
      <w:r>
        <w:rPr>
          <w:rStyle w:val="19"/>
          <w:rFonts w:hint="eastAsia" w:ascii="仿宋" w:hAnsi="仿宋" w:eastAsia="仿宋" w:cs="仿宋"/>
          <w:b/>
          <w:bCs/>
          <w:spacing w:val="-4"/>
          <w:sz w:val="32"/>
          <w:szCs w:val="32"/>
        </w:rPr>
        <w:t>2.社会效益完成情况分析</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val="0"/>
          <w:bCs w:val="0"/>
          <w:spacing w:val="-4"/>
          <w:sz w:val="32"/>
          <w:szCs w:val="32"/>
        </w:rPr>
        <w:t>“发挥职业技能竞赛在人才培养和激励方面的积极作用”指标：预期指标值为效果显著，实际完成指标值为基本达成目标，指标完成率为100%。</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bCs/>
          <w:spacing w:val="-4"/>
          <w:sz w:val="32"/>
          <w:szCs w:val="32"/>
        </w:rPr>
        <w:t>3.生态效益完成情况分析</w:t>
      </w:r>
      <w:r>
        <w:cr/>
      </w:r>
      <w:r>
        <w:rPr>
          <w:rStyle w:val="19"/>
          <w:rFonts w:hint="eastAsia" w:ascii="仿宋" w:hAnsi="仿宋" w:eastAsia="仿宋" w:cs="仿宋"/>
          <w:b/>
          <w:bCs/>
          <w:spacing w:val="-4"/>
          <w:sz w:val="32"/>
          <w:szCs w:val="32"/>
          <w:lang w:val="en-US" w:eastAsia="zh-CN"/>
        </w:rPr>
        <w:t xml:space="preserve">    </w:t>
      </w:r>
      <w:r>
        <w:rPr>
          <w:rStyle w:val="19"/>
          <w:rFonts w:hint="eastAsia" w:ascii="仿宋" w:hAnsi="仿宋" w:eastAsia="仿宋" w:cs="仿宋"/>
          <w:b w:val="0"/>
          <w:bCs w:val="0"/>
          <w:spacing w:val="-4"/>
          <w:sz w:val="32"/>
          <w:szCs w:val="32"/>
        </w:rPr>
        <w:t>无。</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bCs/>
          <w:spacing w:val="-4"/>
          <w:sz w:val="32"/>
          <w:szCs w:val="32"/>
        </w:rPr>
        <w:t>4.可持续影响完成情况分析</w:t>
      </w:r>
      <w:r>
        <w:cr/>
      </w:r>
      <w:r>
        <w:rPr>
          <w:rStyle w:val="19"/>
          <w:rFonts w:hint="eastAsia" w:ascii="仿宋" w:hAnsi="仿宋" w:eastAsia="仿宋" w:cs="仿宋"/>
          <w:b/>
          <w:bCs/>
          <w:spacing w:val="-4"/>
          <w:sz w:val="32"/>
          <w:szCs w:val="32"/>
          <w:lang w:val="en-US" w:eastAsia="zh-CN"/>
        </w:rPr>
        <w:t xml:space="preserve">    </w:t>
      </w:r>
      <w:r>
        <w:rPr>
          <w:rStyle w:val="19"/>
          <w:rFonts w:hint="eastAsia" w:ascii="仿宋" w:hAnsi="仿宋" w:eastAsia="仿宋" w:cs="仿宋"/>
          <w:b w:val="0"/>
          <w:bCs w:val="0"/>
          <w:spacing w:val="-4"/>
          <w:sz w:val="32"/>
          <w:szCs w:val="32"/>
        </w:rPr>
        <w:t>无。</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bCs/>
          <w:spacing w:val="-4"/>
          <w:sz w:val="32"/>
          <w:szCs w:val="32"/>
        </w:rPr>
        <w:t>5.满意度指标完成情况分析</w:t>
      </w:r>
      <w:r>
        <w:cr/>
      </w:r>
      <w:r>
        <w:rPr>
          <w:rStyle w:val="19"/>
          <w:rFonts w:hint="eastAsia" w:ascii="仿宋" w:hAnsi="仿宋" w:eastAsia="仿宋" w:cs="仿宋"/>
          <w:b/>
          <w:bCs/>
          <w:spacing w:val="-4"/>
          <w:sz w:val="32"/>
          <w:szCs w:val="32"/>
          <w:lang w:val="en-US" w:eastAsia="zh-CN"/>
        </w:rPr>
        <w:t xml:space="preserve">    </w:t>
      </w:r>
      <w:r>
        <w:rPr>
          <w:rStyle w:val="19"/>
          <w:rFonts w:hint="eastAsia" w:ascii="仿宋" w:hAnsi="仿宋" w:eastAsia="仿宋" w:cs="仿宋"/>
          <w:b w:val="0"/>
          <w:bCs w:val="0"/>
          <w:spacing w:val="-4"/>
          <w:sz w:val="32"/>
          <w:szCs w:val="32"/>
        </w:rPr>
        <w:t>“受益人员满意度”指标：预期指标值为≥95%，实际完成指标值为=100%，指标完成率为100%。</w:t>
      </w:r>
    </w:p>
    <w:p w14:paraId="749A5F5A">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9"/>
          <w:rFonts w:hint="eastAsia" w:ascii="黑体" w:hAnsi="黑体" w:eastAsia="黑体" w:cs="黑体"/>
          <w:b w:val="0"/>
          <w:spacing w:val="-4"/>
          <w:sz w:val="32"/>
          <w:szCs w:val="32"/>
        </w:rPr>
      </w:pPr>
      <w:r>
        <w:rPr>
          <w:rStyle w:val="19"/>
          <w:rFonts w:hint="eastAsia" w:ascii="黑体" w:hAnsi="黑体" w:eastAsia="黑体" w:cs="黑体"/>
          <w:b w:val="0"/>
          <w:spacing w:val="-4"/>
          <w:sz w:val="32"/>
          <w:szCs w:val="32"/>
        </w:rPr>
        <w:t>五、预算执行进度与绩效指标偏差</w:t>
      </w:r>
    </w:p>
    <w:p w14:paraId="361F918B">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9"/>
          <w:rFonts w:hint="eastAsia" w:ascii="仿宋" w:hAnsi="仿宋" w:eastAsia="仿宋" w:cs="仿宋"/>
          <w:spacing w:val="-4"/>
          <w:sz w:val="32"/>
          <w:szCs w:val="32"/>
        </w:rPr>
      </w:pPr>
      <w:r>
        <w:rPr>
          <w:rStyle w:val="19"/>
          <w:rFonts w:hint="eastAsia" w:ascii="仿宋" w:hAnsi="仿宋" w:eastAsia="仿宋" w:cs="仿宋"/>
          <w:b w:val="0"/>
          <w:bCs w:val="0"/>
          <w:spacing w:val="-4"/>
          <w:sz w:val="32"/>
          <w:szCs w:val="32"/>
        </w:rPr>
        <w:t>本项目年初预算资金总额为23.9万元，全年预算数为23.9万元，全年执行数为23.9万元，预算执行率为100%。</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val="0"/>
          <w:bCs w:val="0"/>
          <w:spacing w:val="-4"/>
          <w:sz w:val="32"/>
          <w:szCs w:val="32"/>
        </w:rPr>
        <w:t>本项目共设置三级指标数量7个，满分指标数量7个，扣分指标数量0个，经分析计算所有三级指标完成率得出，本项目总体完成率为100%。</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val="0"/>
          <w:bCs w:val="0"/>
          <w:spacing w:val="-4"/>
          <w:sz w:val="32"/>
          <w:szCs w:val="32"/>
        </w:rPr>
        <w:t>综上所述本项目预算执行率与总体完成率之间的偏差为0%。</w:t>
      </w:r>
    </w:p>
    <w:p w14:paraId="62DBF379">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9"/>
          <w:rFonts w:hint="eastAsia" w:ascii="黑体" w:hAnsi="黑体" w:eastAsia="黑体" w:cs="黑体"/>
          <w:b w:val="0"/>
          <w:spacing w:val="-4"/>
          <w:sz w:val="32"/>
          <w:szCs w:val="32"/>
        </w:rPr>
      </w:pPr>
      <w:r>
        <w:rPr>
          <w:rStyle w:val="19"/>
          <w:rFonts w:hint="eastAsia" w:ascii="黑体" w:hAnsi="黑体" w:eastAsia="黑体" w:cs="黑体"/>
          <w:b w:val="0"/>
          <w:spacing w:val="-4"/>
          <w:sz w:val="32"/>
          <w:szCs w:val="32"/>
        </w:rPr>
        <w:t>六、主要经验及做法、存在的问题及原因分析</w:t>
      </w:r>
    </w:p>
    <w:p w14:paraId="048FF368">
      <w:pPr>
        <w:keepNext w:val="0"/>
        <w:keepLines w:val="0"/>
        <w:pageBreakBefore w:val="0"/>
        <w:widowControl w:val="0"/>
        <w:kinsoku/>
        <w:wordWrap/>
        <w:overflowPunct/>
        <w:topLinePunct w:val="0"/>
        <w:autoSpaceDE/>
        <w:autoSpaceDN/>
        <w:bidi w:val="0"/>
        <w:adjustRightInd/>
        <w:snapToGrid/>
        <w:spacing w:line="540" w:lineRule="exact"/>
        <w:ind w:left="638" w:leftChars="304" w:firstLine="0" w:firstLineChars="0"/>
        <w:textAlignment w:val="auto"/>
        <w:rPr>
          <w:rStyle w:val="19"/>
          <w:rFonts w:hint="eastAsia" w:ascii="楷体" w:hAnsi="楷体" w:eastAsia="楷体" w:cs="楷体"/>
          <w:b w:val="0"/>
          <w:bCs w:val="0"/>
          <w:spacing w:val="-4"/>
          <w:sz w:val="32"/>
          <w:szCs w:val="32"/>
        </w:rPr>
      </w:pPr>
      <w:r>
        <w:rPr>
          <w:rStyle w:val="19"/>
          <w:rFonts w:hint="eastAsia" w:ascii="楷体" w:hAnsi="楷体" w:eastAsia="楷体" w:cs="楷体"/>
          <w:b w:val="0"/>
          <w:bCs w:val="0"/>
          <w:spacing w:val="-4"/>
          <w:sz w:val="32"/>
          <w:szCs w:val="32"/>
        </w:rPr>
        <w:t>（一）主要经验及做法</w:t>
      </w:r>
    </w:p>
    <w:p w14:paraId="563D2598">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Fonts w:hint="eastAsia" w:ascii="仿宋" w:hAnsi="仿宋" w:eastAsia="仿宋" w:cs="仿宋"/>
          <w:spacing w:val="-4"/>
          <w:sz w:val="32"/>
          <w:szCs w:val="32"/>
        </w:rPr>
      </w:pPr>
      <w:r>
        <w:rPr>
          <w:rStyle w:val="19"/>
          <w:rFonts w:hint="eastAsia" w:ascii="仿宋" w:hAnsi="仿宋" w:eastAsia="仿宋" w:cs="仿宋"/>
          <w:b w:val="0"/>
          <w:bCs w:val="0"/>
          <w:spacing w:val="-4"/>
          <w:sz w:val="32"/>
          <w:szCs w:val="32"/>
        </w:rPr>
        <w:t>一是邀请雕刻领域资深专家、行业协会骨干以及赛事组织经验丰富的人员，共同组建筹备委员会，负责赛事整体规划与决策。专家把控比赛专业方向，协会人员提供行业资源支持，组织者保障赛事流程顺畅；</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val="0"/>
          <w:bCs w:val="0"/>
          <w:spacing w:val="-4"/>
          <w:sz w:val="32"/>
          <w:szCs w:val="32"/>
        </w:rPr>
        <w:t>二是依据国家职业技能标准，结合工艺品雕刻行业发展趋势，制定详细评分细则，涵盖作品创意、工艺技巧、材质运用、完成度等维度，确保评判公正、科学，同时提前明确比赛流程、时间节点、安全规范，让选手和工作人员清晰了解赛事要求。</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val="0"/>
          <w:bCs w:val="0"/>
          <w:spacing w:val="-4"/>
          <w:sz w:val="32"/>
          <w:szCs w:val="32"/>
        </w:rPr>
        <w:t>三是按照场地构架选择比赛需求划分雕刻区、展示区、休息区，安排专人负责现场秩序维护，确保比赛安全有序进行。</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楷体" w:hAnsi="楷体" w:eastAsia="楷体" w:cs="楷体"/>
          <w:b w:val="0"/>
          <w:bCs w:val="0"/>
          <w:spacing w:val="-4"/>
          <w:sz w:val="32"/>
          <w:szCs w:val="32"/>
        </w:rPr>
        <w:t>（二）存在的问题及原因分析</w:t>
      </w:r>
      <w:r>
        <w:cr/>
      </w:r>
      <w:r>
        <w:rPr>
          <w:rStyle w:val="19"/>
          <w:rFonts w:hint="eastAsia" w:ascii="楷体" w:hAnsi="楷体" w:eastAsia="楷体" w:cs="楷体"/>
          <w:b w:val="0"/>
          <w:bCs w:val="0"/>
          <w:spacing w:val="-4"/>
          <w:sz w:val="32"/>
          <w:szCs w:val="32"/>
          <w:lang w:val="en-US" w:eastAsia="zh-CN"/>
        </w:rPr>
        <w:t xml:space="preserve">    </w:t>
      </w:r>
      <w:r>
        <w:rPr>
          <w:rStyle w:val="19"/>
          <w:rFonts w:hint="eastAsia" w:ascii="仿宋" w:hAnsi="仿宋" w:eastAsia="仿宋" w:cs="仿宋"/>
          <w:b w:val="0"/>
          <w:bCs w:val="0"/>
          <w:spacing w:val="-4"/>
          <w:sz w:val="32"/>
          <w:szCs w:val="32"/>
        </w:rPr>
        <w:t>1.比赛场地空间有限，选手雕刻区较为拥挤，且周边配套设施不完善，如休息区座椅数量不足，影响选手比赛状态与体验；部分雕刻设备在比赛期间出现故障，如电动雕刻刀卡顿、打磨机功率不稳定，导致选手作品进度受阻，影响比赛公平性;筹备资金有限，在场地租赁上无法选择条件更优的大型场地，无法选择条件更优的大型场地，设备老旧，质量难以保障;赛前设备检查仅流于表面，未进行深度性能检测，日常缺乏定期维护保养，导致设备易出现故障。</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val="0"/>
          <w:bCs w:val="0"/>
          <w:spacing w:val="-4"/>
          <w:sz w:val="32"/>
          <w:szCs w:val="32"/>
        </w:rPr>
        <w:t>2.预算绩效理念尚未真正树立，管理意识有待强化。主要问题是部分政府部门仍存在"重投入轻产出"的传统思维，对预算绩效管理的认识停留在表面层次。原因在于长期形成的预算管理惯性思维难以转变，部分领导干部对绩效管理的重要性认识不足，将预算绩效简单等同于财务控制，未能将其作为提升治理效能的重要抓手。绩效文化培育不足，基层工作人员对绩效管理的理解和参与度较低，导致绩效理念难以贯穿预算全过程。这种认知偏差使得绩效管理流于形式，难以真正发挥提升资金效益的作用。</w:t>
      </w:r>
    </w:p>
    <w:p w14:paraId="75227005">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9"/>
          <w:rFonts w:hint="eastAsia" w:ascii="黑体" w:hAnsi="黑体" w:eastAsia="黑体" w:cs="黑体"/>
          <w:b w:val="0"/>
          <w:spacing w:val="-4"/>
          <w:sz w:val="32"/>
          <w:szCs w:val="32"/>
        </w:rPr>
      </w:pPr>
      <w:r>
        <w:rPr>
          <w:rStyle w:val="19"/>
          <w:rFonts w:hint="eastAsia" w:ascii="黑体" w:hAnsi="黑体" w:eastAsia="黑体" w:cs="黑体"/>
          <w:b w:val="0"/>
          <w:spacing w:val="-4"/>
          <w:sz w:val="32"/>
          <w:szCs w:val="32"/>
          <w:lang w:val="en-US" w:eastAsia="zh-CN"/>
        </w:rPr>
        <w:t>七</w:t>
      </w:r>
      <w:r>
        <w:rPr>
          <w:rStyle w:val="19"/>
          <w:rFonts w:hint="eastAsia" w:ascii="黑体" w:hAnsi="黑体" w:eastAsia="黑体" w:cs="黑体"/>
          <w:b w:val="0"/>
          <w:spacing w:val="-4"/>
          <w:sz w:val="32"/>
          <w:szCs w:val="32"/>
        </w:rPr>
        <w:t>、有关建议</w:t>
      </w:r>
    </w:p>
    <w:p w14:paraId="44F605FA">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9"/>
          <w:rFonts w:hint="eastAsia" w:ascii="仿宋" w:hAnsi="仿宋" w:eastAsia="仿宋" w:cs="仿宋"/>
          <w:spacing w:val="-4"/>
          <w:sz w:val="32"/>
          <w:szCs w:val="32"/>
        </w:rPr>
      </w:pPr>
      <w:r>
        <w:rPr>
          <w:rStyle w:val="19"/>
          <w:rFonts w:hint="eastAsia" w:ascii="仿宋" w:hAnsi="仿宋" w:eastAsia="仿宋" w:cs="仿宋"/>
          <w:b w:val="0"/>
          <w:bCs w:val="0"/>
          <w:spacing w:val="-4"/>
          <w:sz w:val="32"/>
          <w:szCs w:val="32"/>
        </w:rPr>
        <w:t>（一）首先优化场地布局，通过模块化可拆卸隔断划分功能区域，采用双层错位操作台设计提升单位面积利用率，同步增设移动式折叠休息舱与共享储物柜，实现有限空间的高效复用；其次强化设备保障，建立"赛前72小时全项检测+赛中实时监测+赛后保养建档"的全周期管理机制，引入第三方专业机构对核心设备进行载荷测试与稳定性评估，设立应急设备共享库并按10%冗余标准配置备用机；最后创新资金筹措模式，构建"政府补贴+企业赞助+参赛保证金循环使用"的多元投入机制，与设备厂商签订"以租代购"协议并设立技术保障基金。同步开发数字化管理平台，实现设备状态、场地使用、资金流向的可视化监控，通过系统化治理破解硬件制约，确保赛事公平性与参赛体验双提升。</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val="0"/>
          <w:bCs w:val="0"/>
          <w:spacing w:val="-4"/>
          <w:sz w:val="32"/>
          <w:szCs w:val="32"/>
        </w:rPr>
        <w:t>（二）建立党政领导绩效述职制度，将绩效管理纳入领导干部考核评价体系，通过"一把手"公开承诺、典型案例剖析等方式破除惯性思维；重构全链条绩效管理制度，推行"目标编制—过程监控—评价应用"三阶闭环管理，开发融合财政大数据分析的智能绩效云平台，实现资金流向动态追踪与效益实时预警；实施绩效能力筑基工程，开展"政策制定者+财务人员+项目执行者"三位一体专项培训，编制《绩效管理实务手册》并嵌入预算编审系统智能辅助模块。</w:t>
      </w:r>
    </w:p>
    <w:p w14:paraId="2283FE6E">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9"/>
          <w:rFonts w:hint="eastAsia" w:ascii="仿宋" w:hAnsi="仿宋" w:eastAsia="仿宋" w:cs="仿宋"/>
          <w:b w:val="0"/>
          <w:spacing w:val="-4"/>
          <w:sz w:val="32"/>
          <w:szCs w:val="32"/>
        </w:rPr>
      </w:pPr>
      <w:r>
        <w:rPr>
          <w:rStyle w:val="19"/>
          <w:rFonts w:hint="eastAsia" w:ascii="黑体" w:hAnsi="黑体" w:eastAsia="黑体" w:cs="黑体"/>
          <w:b w:val="0"/>
          <w:spacing w:val="-4"/>
          <w:sz w:val="32"/>
          <w:szCs w:val="32"/>
          <w:lang w:val="en-US" w:eastAsia="zh-CN"/>
        </w:rPr>
        <w:t>八</w:t>
      </w:r>
      <w:r>
        <w:rPr>
          <w:rStyle w:val="19"/>
          <w:rFonts w:hint="eastAsia" w:ascii="黑体" w:hAnsi="黑体" w:eastAsia="黑体" w:cs="黑体"/>
          <w:b w:val="0"/>
          <w:spacing w:val="-4"/>
          <w:sz w:val="32"/>
          <w:szCs w:val="32"/>
        </w:rPr>
        <w:t>、其他需要说明的问题</w:t>
      </w:r>
    </w:p>
    <w:p w14:paraId="21EAD00A">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（一）本项目部分间接产生的效果无法准确在短期内衡量，因此很难认定项目产生的全部效果。通过指标来反映绩效，指标的科学性和全面性需要不断地完善和研究。</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val="0"/>
          <w:bCs w:val="0"/>
          <w:spacing w:val="-4"/>
          <w:sz w:val="32"/>
          <w:szCs w:val="32"/>
        </w:rPr>
        <w:t>（三）评价结果分别编入政府决算和部门预算，报送本级人民代表大会常务委员会，并依法予以公开。</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val="0"/>
          <w:bCs w:val="0"/>
          <w:spacing w:val="-4"/>
          <w:sz w:val="32"/>
          <w:szCs w:val="32"/>
        </w:rP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cr/>
      </w:r>
      <w:r>
        <w:rPr>
          <w:rStyle w:val="19"/>
          <w:rFonts w:hint="eastAsia" w:ascii="仿宋" w:hAnsi="仿宋" w:eastAsia="仿宋" w:cs="仿宋"/>
          <w:b w:val="0"/>
          <w:bCs w:val="0"/>
          <w:spacing w:val="-4"/>
          <w:sz w:val="32"/>
          <w:szCs w:val="32"/>
          <w:lang w:val="en-US" w:eastAsia="zh-CN"/>
        </w:rPr>
        <w:t xml:space="preserve">    </w:t>
      </w:r>
      <w:r>
        <w:rPr>
          <w:rStyle w:val="19"/>
          <w:rFonts w:hint="eastAsia" w:ascii="仿宋" w:hAnsi="仿宋" w:eastAsia="仿宋" w:cs="仿宋"/>
          <w:b w:val="0"/>
          <w:bCs w:val="0"/>
          <w:spacing w:val="-4"/>
          <w:sz w:val="32"/>
          <w:szCs w:val="32"/>
        </w:rPr>
        <w:t>（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14:paraId="150E8518">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9"/>
          <w:rFonts w:hint="eastAsia" w:ascii="仿宋" w:hAnsi="仿宋" w:eastAsia="仿宋" w:cs="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Nimbus Roman No9 L">
    <w:panose1 w:val="00000000000000000000"/>
    <w:charset w:val="00"/>
    <w:family w:val="auto"/>
    <w:pitch w:val="default"/>
    <w:sig w:usb0="00000000" w:usb1="00000000" w:usb2="00000000" w:usb3="00000000" w:csb0="0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Cambria">
    <w:altName w:val="FreeSerif"/>
    <w:panose1 w:val="02040503050406030204"/>
    <w:charset w:val="00"/>
    <w:family w:val="roman"/>
    <w:pitch w:val="default"/>
    <w:sig w:usb0="00000000" w:usb1="00000000" w:usb2="00000000" w:usb3="00000000" w:csb0="2000019F" w:csb1="00000000"/>
  </w:font>
  <w:font w:name="FreeSerif">
    <w:panose1 w:val="02020603050405020304"/>
    <w:charset w:val="00"/>
    <w:family w:val="auto"/>
    <w:pitch w:val="default"/>
    <w:sig w:usb0="E59FAFFF" w:usb1="C200FDFF" w:usb2="43501B29" w:usb3="04000043" w:csb0="600101FF" w:csb1="FFFF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2000000000000000000"/>
    <w:charset w:val="86"/>
    <w:family w:val="script"/>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Liberation Serif">
    <w:panose1 w:val="02020603050405020304"/>
    <w:charset w:val="00"/>
    <w:family w:val="auto"/>
    <w:pitch w:val="default"/>
    <w:sig w:usb0="A00002AF" w:usb1="500078FB" w:usb2="00000000" w:usb3="00000000" w:csb0="6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5680D2A9">
        <w:pPr>
          <w:pStyle w:val="12"/>
          <w:jc w:val="center"/>
        </w:pPr>
        <w:r>
          <w:fldChar w:fldCharType="begin"/>
        </w:r>
        <w:r>
          <w:instrText xml:space="preserve">PAGE   \* MERGEFORMAT</w:instrText>
        </w:r>
        <w:r>
          <w:fldChar w:fldCharType="separate"/>
        </w:r>
        <w:r>
          <w:rPr>
            <w:lang w:val="zh-CN"/>
          </w:rPr>
          <w:t>1</w:t>
        </w:r>
        <w:r>
          <w:fldChar w:fldCharType="end"/>
        </w:r>
      </w:p>
    </w:sdtContent>
  </w:sdt>
  <w:p w14:paraId="396948D2">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2A027F8"/>
    <w:rsid w:val="746B60FD"/>
    <w:rsid w:val="7A3FB0E5"/>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xmlns="http://schemas.openxmlformats.org/officeDocument/2006/custom-properties" name="KSOProductBuildVer" fmtid="{D5CDD505-2E9C-101B-9397-08002B2CF9AE}" pid="2">
    <vt:lpwstr xmlns:vt="http://schemas.openxmlformats.org/officeDocument/2006/docPropsVTypes">2052-12.1.0.22215</vt:lpwstr>
  </property>
  <property xmlns="http://schemas.openxmlformats.org/officeDocument/2006/custom-properties" name="ICV" fmtid="{D5CDD505-2E9C-101B-9397-08002B2CF9AE}" pid="3">
    <vt:lpwstr xmlns:vt="http://schemas.openxmlformats.org/officeDocument/2006/docPropsVTypes">C734C92AAAF24344A0E4232D8EB3359B</vt:lpwstr>
  </property>
  <property xmlns="http://schemas.openxmlformats.org/officeDocument/2006/custom-properties" name="KSOTemplateDocerSaveRecord" fmtid="{D5CDD505-2E9C-101B-9397-08002B2CF9AE}" pid="4">
    <vt:lpwstr xmlns:vt="http://schemas.openxmlformats.org/officeDocument/2006/docPropsVTypes">eyJoZGlkIjoiMDEyZWM0ZDBjZDNjM2E4Y2NjZTJiODA1ZWEyZTZjNjMifQ==</vt:lpwstr>
  </property>
</Properties>
</file>

<file path=customXml/itemProps1.xml><?xml version="1.0" encoding="utf-8"?>
<ds:datastoreItem xmlns:ds="http://schemas.openxmlformats.org/officeDocument/2006/customXml" ds:itemID="{9053ddbe-e4aa-445b-a935-d28c1d9520f1}">
  <ds:schemaRefs/>
</ds:datastoreItem>
</file>

<file path=docProps/app.xml><?xml version="1.0" encoding="utf-8"?>
<Properties xmlns="http://schemas.openxmlformats.org/officeDocument/2006/extended-properties" xmlns:vt="http://schemas.openxmlformats.org/officeDocument/2006/docPropsVTypes">
  <Template>Normal.dotm</Template>
  <Pages>23</Pages>
  <Words>11755</Words>
  <Characters>12217</Characters>
  <Lines>5</Lines>
  <Paragraphs>1</Paragraphs>
  <TotalTime>189</TotalTime>
  <ScaleCrop>false</ScaleCrop>
  <LinksUpToDate>false</LinksUpToDate>
  <CharactersWithSpaces>12798</CharactersWithSpaces>
  <Application>WPS Office_12.8.2.17863_F1E327BC-269C-435d-A152-05C5408002CA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2018-08-15T10:06:00Z</dcterms:created>
  <dc:creator>赵 恺_xFF08_预算处_xFF09_</dc:creator>
  <cp:lastModifiedBy>sugon</cp:lastModifiedBy>
  <cp:lastPrinted>2025-09-26T17:57:47Z</cp:lastPrinted>
  <dcterms:modified xsi:type="dcterms:W3CDTF">2025-09-26T17:57:55Z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2052-12.8.2.17863</vt:lpwstr>
  </property>
  <property fmtid="{D5CDD505-2E9C-101B-9397-08002B2CF9AE}" pid="3" name="ICV">
    <vt:lpwstr>C734C92AAAF24344A0E4232D8EB3359B</vt:lpwstr>
  </property>
  <property fmtid="{D5CDD505-2E9C-101B-9397-08002B2CF9AE}" pid="4" name="KSOTemplateDocerSaveRecord">
    <vt:lpwstr>eyJoZGlkIjoiMDEyZWM0ZDBjZDNjM2E4Y2NjZTJiODA1ZWEyZTZjNjMifQ_x003D__x003D_</vt:lpwstr>
  </property>
</Properties>
</file>