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70AD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5E039450">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58BB0D9">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9E5AD1A">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10B5AB9">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5C4EBD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和田开放大学2024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70C1C7F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46E5E855">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2E78D21F">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10100CA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17F9A0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5B61923">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3A5B69F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6B3A27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2CC2140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441A36F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1057A9D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5519BE2C">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00E4DAC">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4ACB3DBE">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2513D79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585E153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5A92EDD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7452A36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104292A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0A8CFE96">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5266A182">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101F6A8E">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776E07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33FBA3F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13A612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0B01E27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91346B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21CE177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70BC911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47848D0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60DA1B9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71C5C03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6A7BA65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406189E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4515A1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069CE42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0A5BCAA">
      <w:r>
        <w:br w:type="page"/>
      </w:r>
    </w:p>
    <w:p w14:paraId="4B72AEE2">
      <w:pPr>
        <w:spacing w:line="640" w:lineRule="exact"/>
        <w:jc w:val="center"/>
        <w:outlineLvl w:val="1"/>
      </w:pPr>
      <w:r>
        <w:rPr>
          <w:rFonts w:ascii="黑体" w:hAnsi="黑体" w:eastAsia="黑体"/>
          <w:sz w:val="32"/>
        </w:rPr>
        <w:t>第一部分 单位概况</w:t>
      </w:r>
    </w:p>
    <w:p w14:paraId="34D2C4A3">
      <w:pPr>
        <w:spacing w:line="640" w:lineRule="exact"/>
        <w:ind w:firstLine="640"/>
        <w:jc w:val="both"/>
        <w:outlineLvl w:val="2"/>
      </w:pPr>
      <w:r>
        <w:rPr>
          <w:rFonts w:ascii="黑体" w:hAnsi="黑体" w:eastAsia="黑体"/>
          <w:sz w:val="32"/>
        </w:rPr>
        <w:t>一、主要职能</w:t>
      </w:r>
    </w:p>
    <w:p w14:paraId="5EE7DE24">
      <w:pPr>
        <w:spacing w:line="580" w:lineRule="exact"/>
        <w:ind w:firstLine="640"/>
        <w:jc w:val="both"/>
      </w:pPr>
      <w:r>
        <w:rPr>
          <w:rFonts w:ascii="仿宋_GB2312" w:hAnsi="仿宋_GB2312" w:eastAsia="仿宋_GB2312"/>
          <w:sz w:val="32"/>
        </w:rPr>
        <w:t>和田开放大学（原和田广播电视大学）成立于1982年，是和田地区唯一所综合性大学。承担成人学历教育、非学历教育、继续教育等任务，为当地经济发展培养适用人才，办学层次为专本并举，以开放教育为主,依托国家开放大学系统教学资源，举办现代远程专、本科学历教育及各类岗位培训，为和田地区各相关教育机构开展现代远程教育提供资源、管理和支持服务。</w:t>
      </w:r>
    </w:p>
    <w:p w14:paraId="5A08AE56">
      <w:pPr>
        <w:spacing w:line="640" w:lineRule="exact"/>
        <w:ind w:firstLine="640"/>
        <w:jc w:val="both"/>
        <w:outlineLvl w:val="2"/>
      </w:pPr>
      <w:r>
        <w:rPr>
          <w:rFonts w:ascii="黑体" w:hAnsi="黑体" w:eastAsia="黑体"/>
          <w:sz w:val="32"/>
        </w:rPr>
        <w:t>二、机构设置及人员情况</w:t>
      </w:r>
    </w:p>
    <w:p w14:paraId="25C7D53B">
      <w:pPr>
        <w:spacing w:line="580" w:lineRule="exact"/>
        <w:ind w:firstLine="640"/>
        <w:jc w:val="both"/>
      </w:pPr>
      <w:r>
        <w:rPr>
          <w:rFonts w:ascii="仿宋_GB2312" w:hAnsi="仿宋_GB2312" w:eastAsia="仿宋_GB2312"/>
          <w:sz w:val="32"/>
        </w:rPr>
        <w:t>和田开放大学2024年度，实有人数110人，其中：在职人员72人，减少3人；离休人员0人，增加0人；退休人员38人,增加8人。</w:t>
      </w:r>
    </w:p>
    <w:p w14:paraId="0F92B03F">
      <w:pPr>
        <w:spacing w:line="580" w:lineRule="exact"/>
        <w:ind w:firstLine="640"/>
        <w:jc w:val="both"/>
      </w:pPr>
      <w:r>
        <w:rPr>
          <w:rFonts w:ascii="仿宋_GB2312" w:hAnsi="仿宋_GB2312" w:eastAsia="仿宋_GB2312"/>
          <w:sz w:val="32"/>
        </w:rPr>
        <w:t>和田开放大学无下属预算单位，下设15个科室，分别是：党政办公室、纪检室、教务科、职业继续教育科、思政科、后勤服务中心、网络中心、招生科、团委、保卫科、远教科、工会、组教员科、督导科、财务科。</w:t>
      </w:r>
    </w:p>
    <w:p w14:paraId="5EBD41CD">
      <w:r>
        <w:br w:type="page"/>
      </w:r>
    </w:p>
    <w:p w14:paraId="7BFC83B1">
      <w:pPr>
        <w:spacing w:line="240" w:lineRule="auto"/>
        <w:jc w:val="center"/>
        <w:outlineLvl w:val="1"/>
      </w:pPr>
      <w:r>
        <w:rPr>
          <w:rFonts w:ascii="黑体" w:hAnsi="黑体" w:eastAsia="黑体"/>
          <w:sz w:val="32"/>
        </w:rPr>
        <w:t>第二部分 部门决算情况说明</w:t>
      </w:r>
    </w:p>
    <w:p w14:paraId="2057C681">
      <w:pPr>
        <w:spacing w:line="640" w:lineRule="exact"/>
        <w:ind w:firstLine="640"/>
        <w:jc w:val="both"/>
        <w:outlineLvl w:val="2"/>
      </w:pPr>
      <w:r>
        <w:rPr>
          <w:rFonts w:ascii="黑体" w:hAnsi="黑体" w:eastAsia="黑体"/>
          <w:sz w:val="32"/>
        </w:rPr>
        <w:t>一、收入支出决算总体情况说明</w:t>
      </w:r>
    </w:p>
    <w:p w14:paraId="26ED5E62">
      <w:pPr>
        <w:spacing w:line="580" w:lineRule="exact"/>
        <w:ind w:firstLine="640"/>
        <w:jc w:val="both"/>
      </w:pPr>
      <w:r>
        <w:rPr>
          <w:rFonts w:ascii="仿宋_GB2312" w:hAnsi="仿宋_GB2312" w:eastAsia="仿宋_GB2312"/>
          <w:b/>
          <w:sz w:val="32"/>
        </w:rPr>
        <w:t>2024年度收入总计3,638.94万元，</w:t>
      </w:r>
      <w:r>
        <w:rPr>
          <w:rFonts w:ascii="仿宋_GB2312" w:hAnsi="仿宋_GB2312" w:eastAsia="仿宋_GB2312"/>
          <w:b w:val="0"/>
          <w:sz w:val="32"/>
        </w:rPr>
        <w:t>其中：本年收入合计3,284.91万元，使用非财政拨款结余（含专用结余）0.00万元，年初结转和结余354.03万元。</w:t>
      </w:r>
    </w:p>
    <w:p w14:paraId="2B2C1D7F">
      <w:pPr>
        <w:spacing w:line="580" w:lineRule="exact"/>
        <w:ind w:firstLine="640"/>
        <w:jc w:val="both"/>
      </w:pPr>
      <w:r>
        <w:rPr>
          <w:rFonts w:ascii="仿宋_GB2312" w:hAnsi="仿宋_GB2312" w:eastAsia="仿宋_GB2312"/>
          <w:b/>
          <w:sz w:val="32"/>
        </w:rPr>
        <w:t>2024年度支出总计3,638.94万元，</w:t>
      </w:r>
      <w:r>
        <w:rPr>
          <w:rFonts w:ascii="仿宋_GB2312" w:hAnsi="仿宋_GB2312" w:eastAsia="仿宋_GB2312"/>
          <w:b w:val="0"/>
          <w:sz w:val="32"/>
        </w:rPr>
        <w:t>其中：本年支出合计3,284.91万元，结余分配0.00万元，年末结转和结余354.03万元。</w:t>
      </w:r>
    </w:p>
    <w:p w14:paraId="01B52DA8">
      <w:pPr>
        <w:spacing w:line="580" w:lineRule="exact"/>
        <w:ind w:firstLine="640"/>
        <w:jc w:val="both"/>
      </w:pPr>
      <w:r>
        <w:rPr>
          <w:rFonts w:ascii="仿宋_GB2312" w:hAnsi="仿宋_GB2312" w:eastAsia="仿宋_GB2312"/>
          <w:b w:val="0"/>
          <w:sz w:val="32"/>
        </w:rPr>
        <w:t>收入支出总体与上年相比，减少388.18万元，下降9.64%，主要原因是：本年在职人员减少，相关人员经费较上年减少；减少工作队经费、录播室项目；本年减少学费收入，导致经费较上年减少。</w:t>
      </w:r>
    </w:p>
    <w:p w14:paraId="24D41278">
      <w:pPr>
        <w:spacing w:line="640" w:lineRule="exact"/>
        <w:ind w:firstLine="640"/>
        <w:jc w:val="both"/>
        <w:outlineLvl w:val="2"/>
      </w:pPr>
      <w:r>
        <w:rPr>
          <w:rFonts w:ascii="黑体" w:hAnsi="黑体" w:eastAsia="黑体"/>
          <w:sz w:val="32"/>
        </w:rPr>
        <w:t>二、收入决算情况说明</w:t>
      </w:r>
    </w:p>
    <w:p w14:paraId="78E7A5F0">
      <w:pPr>
        <w:spacing w:line="580" w:lineRule="exact"/>
        <w:ind w:firstLine="640"/>
        <w:jc w:val="both"/>
      </w:pPr>
      <w:r>
        <w:rPr>
          <w:rFonts w:ascii="仿宋_GB2312" w:hAnsi="仿宋_GB2312" w:eastAsia="仿宋_GB2312"/>
          <w:b/>
          <w:sz w:val="32"/>
        </w:rPr>
        <w:t>本年收入3,284.91万元，</w:t>
      </w:r>
      <w:r>
        <w:rPr>
          <w:rFonts w:ascii="仿宋_GB2312" w:hAnsi="仿宋_GB2312" w:eastAsia="仿宋_GB2312"/>
          <w:b w:val="0"/>
          <w:sz w:val="32"/>
        </w:rPr>
        <w:t>其中：财政拨款收入1,316.29万元，占40.07%；上级补助收入0.00万元，占0.00%；事业收入1,968.62万元，占59.93%；经营收入0.00万元，占0.00%；附属单位上缴收入0.00万元，占0.00%；其他收入0.00万元，占0.00%。</w:t>
      </w:r>
    </w:p>
    <w:p w14:paraId="1D067354">
      <w:pPr>
        <w:spacing w:line="640" w:lineRule="exact"/>
        <w:ind w:firstLine="640"/>
        <w:jc w:val="both"/>
        <w:outlineLvl w:val="2"/>
      </w:pPr>
      <w:r>
        <w:rPr>
          <w:rFonts w:ascii="黑体" w:hAnsi="黑体" w:eastAsia="黑体"/>
          <w:sz w:val="32"/>
        </w:rPr>
        <w:t>三、支出决算情况说明</w:t>
      </w:r>
    </w:p>
    <w:p w14:paraId="5E59D258">
      <w:pPr>
        <w:spacing w:line="580" w:lineRule="exact"/>
        <w:ind w:firstLine="640"/>
        <w:jc w:val="both"/>
      </w:pPr>
      <w:r>
        <w:rPr>
          <w:rFonts w:ascii="仿宋_GB2312" w:hAnsi="仿宋_GB2312" w:eastAsia="仿宋_GB2312"/>
          <w:b/>
          <w:sz w:val="32"/>
        </w:rPr>
        <w:t>本年支出3,284.91万元，</w:t>
      </w:r>
      <w:r>
        <w:rPr>
          <w:rFonts w:ascii="仿宋_GB2312" w:hAnsi="仿宋_GB2312" w:eastAsia="仿宋_GB2312"/>
          <w:b w:val="0"/>
          <w:sz w:val="32"/>
        </w:rPr>
        <w:t>其中：基本支出1,718.50万元，占52.31%；项目支出1,566.42万元，占47.69%；上缴上级支出0.00万元，占0.00%；经营支出0.00万元，占0.00%；对附属单位补助支出0.00万元，占0.00%。</w:t>
      </w:r>
    </w:p>
    <w:p w14:paraId="781DCCBA">
      <w:pPr>
        <w:spacing w:line="640" w:lineRule="exact"/>
        <w:ind w:firstLine="640"/>
        <w:jc w:val="both"/>
        <w:outlineLvl w:val="2"/>
      </w:pPr>
      <w:r>
        <w:rPr>
          <w:rFonts w:ascii="黑体" w:hAnsi="黑体" w:eastAsia="黑体"/>
          <w:sz w:val="32"/>
        </w:rPr>
        <w:t>四、财政拨款收入支出决算总体情况说明</w:t>
      </w:r>
    </w:p>
    <w:p w14:paraId="09985D27">
      <w:pPr>
        <w:spacing w:line="580" w:lineRule="exact"/>
        <w:ind w:firstLine="640"/>
        <w:jc w:val="both"/>
      </w:pPr>
      <w:r>
        <w:rPr>
          <w:rFonts w:ascii="仿宋_GB2312" w:hAnsi="仿宋_GB2312" w:eastAsia="仿宋_GB2312"/>
          <w:b/>
          <w:sz w:val="32"/>
        </w:rPr>
        <w:t>2024年度财政拨款收入总计1,321.42万元，</w:t>
      </w:r>
      <w:r>
        <w:rPr>
          <w:rFonts w:ascii="仿宋_GB2312" w:hAnsi="仿宋_GB2312" w:eastAsia="仿宋_GB2312"/>
          <w:b w:val="0"/>
          <w:sz w:val="32"/>
        </w:rPr>
        <w:t>其中：年初财政拨款结转和结余5.13万元，本年财政拨款收入1,316.29万元。</w:t>
      </w:r>
      <w:r>
        <w:rPr>
          <w:rFonts w:ascii="仿宋_GB2312" w:hAnsi="仿宋_GB2312" w:eastAsia="仿宋_GB2312"/>
          <w:b/>
          <w:sz w:val="32"/>
        </w:rPr>
        <w:t>财政拨款支出总计1,321.42万元，</w:t>
      </w:r>
      <w:r>
        <w:rPr>
          <w:rFonts w:ascii="仿宋_GB2312" w:hAnsi="仿宋_GB2312" w:eastAsia="仿宋_GB2312"/>
          <w:b w:val="0"/>
          <w:sz w:val="32"/>
        </w:rPr>
        <w:t>其中：年末财政拨款结转和结余5.13万元，本年财政拨款支出1,316.29万元。</w:t>
      </w:r>
    </w:p>
    <w:p w14:paraId="40D599D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减少94.46万元，下降6.67%，主要原因是：本年在职人员减少，相关人员经费较上年减少；减少工作队经费、录播室项目；结转结余较上年减少，导致经费较上年减少。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年初预算数1,252.40万元，决算数1,321.42万元，预决算差异率5.51%，主要原因是：年中追加人员工资、社保、公积金基数调增部分资金；聘用人员增加，追加相关人员经费，导致预决算存在差异。</w:t>
      </w:r>
    </w:p>
    <w:p w14:paraId="4D1A4633">
      <w:pPr>
        <w:spacing w:line="640" w:lineRule="exact"/>
        <w:ind w:firstLine="640"/>
        <w:jc w:val="both"/>
        <w:outlineLvl w:val="2"/>
      </w:pPr>
      <w:r>
        <w:rPr>
          <w:rFonts w:ascii="黑体" w:hAnsi="黑体" w:eastAsia="黑体"/>
          <w:sz w:val="32"/>
        </w:rPr>
        <w:t>五、一般公共预算财政拨款支出决算情况说明</w:t>
      </w:r>
    </w:p>
    <w:p w14:paraId="230B47F5">
      <w:pPr>
        <w:spacing w:line="640" w:lineRule="exact"/>
        <w:ind w:firstLine="640"/>
        <w:jc w:val="both"/>
        <w:outlineLvl w:val="3"/>
      </w:pPr>
      <w:r>
        <w:rPr>
          <w:rFonts w:ascii="楷体_GB2312" w:hAnsi="楷体_GB2312" w:eastAsia="楷体_GB2312"/>
          <w:b/>
          <w:sz w:val="32"/>
        </w:rPr>
        <w:t>（一）一般公共预算财政拨款支出决算总体情况</w:t>
      </w:r>
    </w:p>
    <w:p w14:paraId="299966E6">
      <w:pPr>
        <w:spacing w:line="580" w:lineRule="exact"/>
        <w:ind w:firstLine="640"/>
        <w:jc w:val="both"/>
      </w:pPr>
      <w:r>
        <w:rPr>
          <w:rFonts w:ascii="仿宋_GB2312" w:hAnsi="仿宋_GB2312" w:eastAsia="仿宋_GB2312"/>
          <w:b/>
          <w:sz w:val="32"/>
        </w:rPr>
        <w:t>2024年度一般公共预算财政拨款支出1,316.29万元，</w:t>
      </w:r>
      <w:r>
        <w:rPr>
          <w:rFonts w:ascii="仿宋_GB2312" w:hAnsi="仿宋_GB2312" w:eastAsia="仿宋_GB2312"/>
          <w:b w:val="0"/>
          <w:sz w:val="32"/>
        </w:rPr>
        <w:t>占本年支出合计的40.07%。</w:t>
      </w:r>
      <w:r>
        <w:rPr>
          <w:rFonts w:ascii="仿宋_GB2312" w:hAnsi="仿宋_GB2312" w:eastAsia="仿宋_GB2312"/>
          <w:b/>
          <w:sz w:val="32"/>
        </w:rPr>
        <w:t>与上年相比，</w:t>
      </w:r>
      <w:r>
        <w:rPr>
          <w:rFonts w:ascii="仿宋_GB2312" w:hAnsi="仿宋_GB2312" w:eastAsia="仿宋_GB2312"/>
          <w:b w:val="0"/>
          <w:sz w:val="32"/>
        </w:rPr>
        <w:t>减少74.37万元，下降5.35%，主要原因是：本年在职人员减少，相关人员经费较上年减少；减少工作队经费、录播室项目，导致经费较上年减少。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年初预算数1,252.40万元，决算数1,316.29万元，预决算差异率5.10%，主要原因是：年中追加人员工资、社保、公积金基数调增部分资金；聘用人员增加，追加相关人员经费，导致预决算存在差异。</w:t>
      </w:r>
    </w:p>
    <w:p w14:paraId="5C3393A3">
      <w:pPr>
        <w:spacing w:line="640" w:lineRule="exact"/>
        <w:ind w:firstLine="640"/>
        <w:jc w:val="both"/>
        <w:outlineLvl w:val="3"/>
      </w:pPr>
      <w:r>
        <w:rPr>
          <w:rFonts w:ascii="楷体_GB2312" w:hAnsi="楷体_GB2312" w:eastAsia="楷体_GB2312"/>
          <w:b/>
          <w:sz w:val="32"/>
        </w:rPr>
        <w:t>（二）一般公共预算财政拨款支出决算结构情况</w:t>
      </w:r>
    </w:p>
    <w:p w14:paraId="7A6AB7EE">
      <w:pPr>
        <w:spacing w:line="580" w:lineRule="exact"/>
        <w:ind w:firstLine="640"/>
        <w:jc w:val="both"/>
      </w:pPr>
      <w:r>
        <w:rPr>
          <w:rFonts w:ascii="仿宋_GB2312" w:hAnsi="仿宋_GB2312" w:eastAsia="仿宋_GB2312"/>
          <w:b w:val="0"/>
          <w:sz w:val="32"/>
        </w:rPr>
        <w:t>1.教育支出(类)1,300.25万元,占98.78%。</w:t>
      </w:r>
    </w:p>
    <w:p w14:paraId="56029193">
      <w:pPr>
        <w:spacing w:line="580" w:lineRule="exact"/>
        <w:ind w:firstLine="640"/>
        <w:jc w:val="both"/>
      </w:pPr>
      <w:r>
        <w:rPr>
          <w:rFonts w:ascii="仿宋_GB2312" w:hAnsi="仿宋_GB2312" w:eastAsia="仿宋_GB2312"/>
          <w:b w:val="0"/>
          <w:sz w:val="32"/>
        </w:rPr>
        <w:t>2.其他支出(类)16.04万元,占1.22%。</w:t>
      </w:r>
    </w:p>
    <w:p w14:paraId="243E76AD">
      <w:pPr>
        <w:spacing w:line="640" w:lineRule="exact"/>
        <w:ind w:firstLine="640"/>
        <w:jc w:val="both"/>
        <w:outlineLvl w:val="3"/>
      </w:pPr>
      <w:r>
        <w:rPr>
          <w:rFonts w:ascii="楷体_GB2312" w:hAnsi="楷体_GB2312" w:eastAsia="楷体_GB2312"/>
          <w:b/>
          <w:sz w:val="32"/>
        </w:rPr>
        <w:t>（三）一般公共预算财政拨款支出决算具体情况</w:t>
      </w:r>
    </w:p>
    <w:p w14:paraId="3A435A2A">
      <w:pPr>
        <w:spacing w:line="580" w:lineRule="exact"/>
        <w:ind w:firstLine="640"/>
        <w:jc w:val="both"/>
      </w:pPr>
      <w:r>
        <w:rPr>
          <w:rFonts w:ascii="仿宋_GB2312" w:hAnsi="仿宋_GB2312" w:eastAsia="仿宋_GB2312"/>
          <w:b w:val="0"/>
          <w:sz w:val="32"/>
        </w:rPr>
        <w:t>1.教育支出(类)广播电视教育(款)广播电视学校(项):支出决算数为1,300.25万元，比上年决算减少61.55万元，下降4.52%,主要原因是：本年在职人员减少，相关人员经费减少；减少录播室项目，导致经费较上年减少。</w:t>
      </w:r>
    </w:p>
    <w:p w14:paraId="7AE247EB">
      <w:pPr>
        <w:spacing w:line="580" w:lineRule="exact"/>
        <w:ind w:firstLine="640"/>
        <w:jc w:val="both"/>
      </w:pPr>
      <w:r>
        <w:rPr>
          <w:rFonts w:ascii="仿宋_GB2312" w:hAnsi="仿宋_GB2312" w:eastAsia="仿宋_GB2312"/>
          <w:b w:val="0"/>
          <w:sz w:val="32"/>
        </w:rPr>
        <w:t>2.其他支出(类)其他支出(款)其他支出(项):支出决算数为16.04万元，比上年决算减少12.82万元，下降44.42%,主要原因是：本年减少工作队经费，导致支出较上年减少。</w:t>
      </w:r>
    </w:p>
    <w:p w14:paraId="1BE798B2">
      <w:pPr>
        <w:spacing w:line="640" w:lineRule="exact"/>
        <w:ind w:firstLine="640"/>
        <w:jc w:val="both"/>
        <w:outlineLvl w:val="2"/>
      </w:pPr>
      <w:r>
        <w:rPr>
          <w:rFonts w:ascii="黑体" w:hAnsi="黑体" w:eastAsia="黑体"/>
          <w:sz w:val="32"/>
        </w:rPr>
        <w:t>六、一般公共预算财政拨款基本支出决算情况说明</w:t>
      </w:r>
    </w:p>
    <w:p w14:paraId="6E663BA2">
      <w:pPr>
        <w:spacing w:line="580" w:lineRule="exact"/>
        <w:ind w:firstLine="640"/>
        <w:jc w:val="both"/>
      </w:pPr>
      <w:r>
        <w:rPr>
          <w:rFonts w:ascii="仿宋_GB2312" w:hAnsi="仿宋_GB2312" w:eastAsia="仿宋_GB2312"/>
          <w:b w:val="0"/>
          <w:sz w:val="32"/>
        </w:rPr>
        <w:t>2024年度一般公共预算财政拨款基本支出1,300.25万元，其中：</w:t>
      </w:r>
      <w:r>
        <w:rPr>
          <w:rFonts w:ascii="仿宋_GB2312" w:hAnsi="仿宋_GB2312" w:eastAsia="仿宋_GB2312"/>
          <w:b/>
          <w:sz w:val="32"/>
        </w:rPr>
        <w:t>人员经费1,300.25万元，</w:t>
      </w:r>
      <w:r>
        <w:rPr>
          <w:rFonts w:ascii="仿宋_GB2312" w:hAnsi="仿宋_GB2312" w:eastAsia="仿宋_GB2312"/>
          <w:b w:val="0"/>
          <w:sz w:val="32"/>
        </w:rPr>
        <w:t>包括：基本工资、津贴补贴、奖金、绩效工资、职业年金缴费、退休费、抚恤金。</w:t>
      </w:r>
    </w:p>
    <w:p w14:paraId="207A4DE0">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50543C8F">
      <w:pPr>
        <w:spacing w:line="640" w:lineRule="exact"/>
        <w:ind w:firstLine="640"/>
        <w:jc w:val="both"/>
        <w:outlineLvl w:val="2"/>
      </w:pPr>
      <w:r>
        <w:rPr>
          <w:rFonts w:ascii="黑体" w:hAnsi="黑体" w:eastAsia="黑体"/>
          <w:sz w:val="32"/>
        </w:rPr>
        <w:t>七、政府性基金预算财政拨款收入支出决算情况说明</w:t>
      </w:r>
    </w:p>
    <w:p w14:paraId="3DF932D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419FAD8">
      <w:pPr>
        <w:spacing w:line="640" w:lineRule="exact"/>
        <w:ind w:firstLine="640"/>
        <w:jc w:val="both"/>
        <w:outlineLvl w:val="2"/>
      </w:pPr>
      <w:r>
        <w:rPr>
          <w:rFonts w:ascii="黑体" w:hAnsi="黑体" w:eastAsia="黑体"/>
          <w:sz w:val="32"/>
        </w:rPr>
        <w:t>八、国有资本经营预算财政拨款收入支出决算情况说明</w:t>
      </w:r>
    </w:p>
    <w:p w14:paraId="0298E96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6B2EA7C">
      <w:pPr>
        <w:spacing w:line="640" w:lineRule="exact"/>
        <w:ind w:firstLine="640"/>
        <w:jc w:val="both"/>
        <w:outlineLvl w:val="2"/>
      </w:pPr>
      <w:r>
        <w:rPr>
          <w:rFonts w:ascii="黑体" w:hAnsi="黑体" w:eastAsia="黑体"/>
          <w:sz w:val="32"/>
        </w:rPr>
        <w:t>九、财政拨款“三公”经费支出决算情况说明</w:t>
      </w:r>
    </w:p>
    <w:p w14:paraId="0FB6AA8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27198B9">
      <w:pPr>
        <w:spacing w:line="580" w:lineRule="exact"/>
        <w:ind w:firstLine="640"/>
        <w:jc w:val="both"/>
      </w:pPr>
      <w:r>
        <w:rPr>
          <w:rFonts w:ascii="仿宋_GB2312" w:hAnsi="仿宋_GB2312" w:eastAsia="仿宋_GB2312"/>
          <w:b/>
          <w:sz w:val="32"/>
        </w:rPr>
        <w:t>具体情况如下：</w:t>
      </w:r>
    </w:p>
    <w:p w14:paraId="1AB8092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7465BF3">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3辆，与公务用车保有量差异原因是：单位业务用车，车辆费用未使用财政拨款公务用车运行维护费支付，由自有资金保障。</w:t>
      </w:r>
    </w:p>
    <w:p w14:paraId="3B6F495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62B0DF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D5225B3">
      <w:pPr>
        <w:spacing w:line="640" w:lineRule="exact"/>
        <w:ind w:firstLine="640"/>
        <w:jc w:val="both"/>
        <w:outlineLvl w:val="2"/>
      </w:pPr>
      <w:r>
        <w:rPr>
          <w:rFonts w:ascii="黑体" w:hAnsi="黑体" w:eastAsia="黑体"/>
          <w:sz w:val="32"/>
        </w:rPr>
        <w:t>十、其他重要事项的情况说明</w:t>
      </w:r>
    </w:p>
    <w:p w14:paraId="64D842D9">
      <w:pPr>
        <w:spacing w:line="640" w:lineRule="exact"/>
        <w:ind w:firstLine="640"/>
        <w:jc w:val="both"/>
        <w:outlineLvl w:val="3"/>
      </w:pPr>
      <w:r>
        <w:rPr>
          <w:rFonts w:ascii="楷体_GB2312" w:hAnsi="楷体_GB2312" w:eastAsia="楷体_GB2312"/>
          <w:b/>
          <w:sz w:val="32"/>
        </w:rPr>
        <w:t>（一）机关运行经费及公用经费支出情况</w:t>
      </w:r>
    </w:p>
    <w:p w14:paraId="2FCF0493">
      <w:pPr>
        <w:spacing w:line="580" w:lineRule="exact"/>
        <w:ind w:firstLine="640"/>
        <w:jc w:val="both"/>
      </w:pPr>
      <w:r>
        <w:rPr>
          <w:rFonts w:ascii="仿宋_GB2312" w:hAnsi="仿宋_GB2312" w:eastAsia="仿宋_GB2312"/>
          <w:b w:val="0"/>
          <w:sz w:val="32"/>
        </w:rPr>
        <w:t>2024年度和田开放大学（事业单位）公用经费支出0.00万元，比上年增加0.00万元，增长0.00%，主要原因是：2023年与2024年均未安排公用经费支出。</w:t>
      </w:r>
    </w:p>
    <w:p w14:paraId="194F4FC9">
      <w:pPr>
        <w:spacing w:line="640" w:lineRule="exact"/>
        <w:ind w:firstLine="640"/>
        <w:jc w:val="both"/>
        <w:outlineLvl w:val="3"/>
      </w:pPr>
      <w:r>
        <w:rPr>
          <w:rFonts w:ascii="楷体_GB2312" w:hAnsi="楷体_GB2312" w:eastAsia="楷体_GB2312"/>
          <w:b/>
          <w:sz w:val="32"/>
        </w:rPr>
        <w:t>（二）政府采购情况</w:t>
      </w:r>
    </w:p>
    <w:p w14:paraId="7E8A809F">
      <w:pPr>
        <w:spacing w:line="580" w:lineRule="exact"/>
        <w:ind w:firstLine="640"/>
        <w:jc w:val="both"/>
      </w:pPr>
      <w:r>
        <w:rPr>
          <w:rFonts w:ascii="仿宋_GB2312" w:hAnsi="仿宋_GB2312" w:eastAsia="仿宋_GB2312"/>
          <w:b w:val="0"/>
          <w:sz w:val="32"/>
        </w:rPr>
        <w:t>2024年度政府采购支出总额79.50万元，其中：政府采购货物支出0.75万元、政府采购工程支出77.72万元、政府采购服务支出1.04万元。</w:t>
      </w:r>
    </w:p>
    <w:p w14:paraId="57DD7C0D">
      <w:pPr>
        <w:spacing w:line="580" w:lineRule="exact"/>
        <w:ind w:firstLine="640"/>
        <w:jc w:val="both"/>
      </w:pPr>
      <w:r>
        <w:rPr>
          <w:rFonts w:ascii="仿宋_GB2312" w:hAnsi="仿宋_GB2312" w:eastAsia="仿宋_GB2312"/>
          <w:b w:val="0"/>
          <w:sz w:val="32"/>
        </w:rPr>
        <w:t>授予中小企业合同金额79.36万元，占政府采购支出总额的99.82%，其中：授予小微企业合同金额78.75万元，占政府采购支出总额的99.06%。</w:t>
      </w:r>
    </w:p>
    <w:p w14:paraId="5542A8DE">
      <w:pPr>
        <w:spacing w:line="640" w:lineRule="exact"/>
        <w:ind w:firstLine="640"/>
        <w:jc w:val="both"/>
        <w:outlineLvl w:val="3"/>
      </w:pPr>
      <w:r>
        <w:rPr>
          <w:rFonts w:ascii="楷体_GB2312" w:hAnsi="楷体_GB2312" w:eastAsia="楷体_GB2312"/>
          <w:b/>
          <w:sz w:val="32"/>
        </w:rPr>
        <w:t>（三）国有资产占用情况说明</w:t>
      </w:r>
    </w:p>
    <w:p w14:paraId="6ABCD67C">
      <w:pPr>
        <w:spacing w:line="580" w:lineRule="exact"/>
        <w:ind w:firstLine="640"/>
        <w:jc w:val="both"/>
      </w:pPr>
      <w:r>
        <w:rPr>
          <w:rFonts w:ascii="仿宋_GB2312" w:hAnsi="仿宋_GB2312" w:eastAsia="仿宋_GB2312"/>
          <w:b w:val="0"/>
          <w:sz w:val="32"/>
        </w:rPr>
        <w:t>截至2024年12月31日，房屋7,626.25平方米，价值947.34万元。车辆3辆，价值47.80万元，其中：副部（省）级及以上领导用车0辆、主要负责人用车2辆、机要通信用车0辆、应急保障用车0辆、执法执勤用车0辆、特种专业技术用车0辆、离退休干部服务用车0辆、其他用车1辆，其他用车主要是：本单位业务用车。单价100万元（含）以上设备（不含车辆）0台（套）。</w:t>
      </w:r>
    </w:p>
    <w:p w14:paraId="58795CB1">
      <w:pPr>
        <w:spacing w:line="640" w:lineRule="exact"/>
        <w:ind w:firstLine="640"/>
        <w:jc w:val="both"/>
        <w:outlineLvl w:val="2"/>
      </w:pPr>
      <w:r>
        <w:rPr>
          <w:rFonts w:ascii="黑体" w:hAnsi="黑体" w:eastAsia="黑体"/>
          <w:sz w:val="32"/>
        </w:rPr>
        <w:t>十一、预算绩效的情况说明</w:t>
      </w:r>
    </w:p>
    <w:p w14:paraId="64C9A8A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3,638.94万元，实际执行总额3,284.91万元；预算绩效评价项目4个，全年预算数1,928.41万元，全年执行数1,566.41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发现的问题及原因：一是部分业务人员绩效管理意识有待增强，未能全面深入认识理解绩效管理工作的意义。二是绩效管理经验不足，预算绩效管理工作有待进一步落实。三是绩效指标的明确性、可衡量性、相关性还需进一步提升。四是预算精细化管理还需完善，预算编制管理水平仍有进一步提升的空间。下一步改进措施：加大绩效工作宣传力度，强化绩效理念。完善绩效指标，提高整体绩效目标质量。提升预算精细化管理水平。继续完善预算绩效管理相关工作制度，建立全过程预算绩效管理链条，有效贯彻落实全面实施绩效管理的精神。具体附整体支出绩效自评表，项目支出绩效自评表和评价报告。</w:t>
      </w:r>
    </w:p>
    <w:p w14:paraId="0CDA4B02">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9D8CF26">
        <w:tblPrEx>
          <w:tblCellMar>
            <w:top w:w="0" w:type="dxa"/>
            <w:left w:w="108" w:type="dxa"/>
            <w:bottom w:w="0" w:type="dxa"/>
            <w:right w:w="108" w:type="dxa"/>
          </w:tblCellMar>
        </w:tblPrEx>
        <w:tc>
          <w:tcPr>
            <w:tcW w:w="8847" w:type="dxa"/>
            <w:gridSpan w:val="9"/>
            <w:vAlign w:val="center"/>
          </w:tcPr>
          <w:p w14:paraId="24358423">
            <w:pPr>
              <w:jc w:val="center"/>
            </w:pPr>
            <w:r>
              <w:rPr>
                <w:rFonts w:ascii="宋体" w:hAnsi="宋体" w:eastAsia="宋体"/>
                <w:sz w:val="24"/>
              </w:rPr>
              <w:t>单位整体支出绩效自评表</w:t>
            </w:r>
          </w:p>
        </w:tc>
      </w:tr>
      <w:tr w14:paraId="213B2412">
        <w:tblPrEx>
          <w:tblCellMar>
            <w:top w:w="0" w:type="dxa"/>
            <w:left w:w="108" w:type="dxa"/>
            <w:bottom w:w="0" w:type="dxa"/>
            <w:right w:w="108" w:type="dxa"/>
          </w:tblCellMar>
        </w:tblPrEx>
        <w:tc>
          <w:tcPr>
            <w:tcW w:w="8847" w:type="dxa"/>
            <w:gridSpan w:val="9"/>
            <w:vAlign w:val="center"/>
          </w:tcPr>
          <w:p w14:paraId="44B13F86">
            <w:pPr>
              <w:jc w:val="center"/>
            </w:pPr>
            <w:r>
              <w:rPr>
                <w:rFonts w:ascii="宋体" w:hAnsi="宋体" w:eastAsia="宋体"/>
                <w:sz w:val="24"/>
              </w:rPr>
              <w:t>（2024年度）</w:t>
            </w:r>
          </w:p>
        </w:tc>
      </w:tr>
      <w:tr w14:paraId="1C18DB1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C541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C5EFA2C">
            <w:pPr>
              <w:jc w:val="center"/>
            </w:pPr>
            <w:r>
              <w:rPr>
                <w:rFonts w:ascii="宋体" w:hAnsi="宋体" w:eastAsia="宋体"/>
                <w:sz w:val="16"/>
              </w:rPr>
              <w:t>和田开放大学</w:t>
            </w:r>
          </w:p>
        </w:tc>
      </w:tr>
      <w:tr w14:paraId="2B4A32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F51C1">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8173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476C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CB37C">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5AA4B">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AE21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EE2B3">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2CB84">
            <w:pPr>
              <w:jc w:val="center"/>
            </w:pPr>
            <w:r>
              <w:rPr>
                <w:rFonts w:ascii="宋体" w:hAnsi="宋体" w:eastAsia="宋体"/>
                <w:sz w:val="16"/>
              </w:rPr>
              <w:t>得分</w:t>
            </w:r>
          </w:p>
        </w:tc>
      </w:tr>
      <w:tr w14:paraId="13CAC9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51C0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5B924">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5A39E">
            <w:pPr>
              <w:jc w:val="center"/>
            </w:pPr>
            <w:r>
              <w:rPr>
                <w:rFonts w:ascii="宋体" w:hAnsi="宋体" w:eastAsia="宋体"/>
                <w:sz w:val="16"/>
              </w:rPr>
              <w:t>4,337.01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0BB80">
            <w:pPr>
              <w:jc w:val="center"/>
            </w:pPr>
            <w:r>
              <w:rPr>
                <w:rFonts w:ascii="宋体" w:hAnsi="宋体" w:eastAsia="宋体"/>
                <w:sz w:val="16"/>
              </w:rPr>
              <w:t>3,638.94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808D5">
            <w:pPr>
              <w:jc w:val="center"/>
            </w:pPr>
            <w:r>
              <w:rPr>
                <w:rFonts w:ascii="宋体" w:hAnsi="宋体" w:eastAsia="宋体"/>
                <w:sz w:val="16"/>
              </w:rPr>
              <w:t>3,284.91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BFF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0B169">
            <w:pPr>
              <w:jc w:val="center"/>
            </w:pPr>
            <w:r>
              <w:rPr>
                <w:rFonts w:ascii="宋体" w:hAnsi="宋体" w:eastAsia="宋体"/>
                <w:sz w:val="16"/>
              </w:rPr>
              <w:t>90.27%</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2B3F3">
            <w:pPr>
              <w:jc w:val="center"/>
            </w:pPr>
            <w:r>
              <w:rPr>
                <w:rFonts w:ascii="宋体" w:hAnsi="宋体" w:eastAsia="宋体"/>
                <w:sz w:val="16"/>
              </w:rPr>
              <w:t>9.03</w:t>
            </w:r>
          </w:p>
        </w:tc>
      </w:tr>
      <w:tr w14:paraId="61078B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8A1F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625B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295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14EAC">
            <w:pPr>
              <w:jc w:val="center"/>
            </w:pPr>
            <w:r>
              <w:rPr>
                <w:rFonts w:ascii="宋体" w:hAnsi="宋体" w:eastAsia="宋体"/>
                <w:sz w:val="16"/>
              </w:rPr>
              <w:t>16.04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985DF">
            <w:pPr>
              <w:jc w:val="center"/>
            </w:pPr>
            <w:r>
              <w:rPr>
                <w:rFonts w:ascii="宋体" w:hAnsi="宋体" w:eastAsia="宋体"/>
                <w:sz w:val="16"/>
              </w:rPr>
              <w:t>16.04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255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8573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C83AF">
            <w:pPr>
              <w:jc w:val="center"/>
            </w:pPr>
            <w:r>
              <w:rPr>
                <w:rFonts w:ascii="宋体" w:hAnsi="宋体" w:eastAsia="宋体"/>
                <w:sz w:val="16"/>
              </w:rPr>
              <w:t>—</w:t>
            </w:r>
          </w:p>
        </w:tc>
      </w:tr>
      <w:tr w14:paraId="70647E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5B99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F585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D037B">
            <w:pPr>
              <w:jc w:val="center"/>
            </w:pPr>
            <w:r>
              <w:rPr>
                <w:rFonts w:ascii="宋体" w:hAnsi="宋体" w:eastAsia="宋体"/>
                <w:sz w:val="16"/>
              </w:rPr>
              <w:t>4,152.40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2316C">
            <w:pPr>
              <w:jc w:val="center"/>
            </w:pPr>
            <w:r>
              <w:rPr>
                <w:rFonts w:ascii="宋体" w:hAnsi="宋体" w:eastAsia="宋体"/>
                <w:sz w:val="16"/>
              </w:rPr>
              <w:t>1,667.12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AD71A">
            <w:pPr>
              <w:jc w:val="center"/>
            </w:pPr>
            <w:r>
              <w:rPr>
                <w:rFonts w:ascii="宋体" w:hAnsi="宋体" w:eastAsia="宋体"/>
                <w:sz w:val="16"/>
              </w:rPr>
              <w:t>1,661.98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56F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7F1C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53FAC">
            <w:pPr>
              <w:jc w:val="center"/>
            </w:pPr>
            <w:r>
              <w:rPr>
                <w:rFonts w:ascii="宋体" w:hAnsi="宋体" w:eastAsia="宋体"/>
                <w:sz w:val="16"/>
              </w:rPr>
              <w:t>—</w:t>
            </w:r>
          </w:p>
        </w:tc>
      </w:tr>
      <w:tr w14:paraId="15FDE5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7003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B1E1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3E353">
            <w:pPr>
              <w:jc w:val="center"/>
            </w:pPr>
            <w:r>
              <w:rPr>
                <w:rFonts w:ascii="宋体" w:hAnsi="宋体" w:eastAsia="宋体"/>
                <w:sz w:val="16"/>
              </w:rPr>
              <w:t>184.61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717F4">
            <w:pPr>
              <w:jc w:val="center"/>
            </w:pPr>
            <w:r>
              <w:rPr>
                <w:rFonts w:ascii="宋体" w:hAnsi="宋体" w:eastAsia="宋体"/>
                <w:sz w:val="16"/>
              </w:rPr>
              <w:t>1,955.78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C1847">
            <w:pPr>
              <w:jc w:val="center"/>
            </w:pPr>
            <w:r>
              <w:rPr>
                <w:rFonts w:ascii="宋体" w:hAnsi="宋体" w:eastAsia="宋体"/>
                <w:sz w:val="16"/>
              </w:rPr>
              <w:t>1,606.89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42E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401B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02DF8">
            <w:pPr>
              <w:jc w:val="center"/>
            </w:pPr>
            <w:r>
              <w:rPr>
                <w:rFonts w:ascii="宋体" w:hAnsi="宋体" w:eastAsia="宋体"/>
                <w:sz w:val="16"/>
              </w:rPr>
              <w:t>—</w:t>
            </w:r>
          </w:p>
        </w:tc>
      </w:tr>
      <w:tr w14:paraId="6688FCB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DF5D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FFDDF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027016">
            <w:pPr>
              <w:jc w:val="center"/>
            </w:pPr>
            <w:r>
              <w:rPr>
                <w:rFonts w:ascii="宋体" w:hAnsi="宋体" w:eastAsia="宋体"/>
                <w:sz w:val="16"/>
              </w:rPr>
              <w:t>实际完成目标</w:t>
            </w:r>
          </w:p>
        </w:tc>
      </w:tr>
      <w:tr w14:paraId="09AC7A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7E3EF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BCA2E1">
            <w:pPr>
              <w:jc w:val="both"/>
            </w:pPr>
            <w:r>
              <w:rPr>
                <w:rFonts w:ascii="宋体" w:hAnsi="宋体" w:eastAsia="宋体"/>
                <w:sz w:val="16"/>
              </w:rPr>
              <w:t>1.项目支出预算指标为2422.70606万元，主要用于上交管理费1000万元、临聘教师工资项目360万元、保障学校教务教学项目1042.7060万元、“</w:t>
            </w:r>
            <w:r>
              <w:rPr>
                <w:rFonts w:hint="eastAsia" w:ascii="宋体" w:hAnsi="宋体"/>
                <w:sz w:val="16"/>
                <w:lang w:eastAsia="zh-CN"/>
              </w:rPr>
              <w:t>为民办实事</w:t>
            </w:r>
            <w:r>
              <w:rPr>
                <w:rFonts w:ascii="宋体" w:hAnsi="宋体" w:eastAsia="宋体"/>
                <w:sz w:val="16"/>
              </w:rPr>
              <w:t>”后盾单位乡村振兴农村建设项目20万元。通过实现以上的目标来保障我们和田开放大学教育教学质量的提高，使我们单位提升对学生的服务质量，能够保障我们学历教育与非学历教育的各项工作的开展，使我们和田开放大学在和田地区扩大知名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CD4B8D">
            <w:pPr>
              <w:jc w:val="both"/>
            </w:pPr>
            <w:r>
              <w:rPr>
                <w:rFonts w:hint="eastAsia" w:ascii="宋体" w:hAnsi="宋体"/>
                <w:sz w:val="16"/>
                <w:lang w:eastAsia="zh-CN"/>
              </w:rPr>
              <w:t>截至</w:t>
            </w:r>
            <w:r>
              <w:rPr>
                <w:rFonts w:ascii="宋体" w:hAnsi="宋体" w:eastAsia="宋体"/>
                <w:sz w:val="16"/>
              </w:rPr>
              <w:t>2024年12月31日，本单位实际完成保障招生人数2000人，保障学生毕业人数2500人，保障非学历教育培训人数2000人，实际形成支出3,284.91万元，通过完成以上工作，实现了有效扩大和田开放大学在和田地区知名度的效益。</w:t>
            </w:r>
          </w:p>
        </w:tc>
      </w:tr>
      <w:tr w14:paraId="0A9D9E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6916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9C65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82D1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4606C">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527D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3457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6FC7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7FF4B">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BE3CE">
            <w:pPr>
              <w:jc w:val="center"/>
            </w:pPr>
            <w:r>
              <w:rPr>
                <w:rFonts w:ascii="宋体" w:hAnsi="宋体" w:eastAsia="宋体"/>
                <w:sz w:val="16"/>
              </w:rPr>
              <w:t>得分</w:t>
            </w:r>
          </w:p>
        </w:tc>
      </w:tr>
      <w:tr w14:paraId="611A5F26">
        <w:tblPrEx>
          <w:tblCellMar>
            <w:top w:w="0" w:type="dxa"/>
            <w:left w:w="108" w:type="dxa"/>
            <w:bottom w:w="0" w:type="dxa"/>
            <w:right w:w="108" w:type="dxa"/>
          </w:tblCellMar>
        </w:tblPrEx>
        <w:trPr>
          <w:trHeight w:val="512"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E904D">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D06A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3E2B6">
            <w:pPr>
              <w:jc w:val="center"/>
            </w:pPr>
            <w:r>
              <w:rPr>
                <w:rFonts w:hint="eastAsia" w:ascii="宋体" w:hAnsi="宋体"/>
                <w:sz w:val="16"/>
                <w:lang w:eastAsia="zh-CN"/>
              </w:rPr>
              <w:t>“三公”经费</w:t>
            </w:r>
            <w:r>
              <w:rPr>
                <w:rFonts w:ascii="宋体" w:hAnsi="宋体" w:eastAsia="宋体"/>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024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2F9CA">
            <w:pPr>
              <w:jc w:val="center"/>
            </w:pPr>
            <w:r>
              <w:rPr>
                <w:rFonts w:ascii="宋体" w:hAnsi="宋体" w:eastAsia="宋体"/>
                <w:sz w:val="16"/>
              </w:rPr>
              <w:t>财政部相关文件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03F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A96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CAA3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398D2">
            <w:pPr>
              <w:jc w:val="center"/>
            </w:pPr>
            <w:r>
              <w:rPr>
                <w:rFonts w:ascii="宋体" w:hAnsi="宋体" w:eastAsia="宋体"/>
                <w:sz w:val="16"/>
              </w:rPr>
              <w:t>10</w:t>
            </w:r>
          </w:p>
        </w:tc>
      </w:tr>
      <w:tr w14:paraId="3231B69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FA2D8">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6C0A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1F51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C29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5F0F7">
            <w:pPr>
              <w:jc w:val="center"/>
            </w:pPr>
            <w:r>
              <w:rPr>
                <w:rFonts w:ascii="宋体" w:hAnsi="宋体" w:eastAsia="宋体"/>
                <w:sz w:val="16"/>
              </w:rPr>
              <w:t>财务制度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01A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398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2A7D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88E49">
            <w:pPr>
              <w:jc w:val="center"/>
            </w:pPr>
            <w:r>
              <w:rPr>
                <w:rFonts w:ascii="宋体" w:hAnsi="宋体" w:eastAsia="宋体"/>
                <w:sz w:val="16"/>
              </w:rPr>
              <w:t>10</w:t>
            </w:r>
          </w:p>
        </w:tc>
      </w:tr>
      <w:tr w14:paraId="2E70876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C3EC1">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B6F1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D934E">
            <w:pPr>
              <w:jc w:val="center"/>
            </w:pPr>
            <w:r>
              <w:rPr>
                <w:rFonts w:ascii="宋体" w:hAnsi="宋体" w:eastAsia="宋体"/>
                <w:sz w:val="16"/>
              </w:rPr>
              <w:t>保障招生人数（人）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3CAD5">
            <w:pPr>
              <w:jc w:val="center"/>
            </w:pPr>
            <w:r>
              <w:rPr>
                <w:rFonts w:hint="default" w:ascii="Arial" w:hAnsi="Arial" w:eastAsia="宋体" w:cs="Arial"/>
                <w:sz w:val="16"/>
              </w:rPr>
              <w:t>≥</w:t>
            </w:r>
            <w:r>
              <w:rPr>
                <w:rFonts w:ascii="宋体" w:hAnsi="宋体" w:eastAsia="宋体"/>
                <w:sz w:val="16"/>
              </w:rPr>
              <w:t>2000人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FAF0A">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28F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6FC8C">
            <w:pPr>
              <w:jc w:val="center"/>
            </w:pPr>
            <w:r>
              <w:rPr>
                <w:rFonts w:ascii="宋体" w:hAnsi="宋体" w:eastAsia="宋体"/>
                <w:sz w:val="16"/>
              </w:rPr>
              <w:t>2000人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17E6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3BE73">
            <w:pPr>
              <w:jc w:val="center"/>
            </w:pPr>
            <w:r>
              <w:rPr>
                <w:rFonts w:ascii="宋体" w:hAnsi="宋体" w:eastAsia="宋体"/>
                <w:sz w:val="16"/>
              </w:rPr>
              <w:t>10</w:t>
            </w:r>
          </w:p>
        </w:tc>
      </w:tr>
      <w:tr w14:paraId="3F13CC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663F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DECD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5237F">
            <w:pPr>
              <w:jc w:val="center"/>
            </w:pPr>
            <w:r>
              <w:rPr>
                <w:rFonts w:ascii="宋体" w:hAnsi="宋体" w:eastAsia="宋体"/>
                <w:sz w:val="16"/>
              </w:rPr>
              <w:t>保障学生毕业人数（人）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2088F">
            <w:pPr>
              <w:jc w:val="center"/>
            </w:pPr>
            <w:r>
              <w:rPr>
                <w:rFonts w:hint="default" w:ascii="Arial" w:hAnsi="Arial" w:eastAsia="宋体" w:cs="Arial"/>
                <w:sz w:val="16"/>
              </w:rPr>
              <w:t>≥</w:t>
            </w:r>
            <w:r>
              <w:rPr>
                <w:rFonts w:ascii="宋体" w:hAnsi="宋体" w:eastAsia="宋体"/>
                <w:sz w:val="16"/>
              </w:rPr>
              <w:t>2500人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7C90A">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DBB3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1EF42">
            <w:pPr>
              <w:jc w:val="center"/>
            </w:pPr>
            <w:r>
              <w:rPr>
                <w:rFonts w:ascii="宋体" w:hAnsi="宋体" w:eastAsia="宋体"/>
                <w:sz w:val="16"/>
              </w:rPr>
              <w:t>2500人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018D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AB958">
            <w:pPr>
              <w:jc w:val="center"/>
            </w:pPr>
            <w:r>
              <w:rPr>
                <w:rFonts w:ascii="宋体" w:hAnsi="宋体" w:eastAsia="宋体"/>
                <w:sz w:val="16"/>
              </w:rPr>
              <w:t>20</w:t>
            </w:r>
          </w:p>
        </w:tc>
      </w:tr>
      <w:tr w14:paraId="3FCC22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C331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6AD2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3C02A">
            <w:pPr>
              <w:jc w:val="center"/>
            </w:pPr>
            <w:r>
              <w:rPr>
                <w:rFonts w:ascii="宋体" w:hAnsi="宋体" w:eastAsia="宋体"/>
                <w:sz w:val="16"/>
              </w:rPr>
              <w:t>购买设备数量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360E6">
            <w:pPr>
              <w:jc w:val="center"/>
            </w:pPr>
            <w:r>
              <w:rPr>
                <w:rFonts w:hint="default" w:ascii="Arial" w:hAnsi="Arial" w:eastAsia="宋体" w:cs="Arial"/>
                <w:sz w:val="16"/>
              </w:rPr>
              <w:t>≥</w:t>
            </w:r>
            <w:r>
              <w:rPr>
                <w:rFonts w:ascii="宋体" w:hAnsi="宋体" w:eastAsia="宋体"/>
                <w:sz w:val="16"/>
              </w:rPr>
              <w:t>100台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DE1F2">
            <w:pPr>
              <w:jc w:val="center"/>
            </w:pPr>
            <w:r>
              <w:rPr>
                <w:rFonts w:ascii="宋体" w:hAnsi="宋体" w:eastAsia="宋体"/>
                <w:sz w:val="16"/>
              </w:rPr>
              <w:t>关于学校报废申请文件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DB1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39F93">
            <w:pPr>
              <w:jc w:val="center"/>
            </w:pPr>
            <w:r>
              <w:rPr>
                <w:rFonts w:ascii="宋体" w:hAnsi="宋体" w:eastAsia="宋体"/>
                <w:sz w:val="16"/>
              </w:rPr>
              <w:t>0台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15FA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1C71E">
            <w:pPr>
              <w:jc w:val="center"/>
            </w:pPr>
            <w:r>
              <w:rPr>
                <w:rFonts w:ascii="宋体" w:hAnsi="宋体" w:eastAsia="宋体"/>
                <w:sz w:val="16"/>
              </w:rPr>
              <w:t>0</w:t>
            </w:r>
          </w:p>
        </w:tc>
      </w:tr>
      <w:tr w14:paraId="535A06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EFDDC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9AE6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01F25">
            <w:pPr>
              <w:keepNext w:val="0"/>
              <w:keepLines w:val="0"/>
              <w:pageBreakBefore w:val="0"/>
              <w:widowControl w:val="0"/>
              <w:kinsoku/>
              <w:wordWrap/>
              <w:overflowPunct/>
              <w:topLinePunct w:val="0"/>
              <w:autoSpaceDE/>
              <w:autoSpaceDN/>
              <w:bidi w:val="0"/>
              <w:adjustRightInd/>
              <w:snapToGrid/>
              <w:spacing w:line="160" w:lineRule="exact"/>
              <w:jc w:val="center"/>
              <w:textAlignment w:val="auto"/>
            </w:pPr>
            <w:r>
              <w:rPr>
                <w:rFonts w:ascii="宋体" w:hAnsi="宋体" w:eastAsia="宋体"/>
                <w:sz w:val="16"/>
              </w:rPr>
              <w:t>保障非学历教育培训人数（人）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A7735">
            <w:pPr>
              <w:jc w:val="center"/>
            </w:pPr>
            <w:r>
              <w:rPr>
                <w:rFonts w:hint="default" w:ascii="Arial" w:hAnsi="Arial" w:eastAsia="宋体" w:cs="Arial"/>
                <w:sz w:val="16"/>
              </w:rPr>
              <w:t>≥</w:t>
            </w:r>
            <w:r>
              <w:rPr>
                <w:rFonts w:ascii="宋体" w:hAnsi="宋体" w:eastAsia="宋体"/>
                <w:sz w:val="16"/>
              </w:rPr>
              <w:t>2000人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A955B">
            <w:pPr>
              <w:jc w:val="center"/>
            </w:pPr>
            <w:r>
              <w:rPr>
                <w:rFonts w:ascii="宋体" w:hAnsi="宋体" w:eastAsia="宋体"/>
                <w:sz w:val="16"/>
              </w:rPr>
              <w:t>培训计划表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916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33E98">
            <w:pPr>
              <w:jc w:val="center"/>
            </w:pPr>
            <w:r>
              <w:rPr>
                <w:rFonts w:ascii="宋体" w:hAnsi="宋体" w:eastAsia="宋体"/>
                <w:sz w:val="16"/>
              </w:rPr>
              <w:t>2000人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C207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603E1">
            <w:pPr>
              <w:jc w:val="center"/>
            </w:pPr>
            <w:r>
              <w:rPr>
                <w:rFonts w:ascii="宋体" w:hAnsi="宋体" w:eastAsia="宋体"/>
                <w:sz w:val="16"/>
              </w:rPr>
              <w:t>10</w:t>
            </w:r>
          </w:p>
        </w:tc>
      </w:tr>
      <w:tr w14:paraId="3E0AE02E">
        <w:tblPrEx>
          <w:tblCellMar>
            <w:top w:w="0" w:type="dxa"/>
            <w:left w:w="108" w:type="dxa"/>
            <w:bottom w:w="0" w:type="dxa"/>
            <w:right w:w="108" w:type="dxa"/>
          </w:tblCellMar>
        </w:tblPrEx>
        <w:trPr>
          <w:trHeight w:val="798"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1513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A99C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4348B">
            <w:pPr>
              <w:jc w:val="center"/>
            </w:pPr>
            <w:r>
              <w:rPr>
                <w:rFonts w:ascii="宋体" w:hAnsi="宋体" w:eastAsia="宋体"/>
                <w:sz w:val="16"/>
              </w:rPr>
              <w:t>非学历教育毕业合格率（%）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8BD07">
            <w:pPr>
              <w:jc w:val="center"/>
            </w:pPr>
            <w:r>
              <w:rPr>
                <w:rFonts w:hint="default" w:ascii="Arial" w:hAnsi="Arial" w:eastAsia="宋体" w:cs="Arial"/>
                <w:sz w:val="16"/>
              </w:rPr>
              <w:t>≥</w:t>
            </w: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39FFD">
            <w:pPr>
              <w:jc w:val="center"/>
            </w:pPr>
            <w:r>
              <w:rPr>
                <w:rFonts w:ascii="宋体" w:hAnsi="宋体" w:eastAsia="宋体"/>
                <w:sz w:val="16"/>
              </w:rPr>
              <w:t>毕业合格花名册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887B2">
            <w:pPr>
              <w:jc w:val="center"/>
            </w:pPr>
            <w:r>
              <w:rPr>
                <w:rFonts w:ascii="宋体" w:hAnsi="宋体" w:eastAsia="宋体"/>
                <w:sz w:val="16"/>
              </w:rPr>
              <w:t>10</w:t>
            </w:r>
            <w:bookmarkStart w:id="0" w:name="_GoBack"/>
            <w:bookmarkEnd w:id="0"/>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A4A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D24B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E5363">
            <w:pPr>
              <w:jc w:val="center"/>
            </w:pPr>
            <w:r>
              <w:rPr>
                <w:rFonts w:ascii="宋体" w:hAnsi="宋体" w:eastAsia="宋体"/>
                <w:sz w:val="16"/>
              </w:rPr>
              <w:t>10</w:t>
            </w:r>
          </w:p>
        </w:tc>
      </w:tr>
      <w:tr w14:paraId="3D73C80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625F9">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A1AF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0BC5C">
            <w:pPr>
              <w:jc w:val="center"/>
            </w:pPr>
            <w:r>
              <w:rPr>
                <w:rFonts w:ascii="宋体" w:hAnsi="宋体" w:eastAsia="宋体"/>
                <w:sz w:val="16"/>
              </w:rPr>
              <w:t>公众部门履职效果满意度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347DF">
            <w:pPr>
              <w:jc w:val="center"/>
            </w:pPr>
            <w:r>
              <w:rPr>
                <w:rFonts w:hint="default" w:ascii="Arial" w:hAnsi="Arial" w:eastAsia="宋体" w:cs="Arial"/>
                <w:sz w:val="16"/>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6CD82">
            <w:pPr>
              <w:jc w:val="center"/>
            </w:pPr>
            <w:r>
              <w:rPr>
                <w:rFonts w:ascii="宋体" w:hAnsi="宋体" w:eastAsia="宋体"/>
                <w:sz w:val="16"/>
              </w:rPr>
              <w:t>上级部门要求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1E4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443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DA5A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A9C05">
            <w:pPr>
              <w:jc w:val="center"/>
            </w:pPr>
            <w:r>
              <w:rPr>
                <w:rFonts w:ascii="宋体" w:hAnsi="宋体" w:eastAsia="宋体"/>
                <w:sz w:val="16"/>
              </w:rPr>
              <w:t>10</w:t>
            </w:r>
          </w:p>
        </w:tc>
      </w:tr>
    </w:tbl>
    <w:p w14:paraId="7442E5C7">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FAA521F">
        <w:tblPrEx>
          <w:tblCellMar>
            <w:top w:w="0" w:type="dxa"/>
            <w:left w:w="108" w:type="dxa"/>
            <w:bottom w:w="0" w:type="dxa"/>
            <w:right w:w="108" w:type="dxa"/>
          </w:tblCellMar>
        </w:tblPrEx>
        <w:tc>
          <w:tcPr>
            <w:tcW w:w="8847" w:type="dxa"/>
            <w:gridSpan w:val="9"/>
            <w:vAlign w:val="center"/>
          </w:tcPr>
          <w:p w14:paraId="007B4842">
            <w:pPr>
              <w:jc w:val="center"/>
            </w:pPr>
            <w:r>
              <w:rPr>
                <w:rFonts w:ascii="宋体" w:hAnsi="宋体" w:eastAsia="宋体"/>
                <w:sz w:val="24"/>
              </w:rPr>
              <w:t>项目支出绩效自评表</w:t>
            </w:r>
          </w:p>
        </w:tc>
      </w:tr>
      <w:tr w14:paraId="5883BA8B">
        <w:tblPrEx>
          <w:tblCellMar>
            <w:top w:w="0" w:type="dxa"/>
            <w:left w:w="108" w:type="dxa"/>
            <w:bottom w:w="0" w:type="dxa"/>
            <w:right w:w="108" w:type="dxa"/>
          </w:tblCellMar>
        </w:tblPrEx>
        <w:tc>
          <w:tcPr>
            <w:tcW w:w="8847" w:type="dxa"/>
            <w:gridSpan w:val="9"/>
            <w:vAlign w:val="center"/>
          </w:tcPr>
          <w:p w14:paraId="32C3053B">
            <w:pPr>
              <w:jc w:val="center"/>
            </w:pPr>
            <w:r>
              <w:rPr>
                <w:rFonts w:ascii="宋体" w:hAnsi="宋体" w:eastAsia="宋体"/>
                <w:sz w:val="24"/>
              </w:rPr>
              <w:t>(2024年度)</w:t>
            </w:r>
          </w:p>
        </w:tc>
      </w:tr>
      <w:tr w14:paraId="26E8D09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904E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7EA3F16">
            <w:pPr>
              <w:jc w:val="center"/>
            </w:pPr>
            <w:r>
              <w:rPr>
                <w:rFonts w:ascii="宋体" w:hAnsi="宋体" w:eastAsia="宋体"/>
                <w:sz w:val="16"/>
              </w:rPr>
              <w:t>2024年</w:t>
            </w:r>
            <w:r>
              <w:rPr>
                <w:rFonts w:hint="eastAsia" w:ascii="宋体" w:hAnsi="宋体"/>
                <w:sz w:val="16"/>
                <w:lang w:eastAsia="zh-CN"/>
              </w:rPr>
              <w:t>驻村工作</w:t>
            </w:r>
            <w:r>
              <w:rPr>
                <w:rFonts w:ascii="宋体" w:hAnsi="宋体" w:eastAsia="宋体"/>
                <w:sz w:val="16"/>
              </w:rPr>
              <w:t>经费</w:t>
            </w:r>
          </w:p>
        </w:tc>
      </w:tr>
      <w:tr w14:paraId="262A8B2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64D9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8ED476">
            <w:pPr>
              <w:jc w:val="center"/>
            </w:pPr>
            <w:r>
              <w:rPr>
                <w:rFonts w:ascii="宋体" w:hAnsi="宋体" w:eastAsia="宋体"/>
                <w:sz w:val="16"/>
              </w:rPr>
              <w:t>和田开放大学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4485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137161">
            <w:pPr>
              <w:jc w:val="center"/>
            </w:pPr>
            <w:r>
              <w:rPr>
                <w:rFonts w:ascii="宋体" w:hAnsi="宋体" w:eastAsia="宋体"/>
                <w:sz w:val="16"/>
              </w:rPr>
              <w:t>和田开放大学</w:t>
            </w:r>
          </w:p>
        </w:tc>
      </w:tr>
      <w:tr w14:paraId="00DA9CC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106E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0A30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F55B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997C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BC95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C5AE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088F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991FB">
            <w:pPr>
              <w:jc w:val="center"/>
            </w:pPr>
            <w:r>
              <w:rPr>
                <w:rFonts w:ascii="宋体" w:hAnsi="宋体" w:eastAsia="宋体"/>
                <w:sz w:val="16"/>
              </w:rPr>
              <w:t>得分</w:t>
            </w:r>
          </w:p>
        </w:tc>
      </w:tr>
      <w:tr w14:paraId="14394A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A913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557F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89C70">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58C3E">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C59C2">
            <w:pPr>
              <w:jc w:val="center"/>
            </w:pPr>
            <w:r>
              <w:rPr>
                <w:rFonts w:ascii="宋体" w:hAnsi="宋体" w:eastAsia="宋体"/>
                <w:sz w:val="16"/>
              </w:rPr>
              <w:t>16.04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D2B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3537D">
            <w:pPr>
              <w:jc w:val="center"/>
            </w:pPr>
            <w:r>
              <w:rPr>
                <w:rFonts w:ascii="宋体" w:hAnsi="宋体" w:eastAsia="宋体"/>
                <w:sz w:val="16"/>
              </w:rPr>
              <w:t xml:space="preserve">66.83%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671F1">
            <w:pPr>
              <w:jc w:val="center"/>
            </w:pPr>
            <w:r>
              <w:rPr>
                <w:rFonts w:ascii="宋体" w:hAnsi="宋体" w:eastAsia="宋体"/>
                <w:sz w:val="16"/>
              </w:rPr>
              <w:t>1.71分</w:t>
            </w:r>
          </w:p>
        </w:tc>
      </w:tr>
      <w:tr w14:paraId="3ECBB8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85282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5937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BFE0B">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67353">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F3156">
            <w:pPr>
              <w:jc w:val="center"/>
            </w:pPr>
            <w:r>
              <w:rPr>
                <w:rFonts w:ascii="宋体" w:hAnsi="宋体" w:eastAsia="宋体"/>
                <w:sz w:val="16"/>
              </w:rPr>
              <w:t>16.04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BCB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0D2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28750">
            <w:pPr>
              <w:jc w:val="center"/>
            </w:pPr>
            <w:r>
              <w:rPr>
                <w:rFonts w:ascii="宋体" w:hAnsi="宋体" w:eastAsia="宋体"/>
                <w:sz w:val="16"/>
              </w:rPr>
              <w:t>—</w:t>
            </w:r>
          </w:p>
        </w:tc>
      </w:tr>
      <w:tr w14:paraId="12617E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17150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72B9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63F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CDF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D03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38A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0E5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8566F">
            <w:pPr>
              <w:jc w:val="center"/>
            </w:pPr>
            <w:r>
              <w:rPr>
                <w:rFonts w:ascii="宋体" w:hAnsi="宋体" w:eastAsia="宋体"/>
                <w:sz w:val="16"/>
              </w:rPr>
              <w:t>—</w:t>
            </w:r>
          </w:p>
        </w:tc>
      </w:tr>
      <w:tr w14:paraId="1BD139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8C1BC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9707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864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108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B59D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A8A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AD9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2C6CE">
            <w:pPr>
              <w:jc w:val="center"/>
            </w:pPr>
            <w:r>
              <w:rPr>
                <w:rFonts w:ascii="宋体" w:hAnsi="宋体" w:eastAsia="宋体"/>
                <w:sz w:val="16"/>
              </w:rPr>
              <w:t>—</w:t>
            </w:r>
          </w:p>
        </w:tc>
      </w:tr>
      <w:tr w14:paraId="5AADB3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4F8D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1D4C9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B59107">
            <w:pPr>
              <w:jc w:val="center"/>
            </w:pPr>
            <w:r>
              <w:rPr>
                <w:rFonts w:ascii="宋体" w:hAnsi="宋体" w:eastAsia="宋体"/>
                <w:sz w:val="16"/>
              </w:rPr>
              <w:t>实际完成情况</w:t>
            </w:r>
          </w:p>
        </w:tc>
      </w:tr>
      <w:tr w14:paraId="2EDDC7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4B6BC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49F67D">
            <w:pPr>
              <w:jc w:val="both"/>
            </w:pPr>
            <w:r>
              <w:rPr>
                <w:rFonts w:ascii="宋体" w:hAnsi="宋体" w:eastAsia="宋体"/>
                <w:sz w:val="16"/>
              </w:rPr>
              <w:t>本项目主要实施内容为：慰问困难群体6次，保障驻村工作点2个，项目总投资为24万元，项目计划于2024年12月完成。通过本项目的实施，可有效解决当地群众的生活困难问题，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86AC68">
            <w:pPr>
              <w:jc w:val="both"/>
            </w:pPr>
            <w:r>
              <w:rPr>
                <w:rFonts w:hint="eastAsia" w:ascii="宋体" w:hAnsi="宋体"/>
                <w:sz w:val="16"/>
                <w:lang w:eastAsia="zh-CN"/>
              </w:rPr>
              <w:t>截至</w:t>
            </w:r>
            <w:r>
              <w:rPr>
                <w:rFonts w:ascii="宋体" w:hAnsi="宋体" w:eastAsia="宋体"/>
                <w:sz w:val="16"/>
              </w:rPr>
              <w:t>2024年12月31日，项目实际形成支出16.04万元，已完成慰问困难群体6次，保障驻村工作点2个，达到了有效解决当地群众的生活困难问题的效益，使受益人群满意度达到100%。</w:t>
            </w:r>
          </w:p>
        </w:tc>
      </w:tr>
      <w:tr w14:paraId="0FAABDC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04569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0F63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EBA7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8EB2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3D0D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29F7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90E0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6582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B4471">
            <w:pPr>
              <w:jc w:val="center"/>
            </w:pPr>
            <w:r>
              <w:rPr>
                <w:rFonts w:ascii="宋体" w:hAnsi="宋体" w:eastAsia="宋体"/>
                <w:sz w:val="16"/>
              </w:rPr>
              <w:t>偏差原因分析及改进措施</w:t>
            </w:r>
          </w:p>
        </w:tc>
      </w:tr>
      <w:tr w14:paraId="3C9BF40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CAFB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5F145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8C49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E1C32">
            <w:pPr>
              <w:jc w:val="center"/>
            </w:pPr>
            <w:r>
              <w:rPr>
                <w:rFonts w:ascii="宋体" w:hAnsi="宋体" w:eastAsia="宋体"/>
                <w:sz w:val="16"/>
              </w:rPr>
              <w:t>慰问困难群体次数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E8BE6">
            <w:pPr>
              <w:jc w:val="center"/>
            </w:pPr>
            <w:r>
              <w:rPr>
                <w:rFonts w:ascii="宋体" w:hAnsi="宋体" w:eastAsia="宋体"/>
                <w:sz w:val="16"/>
              </w:rPr>
              <w: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5FC83">
            <w:pPr>
              <w:jc w:val="center"/>
            </w:pPr>
            <w:r>
              <w:rPr>
                <w:rFonts w:ascii="宋体" w:hAnsi="宋体" w:eastAsia="宋体"/>
                <w:sz w:val="16"/>
              </w:rPr>
              <w: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F77C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0D1F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2AAC4">
            <w:pPr>
              <w:jc w:val="center"/>
            </w:pPr>
          </w:p>
        </w:tc>
      </w:tr>
      <w:tr w14:paraId="5B4983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D68B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6D96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152A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BD1CB">
            <w:pPr>
              <w:jc w:val="center"/>
            </w:pPr>
            <w:r>
              <w:rPr>
                <w:rFonts w:ascii="宋体" w:hAnsi="宋体" w:eastAsia="宋体"/>
                <w:sz w:val="16"/>
              </w:rPr>
              <w:t>保障驻村工作点数量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FAACB">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135E0">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0431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0246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E665D">
            <w:pPr>
              <w:jc w:val="center"/>
            </w:pPr>
          </w:p>
        </w:tc>
      </w:tr>
      <w:tr w14:paraId="1FA241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81B6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35141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05AC2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216D2">
            <w:pPr>
              <w:jc w:val="center"/>
            </w:pPr>
            <w:r>
              <w:rPr>
                <w:rFonts w:ascii="宋体" w:hAnsi="宋体" w:eastAsia="宋体"/>
                <w:sz w:val="16"/>
              </w:rPr>
              <w:t>为民办实事保障率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943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9BF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E9EE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FC79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1C510">
            <w:pPr>
              <w:jc w:val="center"/>
            </w:pPr>
          </w:p>
        </w:tc>
      </w:tr>
      <w:tr w14:paraId="164954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44F9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86B2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EE3B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7F83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CE31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CA4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57FD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50AF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A6E25">
            <w:pPr>
              <w:jc w:val="center"/>
            </w:pPr>
          </w:p>
        </w:tc>
      </w:tr>
      <w:tr w14:paraId="37138A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72F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A6200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3FF1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F50EF">
            <w:pPr>
              <w:jc w:val="center"/>
            </w:pPr>
            <w:r>
              <w:rPr>
                <w:rFonts w:ascii="宋体" w:hAnsi="宋体" w:eastAsia="宋体"/>
                <w:sz w:val="16"/>
              </w:rPr>
              <w:t>资金支出及时率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142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8E8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21AD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C058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A622E">
            <w:pPr>
              <w:jc w:val="center"/>
            </w:pPr>
          </w:p>
        </w:tc>
      </w:tr>
      <w:tr w14:paraId="0F155B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151A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E371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EB98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F76F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5BC2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93397">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1565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5E19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D223E">
            <w:pPr>
              <w:jc w:val="center"/>
            </w:pPr>
          </w:p>
        </w:tc>
      </w:tr>
      <w:tr w14:paraId="28B1C3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8B39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1164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728C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00F32">
            <w:pPr>
              <w:jc w:val="center"/>
            </w:pPr>
            <w:r>
              <w:rPr>
                <w:rFonts w:ascii="宋体" w:hAnsi="宋体" w:eastAsia="宋体"/>
                <w:sz w:val="16"/>
              </w:rPr>
              <w:t>为民办实事办好事经费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489D7">
            <w:pPr>
              <w:jc w:val="center"/>
            </w:pPr>
            <w:r>
              <w:rPr>
                <w:rFonts w:ascii="宋体" w:hAnsi="宋体" w:eastAsia="宋体"/>
                <w:sz w:val="16"/>
              </w:rPr>
              <w:t>≤24万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3DA80">
            <w:pPr>
              <w:jc w:val="center"/>
            </w:pPr>
            <w:r>
              <w:rPr>
                <w:rFonts w:ascii="宋体" w:hAnsi="宋体" w:eastAsia="宋体"/>
                <w:sz w:val="16"/>
              </w:rPr>
              <w:t>=16.04万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8A39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D1DF4">
            <w:pPr>
              <w:jc w:val="center"/>
            </w:pPr>
            <w:r>
              <w:rPr>
                <w:rFonts w:ascii="宋体" w:hAnsi="宋体" w:eastAsia="宋体"/>
                <w:sz w:val="16"/>
              </w:rPr>
              <w:t>3.41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195F8">
            <w:pPr>
              <w:jc w:val="center"/>
            </w:pPr>
            <w:r>
              <w:rPr>
                <w:rFonts w:ascii="宋体" w:hAnsi="宋体" w:eastAsia="宋体"/>
                <w:sz w:val="16"/>
              </w:rPr>
              <w:t>偏差原因：工作队未及时提供报账资料导致支付进度较慢，改进措施：督促工作队队员及时提供报账材料，及时形成支出。</w:t>
            </w:r>
          </w:p>
        </w:tc>
      </w:tr>
      <w:tr w14:paraId="167F7E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297B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66AD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1B6A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1ECA6">
            <w:pPr>
              <w:jc w:val="center"/>
            </w:pPr>
            <w:r>
              <w:rPr>
                <w:rFonts w:ascii="宋体" w:hAnsi="宋体" w:eastAsia="宋体"/>
                <w:sz w:val="16"/>
              </w:rPr>
              <w:t>解决当地群众的生活困难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7A6F1">
            <w:pPr>
              <w:jc w:val="center"/>
            </w:pPr>
            <w:r>
              <w:rPr>
                <w:rFonts w:ascii="宋体" w:hAnsi="宋体" w:eastAsia="宋体"/>
                <w:sz w:val="16"/>
              </w:rPr>
              <w:t>有效解决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051B1">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89DE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E700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506B3">
            <w:pPr>
              <w:jc w:val="center"/>
            </w:pPr>
          </w:p>
        </w:tc>
      </w:tr>
      <w:tr w14:paraId="4CE1E2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D48E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6570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48FC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7DF47">
            <w:pPr>
              <w:jc w:val="center"/>
            </w:pPr>
            <w:r>
              <w:rPr>
                <w:rFonts w:hint="eastAsia" w:ascii="宋体" w:hAnsi="宋体"/>
                <w:sz w:val="16"/>
                <w:lang w:eastAsia="zh-CN"/>
              </w:rPr>
              <w:t>驻村</w:t>
            </w:r>
            <w:r>
              <w:rPr>
                <w:rFonts w:ascii="宋体" w:hAnsi="宋体" w:eastAsia="宋体"/>
                <w:sz w:val="16"/>
              </w:rPr>
              <w:t>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D0BC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D08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1BB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D79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0D5DC">
            <w:pPr>
              <w:jc w:val="center"/>
            </w:pPr>
          </w:p>
        </w:tc>
      </w:tr>
      <w:tr w14:paraId="2A42170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88F16">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EC00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93C56">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373586">
            <w:pPr>
              <w:jc w:val="center"/>
            </w:pPr>
            <w:r>
              <w:rPr>
                <w:rFonts w:ascii="宋体" w:hAnsi="宋体" w:eastAsia="宋体"/>
                <w:sz w:val="16"/>
              </w:rPr>
              <w:t>75.12分</w:t>
            </w:r>
          </w:p>
        </w:tc>
      </w:tr>
    </w:tbl>
    <w:p w14:paraId="26C14763">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701F313">
        <w:tblPrEx>
          <w:tblCellMar>
            <w:top w:w="0" w:type="dxa"/>
            <w:left w:w="108" w:type="dxa"/>
            <w:bottom w:w="0" w:type="dxa"/>
            <w:right w:w="108" w:type="dxa"/>
          </w:tblCellMar>
        </w:tblPrEx>
        <w:tc>
          <w:tcPr>
            <w:tcW w:w="8847" w:type="dxa"/>
            <w:gridSpan w:val="9"/>
            <w:vAlign w:val="center"/>
          </w:tcPr>
          <w:p w14:paraId="52CC71A3">
            <w:pPr>
              <w:jc w:val="center"/>
            </w:pPr>
            <w:r>
              <w:rPr>
                <w:rFonts w:ascii="宋体" w:hAnsi="宋体" w:eastAsia="宋体"/>
                <w:sz w:val="24"/>
              </w:rPr>
              <w:t>项目支出绩效自评表</w:t>
            </w:r>
          </w:p>
        </w:tc>
      </w:tr>
      <w:tr w14:paraId="1984F5EA">
        <w:tblPrEx>
          <w:tblCellMar>
            <w:top w:w="0" w:type="dxa"/>
            <w:left w:w="108" w:type="dxa"/>
            <w:bottom w:w="0" w:type="dxa"/>
            <w:right w:w="108" w:type="dxa"/>
          </w:tblCellMar>
        </w:tblPrEx>
        <w:tc>
          <w:tcPr>
            <w:tcW w:w="8847" w:type="dxa"/>
            <w:gridSpan w:val="9"/>
            <w:vAlign w:val="center"/>
          </w:tcPr>
          <w:p w14:paraId="211ED9D4">
            <w:pPr>
              <w:jc w:val="center"/>
            </w:pPr>
            <w:r>
              <w:rPr>
                <w:rFonts w:ascii="宋体" w:hAnsi="宋体" w:eastAsia="宋体"/>
                <w:sz w:val="24"/>
              </w:rPr>
              <w:t>(2024年度)</w:t>
            </w:r>
          </w:p>
        </w:tc>
      </w:tr>
      <w:tr w14:paraId="375EE72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D7EE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024F0B3">
            <w:pPr>
              <w:jc w:val="center"/>
            </w:pPr>
            <w:r>
              <w:rPr>
                <w:rFonts w:ascii="宋体" w:hAnsi="宋体" w:eastAsia="宋体"/>
                <w:sz w:val="16"/>
              </w:rPr>
              <w:t>上交管理费项目</w:t>
            </w:r>
          </w:p>
        </w:tc>
      </w:tr>
      <w:tr w14:paraId="4D04249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0B3D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8AA994">
            <w:pPr>
              <w:jc w:val="center"/>
            </w:pPr>
            <w:r>
              <w:rPr>
                <w:rFonts w:ascii="宋体" w:hAnsi="宋体" w:eastAsia="宋体"/>
                <w:sz w:val="16"/>
              </w:rPr>
              <w:t>和田开放大学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4A99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007B9D">
            <w:pPr>
              <w:jc w:val="center"/>
            </w:pPr>
            <w:r>
              <w:rPr>
                <w:rFonts w:ascii="宋体" w:hAnsi="宋体" w:eastAsia="宋体"/>
                <w:sz w:val="16"/>
              </w:rPr>
              <w:t>和田开放大学</w:t>
            </w:r>
          </w:p>
        </w:tc>
      </w:tr>
      <w:tr w14:paraId="55EFA09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AB27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8471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8F7E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1306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D015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C137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F0BC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44DA5">
            <w:pPr>
              <w:jc w:val="center"/>
            </w:pPr>
            <w:r>
              <w:rPr>
                <w:rFonts w:ascii="宋体" w:hAnsi="宋体" w:eastAsia="宋体"/>
                <w:sz w:val="16"/>
              </w:rPr>
              <w:t>得分</w:t>
            </w:r>
          </w:p>
        </w:tc>
      </w:tr>
      <w:tr w14:paraId="51E975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B6492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3D07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48747">
            <w:pPr>
              <w:jc w:val="center"/>
            </w:pPr>
            <w:r>
              <w:rPr>
                <w:rFonts w:ascii="宋体" w:hAnsi="宋体" w:eastAsia="宋体"/>
                <w:sz w:val="16"/>
              </w:rPr>
              <w:t>721.41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C1EE5">
            <w:pPr>
              <w:jc w:val="center"/>
            </w:pPr>
            <w:r>
              <w:rPr>
                <w:rFonts w:ascii="宋体" w:hAnsi="宋体" w:eastAsia="宋体"/>
                <w:sz w:val="16"/>
              </w:rPr>
              <w:t>721.41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DB1BF">
            <w:pPr>
              <w:jc w:val="center"/>
            </w:pPr>
            <w:r>
              <w:rPr>
                <w:rFonts w:ascii="宋体" w:hAnsi="宋体" w:eastAsia="宋体"/>
                <w:sz w:val="16"/>
              </w:rPr>
              <w:t>721.41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7A2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1CE0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AE9C7">
            <w:pPr>
              <w:jc w:val="center"/>
            </w:pPr>
            <w:r>
              <w:rPr>
                <w:rFonts w:ascii="宋体" w:hAnsi="宋体" w:eastAsia="宋体"/>
                <w:sz w:val="16"/>
              </w:rPr>
              <w:t>10.00分</w:t>
            </w:r>
          </w:p>
        </w:tc>
      </w:tr>
      <w:tr w14:paraId="7BB5FA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E82D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5368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B14AE">
            <w:pPr>
              <w:jc w:val="center"/>
            </w:pPr>
            <w:r>
              <w:rPr>
                <w:rFonts w:ascii="宋体" w:hAnsi="宋体" w:eastAsia="宋体"/>
                <w:sz w:val="16"/>
              </w:rPr>
              <w:t>721.41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94A2A">
            <w:pPr>
              <w:jc w:val="center"/>
            </w:pPr>
            <w:r>
              <w:rPr>
                <w:rFonts w:ascii="宋体" w:hAnsi="宋体" w:eastAsia="宋体"/>
                <w:sz w:val="16"/>
              </w:rPr>
              <w:t>721.41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ABC7B">
            <w:pPr>
              <w:jc w:val="center"/>
            </w:pPr>
            <w:r>
              <w:rPr>
                <w:rFonts w:ascii="宋体" w:hAnsi="宋体" w:eastAsia="宋体"/>
                <w:sz w:val="16"/>
              </w:rPr>
              <w:t>721.41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51E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78F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789D4">
            <w:pPr>
              <w:jc w:val="center"/>
            </w:pPr>
            <w:r>
              <w:rPr>
                <w:rFonts w:ascii="宋体" w:hAnsi="宋体" w:eastAsia="宋体"/>
                <w:sz w:val="16"/>
              </w:rPr>
              <w:t>—</w:t>
            </w:r>
          </w:p>
        </w:tc>
      </w:tr>
      <w:tr w14:paraId="60A9EF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FA68F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916C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05F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2FA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D68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CA2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899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69EA1">
            <w:pPr>
              <w:jc w:val="center"/>
            </w:pPr>
            <w:r>
              <w:rPr>
                <w:rFonts w:ascii="宋体" w:hAnsi="宋体" w:eastAsia="宋体"/>
                <w:sz w:val="16"/>
              </w:rPr>
              <w:t>—</w:t>
            </w:r>
          </w:p>
        </w:tc>
      </w:tr>
      <w:tr w14:paraId="6B5057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DB917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AB83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360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463E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EEC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456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420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E9FB5">
            <w:pPr>
              <w:jc w:val="center"/>
            </w:pPr>
            <w:r>
              <w:rPr>
                <w:rFonts w:ascii="宋体" w:hAnsi="宋体" w:eastAsia="宋体"/>
                <w:sz w:val="16"/>
              </w:rPr>
              <w:t>—</w:t>
            </w:r>
          </w:p>
        </w:tc>
      </w:tr>
      <w:tr w14:paraId="5285DD5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ACD7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3ED31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833DCE">
            <w:pPr>
              <w:jc w:val="center"/>
            </w:pPr>
            <w:r>
              <w:rPr>
                <w:rFonts w:ascii="宋体" w:hAnsi="宋体" w:eastAsia="宋体"/>
                <w:sz w:val="16"/>
              </w:rPr>
              <w:t>实际完成情况</w:t>
            </w:r>
          </w:p>
        </w:tc>
      </w:tr>
      <w:tr w14:paraId="133E6F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688C6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EF3753">
            <w:pPr>
              <w:jc w:val="both"/>
            </w:pPr>
            <w:r>
              <w:rPr>
                <w:rFonts w:ascii="宋体" w:hAnsi="宋体" w:eastAsia="宋体"/>
                <w:sz w:val="16"/>
              </w:rPr>
              <w:t>按照国开系统办学体制规定，计划支出721.41万用于历史遗留赔偿款，支付上级电大的学分费、考试费、招生注册建档费等规定费用，保证每年春季，秋季收费工作按时完成，注册建档费缴纳3863人，保障发放毕业证数量4397本，保障考试费缴纳5478人，确保一年两次按时发毕业证，提高电大系统办学质量,有效保证教育活动正常开展，教育教学工作服务水平有效提升，提高全体教职工和学员对教育教学工作的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2FE0C9">
            <w:pPr>
              <w:jc w:val="both"/>
            </w:pPr>
            <w:r>
              <w:rPr>
                <w:rFonts w:hint="eastAsia" w:ascii="宋体" w:hAnsi="宋体"/>
                <w:sz w:val="16"/>
                <w:lang w:eastAsia="zh-CN"/>
              </w:rPr>
              <w:t>截至2024</w:t>
            </w:r>
            <w:r>
              <w:rPr>
                <w:rFonts w:ascii="宋体" w:hAnsi="宋体" w:eastAsia="宋体"/>
                <w:sz w:val="16"/>
              </w:rPr>
              <w:t>年12月31日，本项目实际形成支出721.41万元，已完成用于历史遗留赔偿款，支付上级电大的学分费、考试费、招生注册建档费等规定费用，保证春季，秋季收费工作按时完成，注册建档费缴纳3863人，保障发放毕业证数量4397本，保障考试费缴纳5478人，确保一年两次按时发毕业证的任务，达到了提高电大系统办学质量,有效保证教育活动正常开展，教育教学工作服务水平有效提升的效益，学生满意度达到100%。</w:t>
            </w:r>
          </w:p>
        </w:tc>
      </w:tr>
      <w:tr w14:paraId="4B377AF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C6516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121F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9C86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530E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4B41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D88A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EC13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9609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5B996">
            <w:pPr>
              <w:jc w:val="center"/>
            </w:pPr>
            <w:r>
              <w:rPr>
                <w:rFonts w:ascii="宋体" w:hAnsi="宋体" w:eastAsia="宋体"/>
                <w:sz w:val="16"/>
              </w:rPr>
              <w:t>偏差原因分析及改进措施</w:t>
            </w:r>
          </w:p>
        </w:tc>
      </w:tr>
      <w:tr w14:paraId="4D8C24C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EB32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2C41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5E98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5D2AD">
            <w:pPr>
              <w:jc w:val="center"/>
            </w:pPr>
            <w:r>
              <w:rPr>
                <w:rFonts w:ascii="宋体" w:hAnsi="宋体" w:eastAsia="宋体"/>
                <w:sz w:val="16"/>
              </w:rPr>
              <w:t>上缴管理费次数（次）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D538B">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19955">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70B3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5C25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81AF8">
            <w:pPr>
              <w:jc w:val="center"/>
            </w:pPr>
          </w:p>
        </w:tc>
      </w:tr>
      <w:tr w14:paraId="084088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3501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42A2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66E8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88B27">
            <w:pPr>
              <w:jc w:val="center"/>
            </w:pPr>
            <w:r>
              <w:rPr>
                <w:rFonts w:ascii="宋体" w:hAnsi="宋体" w:eastAsia="宋体"/>
                <w:sz w:val="16"/>
              </w:rPr>
              <w:t>注册建档费缴纳人数（人数）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E8D82">
            <w:pPr>
              <w:jc w:val="center"/>
            </w:pPr>
            <w:r>
              <w:rPr>
                <w:rFonts w:ascii="宋体" w:hAnsi="宋体" w:eastAsia="宋体"/>
                <w:sz w:val="16"/>
              </w:rPr>
              <w:t>≥3863人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81CFC">
            <w:pPr>
              <w:jc w:val="center"/>
            </w:pPr>
            <w:r>
              <w:rPr>
                <w:rFonts w:ascii="宋体" w:hAnsi="宋体" w:eastAsia="宋体"/>
                <w:sz w:val="16"/>
              </w:rPr>
              <w:t>=3863人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0755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7540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0E8E8">
            <w:pPr>
              <w:jc w:val="center"/>
            </w:pPr>
          </w:p>
        </w:tc>
      </w:tr>
      <w:tr w14:paraId="7BFCA6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5FD1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BDF8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3ED8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077A3">
            <w:pPr>
              <w:jc w:val="center"/>
            </w:pPr>
            <w:r>
              <w:rPr>
                <w:rFonts w:ascii="宋体" w:hAnsi="宋体" w:eastAsia="宋体"/>
                <w:sz w:val="16"/>
              </w:rPr>
              <w:t>发放毕业证书数量（本）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07C89">
            <w:pPr>
              <w:jc w:val="center"/>
            </w:pPr>
            <w:r>
              <w:rPr>
                <w:rFonts w:ascii="宋体" w:hAnsi="宋体" w:eastAsia="宋体"/>
                <w:sz w:val="16"/>
              </w:rPr>
              <w:t>≥4397本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10293">
            <w:pPr>
              <w:jc w:val="center"/>
            </w:pPr>
            <w:r>
              <w:rPr>
                <w:rFonts w:ascii="宋体" w:hAnsi="宋体" w:eastAsia="宋体"/>
                <w:sz w:val="16"/>
              </w:rPr>
              <w:t>=4397本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E33E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A75E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F77FD">
            <w:pPr>
              <w:jc w:val="center"/>
            </w:pPr>
          </w:p>
        </w:tc>
      </w:tr>
      <w:tr w14:paraId="20F8E2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F425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F6E8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2C27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F2C6E">
            <w:pPr>
              <w:jc w:val="center"/>
            </w:pPr>
            <w:r>
              <w:rPr>
                <w:rFonts w:ascii="宋体" w:hAnsi="宋体" w:eastAsia="宋体"/>
                <w:sz w:val="16"/>
              </w:rPr>
              <w:t>考试费缴纳人次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0F726">
            <w:pPr>
              <w:jc w:val="center"/>
            </w:pPr>
            <w:r>
              <w:rPr>
                <w:rFonts w:ascii="宋体" w:hAnsi="宋体" w:eastAsia="宋体"/>
                <w:sz w:val="16"/>
              </w:rPr>
              <w:t>≥5478人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80C35">
            <w:pPr>
              <w:jc w:val="center"/>
            </w:pPr>
            <w:r>
              <w:rPr>
                <w:rFonts w:ascii="宋体" w:hAnsi="宋体" w:eastAsia="宋体"/>
                <w:sz w:val="16"/>
              </w:rPr>
              <w:t>=5478人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D9E4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ABF0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CD6DB">
            <w:pPr>
              <w:jc w:val="center"/>
            </w:pPr>
          </w:p>
        </w:tc>
      </w:tr>
      <w:tr w14:paraId="1E0238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E4D3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24EA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6B46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3026E">
            <w:pPr>
              <w:jc w:val="center"/>
            </w:pPr>
            <w:r>
              <w:rPr>
                <w:rFonts w:ascii="宋体" w:hAnsi="宋体" w:eastAsia="宋体"/>
                <w:sz w:val="16"/>
              </w:rPr>
              <w:t>管理费足额上缴率（%）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693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FFFC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0DDE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0713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D1382">
            <w:pPr>
              <w:jc w:val="center"/>
            </w:pPr>
          </w:p>
        </w:tc>
      </w:tr>
      <w:tr w14:paraId="38FFF0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F18C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41E8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566F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ABF83">
            <w:pPr>
              <w:jc w:val="center"/>
            </w:pPr>
            <w:r>
              <w:rPr>
                <w:rFonts w:ascii="宋体" w:hAnsi="宋体" w:eastAsia="宋体"/>
                <w:sz w:val="16"/>
              </w:rPr>
              <w:t>保障管理费按期上缴率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18A8D">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05AC6">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D32C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3E9E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C221C">
            <w:pPr>
              <w:jc w:val="center"/>
            </w:pPr>
          </w:p>
        </w:tc>
      </w:tr>
      <w:tr w14:paraId="170A14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2B884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652951">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2B0C7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B0B9C">
            <w:pPr>
              <w:jc w:val="center"/>
            </w:pPr>
            <w:r>
              <w:rPr>
                <w:rFonts w:ascii="宋体" w:hAnsi="宋体" w:eastAsia="宋体"/>
                <w:sz w:val="16"/>
              </w:rPr>
              <w:t>课程学分费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3B2AD">
            <w:pPr>
              <w:jc w:val="center"/>
            </w:pPr>
            <w:r>
              <w:rPr>
                <w:rFonts w:ascii="宋体" w:hAnsi="宋体" w:eastAsia="宋体"/>
                <w:sz w:val="16"/>
              </w:rPr>
              <w:t>≤458.45万元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4BDBC">
            <w:pPr>
              <w:jc w:val="center"/>
            </w:pPr>
            <w:r>
              <w:rPr>
                <w:rFonts w:ascii="宋体" w:hAnsi="宋体" w:eastAsia="宋体"/>
                <w:sz w:val="16"/>
              </w:rPr>
              <w:t>=458.45万元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823C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C332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072D7">
            <w:pPr>
              <w:jc w:val="center"/>
            </w:pPr>
          </w:p>
        </w:tc>
      </w:tr>
      <w:tr w14:paraId="71B3F6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922F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544F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7D34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07F4E">
            <w:pPr>
              <w:jc w:val="center"/>
            </w:pPr>
            <w:r>
              <w:rPr>
                <w:rFonts w:ascii="宋体" w:hAnsi="宋体" w:eastAsia="宋体"/>
                <w:sz w:val="16"/>
              </w:rPr>
              <w:t>考试费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39B06">
            <w:pPr>
              <w:jc w:val="center"/>
            </w:pPr>
            <w:r>
              <w:rPr>
                <w:rFonts w:ascii="宋体" w:hAnsi="宋体" w:eastAsia="宋体"/>
                <w:sz w:val="16"/>
              </w:rPr>
              <w:t>≤238.16万元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E5E11">
            <w:pPr>
              <w:jc w:val="center"/>
            </w:pPr>
            <w:r>
              <w:rPr>
                <w:rFonts w:ascii="宋体" w:hAnsi="宋体" w:eastAsia="宋体"/>
                <w:sz w:val="16"/>
              </w:rPr>
              <w:t>=238.16万元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B8F7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E075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8CA88">
            <w:pPr>
              <w:jc w:val="center"/>
            </w:pPr>
          </w:p>
        </w:tc>
      </w:tr>
      <w:tr w14:paraId="05E20D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E8D9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1FE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19F2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204DC">
            <w:pPr>
              <w:jc w:val="center"/>
            </w:pPr>
            <w:r>
              <w:rPr>
                <w:rFonts w:ascii="宋体" w:hAnsi="宋体" w:eastAsia="宋体"/>
                <w:sz w:val="16"/>
              </w:rPr>
              <w:t>注册建档费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DA290">
            <w:pPr>
              <w:jc w:val="center"/>
            </w:pPr>
            <w:r>
              <w:rPr>
                <w:rFonts w:ascii="宋体" w:hAnsi="宋体" w:eastAsia="宋体"/>
                <w:sz w:val="16"/>
              </w:rPr>
              <w:t>≤24.80万元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C5319">
            <w:pPr>
              <w:jc w:val="center"/>
            </w:pPr>
            <w:r>
              <w:rPr>
                <w:rFonts w:ascii="宋体" w:hAnsi="宋体" w:eastAsia="宋体"/>
                <w:sz w:val="16"/>
              </w:rPr>
              <w:t>=24.8万元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42AE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DFDE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55C16">
            <w:pPr>
              <w:jc w:val="center"/>
            </w:pPr>
          </w:p>
        </w:tc>
      </w:tr>
      <w:tr w14:paraId="7EF58A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9386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A524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C2D8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FDB2C">
            <w:pPr>
              <w:jc w:val="center"/>
            </w:pPr>
            <w:r>
              <w:rPr>
                <w:rFonts w:ascii="宋体" w:hAnsi="宋体" w:eastAsia="宋体"/>
                <w:sz w:val="16"/>
              </w:rPr>
              <w:t>教育活动正常开展保障情况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E2F4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49733">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9EB7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635D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F43A3">
            <w:pPr>
              <w:jc w:val="center"/>
            </w:pPr>
          </w:p>
        </w:tc>
      </w:tr>
      <w:tr w14:paraId="157BD0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16EE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4169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70E5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3E512">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06DE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4B2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860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15E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4BCB4">
            <w:pPr>
              <w:jc w:val="center"/>
            </w:pPr>
          </w:p>
        </w:tc>
      </w:tr>
      <w:tr w14:paraId="1B328B5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D3BB0">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97A5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7A9FE">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8ADAFA">
            <w:pPr>
              <w:jc w:val="center"/>
            </w:pPr>
            <w:r>
              <w:rPr>
                <w:rFonts w:ascii="宋体" w:hAnsi="宋体" w:eastAsia="宋体"/>
                <w:sz w:val="16"/>
              </w:rPr>
              <w:t>100分</w:t>
            </w:r>
          </w:p>
        </w:tc>
      </w:tr>
    </w:tbl>
    <w:p w14:paraId="32C71CDD">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ADB28B8">
        <w:tblPrEx>
          <w:tblCellMar>
            <w:top w:w="0" w:type="dxa"/>
            <w:left w:w="108" w:type="dxa"/>
            <w:bottom w:w="0" w:type="dxa"/>
            <w:right w:w="108" w:type="dxa"/>
          </w:tblCellMar>
        </w:tblPrEx>
        <w:tc>
          <w:tcPr>
            <w:tcW w:w="8847" w:type="dxa"/>
            <w:gridSpan w:val="9"/>
            <w:vAlign w:val="center"/>
          </w:tcPr>
          <w:p w14:paraId="38A09A8E">
            <w:pPr>
              <w:jc w:val="center"/>
            </w:pPr>
            <w:r>
              <w:rPr>
                <w:rFonts w:ascii="宋体" w:hAnsi="宋体" w:eastAsia="宋体"/>
                <w:sz w:val="24"/>
              </w:rPr>
              <w:t>项目支出绩效自评表</w:t>
            </w:r>
          </w:p>
        </w:tc>
      </w:tr>
      <w:tr w14:paraId="467A2AAB">
        <w:tblPrEx>
          <w:tblCellMar>
            <w:top w:w="0" w:type="dxa"/>
            <w:left w:w="108" w:type="dxa"/>
            <w:bottom w:w="0" w:type="dxa"/>
            <w:right w:w="108" w:type="dxa"/>
          </w:tblCellMar>
        </w:tblPrEx>
        <w:tc>
          <w:tcPr>
            <w:tcW w:w="8847" w:type="dxa"/>
            <w:gridSpan w:val="9"/>
            <w:vAlign w:val="center"/>
          </w:tcPr>
          <w:p w14:paraId="3AF743BE">
            <w:pPr>
              <w:jc w:val="center"/>
            </w:pPr>
            <w:r>
              <w:rPr>
                <w:rFonts w:ascii="宋体" w:hAnsi="宋体" w:eastAsia="宋体"/>
                <w:sz w:val="24"/>
              </w:rPr>
              <w:t>(2024年度)</w:t>
            </w:r>
          </w:p>
        </w:tc>
      </w:tr>
      <w:tr w14:paraId="2D1B39D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76F4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FA59E4C">
            <w:pPr>
              <w:jc w:val="center"/>
            </w:pPr>
            <w:r>
              <w:rPr>
                <w:rFonts w:ascii="宋体" w:hAnsi="宋体" w:eastAsia="宋体"/>
                <w:sz w:val="16"/>
              </w:rPr>
              <w:t>临聘人员工资项目</w:t>
            </w:r>
          </w:p>
        </w:tc>
      </w:tr>
      <w:tr w14:paraId="0B06CA4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0398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6EC692">
            <w:pPr>
              <w:jc w:val="center"/>
            </w:pPr>
            <w:r>
              <w:rPr>
                <w:rFonts w:ascii="宋体" w:hAnsi="宋体" w:eastAsia="宋体"/>
                <w:sz w:val="16"/>
              </w:rPr>
              <w:t>和田开放大学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EBBB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296523">
            <w:pPr>
              <w:jc w:val="center"/>
            </w:pPr>
            <w:r>
              <w:rPr>
                <w:rFonts w:ascii="宋体" w:hAnsi="宋体" w:eastAsia="宋体"/>
                <w:sz w:val="16"/>
              </w:rPr>
              <w:t>和田开放大学</w:t>
            </w:r>
          </w:p>
        </w:tc>
      </w:tr>
      <w:tr w14:paraId="141B0AF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C98E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A97E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E91A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A546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90B8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8506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DE64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84706">
            <w:pPr>
              <w:jc w:val="center"/>
            </w:pPr>
            <w:r>
              <w:rPr>
                <w:rFonts w:ascii="宋体" w:hAnsi="宋体" w:eastAsia="宋体"/>
                <w:sz w:val="16"/>
              </w:rPr>
              <w:t>得分</w:t>
            </w:r>
          </w:p>
        </w:tc>
      </w:tr>
      <w:tr w14:paraId="349520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51C6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D112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50101">
            <w:pPr>
              <w:jc w:val="center"/>
            </w:pPr>
            <w:r>
              <w:rPr>
                <w:rFonts w:ascii="宋体" w:hAnsi="宋体" w:eastAsia="宋体"/>
                <w:sz w:val="16"/>
              </w:rPr>
              <w:t>322.68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C5ABA">
            <w:pPr>
              <w:jc w:val="center"/>
            </w:pPr>
            <w:r>
              <w:rPr>
                <w:rFonts w:ascii="宋体" w:hAnsi="宋体" w:eastAsia="宋体"/>
                <w:sz w:val="16"/>
              </w:rPr>
              <w:t>322.68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59DB5">
            <w:pPr>
              <w:jc w:val="center"/>
            </w:pPr>
            <w:r>
              <w:rPr>
                <w:rFonts w:ascii="宋体" w:hAnsi="宋体" w:eastAsia="宋体"/>
                <w:sz w:val="16"/>
              </w:rPr>
              <w:t>322.68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123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03E3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C913F">
            <w:pPr>
              <w:jc w:val="center"/>
            </w:pPr>
            <w:r>
              <w:rPr>
                <w:rFonts w:ascii="宋体" w:hAnsi="宋体" w:eastAsia="宋体"/>
                <w:sz w:val="16"/>
              </w:rPr>
              <w:t>10.00分</w:t>
            </w:r>
          </w:p>
        </w:tc>
      </w:tr>
      <w:tr w14:paraId="26EA6D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B6124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2212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2ABFE">
            <w:pPr>
              <w:jc w:val="center"/>
            </w:pPr>
            <w:r>
              <w:rPr>
                <w:rFonts w:ascii="宋体" w:hAnsi="宋体" w:eastAsia="宋体"/>
                <w:sz w:val="16"/>
              </w:rPr>
              <w:t>322.68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D8DC5">
            <w:pPr>
              <w:jc w:val="center"/>
            </w:pPr>
            <w:r>
              <w:rPr>
                <w:rFonts w:ascii="宋体" w:hAnsi="宋体" w:eastAsia="宋体"/>
                <w:sz w:val="16"/>
              </w:rPr>
              <w:t>322.68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20281">
            <w:pPr>
              <w:jc w:val="center"/>
            </w:pPr>
            <w:r>
              <w:rPr>
                <w:rFonts w:ascii="宋体" w:hAnsi="宋体" w:eastAsia="宋体"/>
                <w:sz w:val="16"/>
              </w:rPr>
              <w:t>322.68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4E4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8CC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656CE">
            <w:pPr>
              <w:jc w:val="center"/>
            </w:pPr>
            <w:r>
              <w:rPr>
                <w:rFonts w:ascii="宋体" w:hAnsi="宋体" w:eastAsia="宋体"/>
                <w:sz w:val="16"/>
              </w:rPr>
              <w:t>—</w:t>
            </w:r>
          </w:p>
        </w:tc>
      </w:tr>
      <w:tr w14:paraId="5F6394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95B1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8926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2D7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C70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2AAE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B9C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4AA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3CD8E">
            <w:pPr>
              <w:jc w:val="center"/>
            </w:pPr>
            <w:r>
              <w:rPr>
                <w:rFonts w:ascii="宋体" w:hAnsi="宋体" w:eastAsia="宋体"/>
                <w:sz w:val="16"/>
              </w:rPr>
              <w:t>—</w:t>
            </w:r>
          </w:p>
        </w:tc>
      </w:tr>
      <w:tr w14:paraId="2A72EE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3713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D33E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027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20B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A6B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2B1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642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2D8C5">
            <w:pPr>
              <w:jc w:val="center"/>
            </w:pPr>
            <w:r>
              <w:rPr>
                <w:rFonts w:ascii="宋体" w:hAnsi="宋体" w:eastAsia="宋体"/>
                <w:sz w:val="16"/>
              </w:rPr>
              <w:t>—</w:t>
            </w:r>
          </w:p>
        </w:tc>
      </w:tr>
      <w:tr w14:paraId="50E32BF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389E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A4EA7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DEB135">
            <w:pPr>
              <w:jc w:val="center"/>
            </w:pPr>
            <w:r>
              <w:rPr>
                <w:rFonts w:ascii="宋体" w:hAnsi="宋体" w:eastAsia="宋体"/>
                <w:sz w:val="16"/>
              </w:rPr>
              <w:t>实际完成情况</w:t>
            </w:r>
          </w:p>
        </w:tc>
      </w:tr>
      <w:tr w14:paraId="3D3A66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71817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09068B">
            <w:pPr>
              <w:jc w:val="both"/>
            </w:pPr>
            <w:r>
              <w:rPr>
                <w:rFonts w:ascii="宋体" w:hAnsi="宋体" w:eastAsia="宋体"/>
                <w:sz w:val="16"/>
              </w:rPr>
              <w:t>临聘人员工资项目资金322.68万元。临聘人员数量48人其中临聘教师41人临聘工人7人，保障临聘人员工资按月发放，社保正常缴纳，为适应教育改革发展需要，逐步解决教师数量不足和专业课程教师紧缺问题，确保学校教育教学秩序正常。</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AC929E">
            <w:pPr>
              <w:jc w:val="both"/>
            </w:pPr>
            <w:r>
              <w:rPr>
                <w:rFonts w:hint="eastAsia" w:ascii="宋体" w:hAnsi="宋体"/>
                <w:sz w:val="16"/>
                <w:lang w:eastAsia="zh-CN"/>
              </w:rPr>
              <w:t>截至2024</w:t>
            </w:r>
            <w:r>
              <w:rPr>
                <w:rFonts w:ascii="宋体" w:hAnsi="宋体" w:eastAsia="宋体"/>
                <w:sz w:val="16"/>
              </w:rPr>
              <w:t>年12月31日，项目实际形成支出322.68万元，已完成保障临聘人员50人工资和社保的正常发放，保障临聘人员工资按月发放，社保正常缴纳的任务，达到了逐步解决教师数量不足和专业课程教师紧缺问题，确保学校教育教学秩序正常，受益临聘人员满意度达到100%。</w:t>
            </w:r>
          </w:p>
        </w:tc>
      </w:tr>
      <w:tr w14:paraId="15C5AB5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34227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7914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B729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6845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F234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4251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7A82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4C50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8FDE6">
            <w:pPr>
              <w:jc w:val="center"/>
            </w:pPr>
            <w:r>
              <w:rPr>
                <w:rFonts w:ascii="宋体" w:hAnsi="宋体" w:eastAsia="宋体"/>
                <w:sz w:val="16"/>
              </w:rPr>
              <w:t>偏差原因分析及改进措施</w:t>
            </w:r>
          </w:p>
        </w:tc>
      </w:tr>
      <w:tr w14:paraId="139AAB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BFC7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216E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182E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3C00C">
            <w:pPr>
              <w:jc w:val="center"/>
            </w:pPr>
            <w:r>
              <w:rPr>
                <w:rFonts w:ascii="宋体" w:hAnsi="宋体" w:eastAsia="宋体"/>
                <w:sz w:val="16"/>
              </w:rPr>
              <w:t>临聘人员人数（人）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FE111">
            <w:pPr>
              <w:jc w:val="center"/>
            </w:pPr>
            <w:r>
              <w:rPr>
                <w:rFonts w:ascii="宋体" w:hAnsi="宋体" w:eastAsia="宋体"/>
                <w:sz w:val="16"/>
              </w:rPr>
              <w:t>≥48人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80B79">
            <w:pPr>
              <w:jc w:val="center"/>
            </w:pPr>
            <w:r>
              <w:rPr>
                <w:rFonts w:ascii="宋体" w:hAnsi="宋体" w:eastAsia="宋体"/>
                <w:sz w:val="16"/>
              </w:rPr>
              <w:t>=50人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C41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81D8B">
            <w:pPr>
              <w:jc w:val="center"/>
            </w:pPr>
            <w:r>
              <w:rPr>
                <w:rFonts w:ascii="宋体" w:hAnsi="宋体" w:eastAsia="宋体"/>
                <w:sz w:val="16"/>
              </w:rPr>
              <w:t>9.58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86FB9">
            <w:pPr>
              <w:jc w:val="center"/>
            </w:pPr>
            <w:r>
              <w:rPr>
                <w:rFonts w:ascii="宋体" w:hAnsi="宋体" w:eastAsia="宋体"/>
                <w:sz w:val="16"/>
              </w:rPr>
              <w:t>偏差原因：人员存在流动性，实际发放50人工资，改进措施：</w:t>
            </w:r>
          </w:p>
        </w:tc>
      </w:tr>
      <w:tr w14:paraId="2D1D6E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AFB7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CE7D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30B3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AE092">
            <w:pPr>
              <w:jc w:val="center"/>
            </w:pPr>
            <w:r>
              <w:rPr>
                <w:rFonts w:ascii="宋体" w:hAnsi="宋体" w:eastAsia="宋体"/>
                <w:sz w:val="16"/>
              </w:rPr>
              <w:t>薪资发放次数（次）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3404C">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5A549">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AD5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C16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88885">
            <w:pPr>
              <w:jc w:val="center"/>
            </w:pPr>
          </w:p>
        </w:tc>
      </w:tr>
      <w:tr w14:paraId="0B2F73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81C0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B1E8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F718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759F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34A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C40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61B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BE6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F3F57">
            <w:pPr>
              <w:jc w:val="center"/>
            </w:pPr>
          </w:p>
        </w:tc>
      </w:tr>
      <w:tr w14:paraId="7AA7EA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4CA9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E723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D1B7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17E5E">
            <w:pPr>
              <w:jc w:val="center"/>
            </w:pPr>
            <w:r>
              <w:rPr>
                <w:rFonts w:ascii="宋体" w:hAnsi="宋体" w:eastAsia="宋体"/>
                <w:sz w:val="16"/>
              </w:rPr>
              <w:t>资金发放及时性（%）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248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99C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C68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E53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B2483">
            <w:pPr>
              <w:jc w:val="center"/>
            </w:pPr>
          </w:p>
        </w:tc>
      </w:tr>
      <w:tr w14:paraId="29ECD9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D4230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CB91A0">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914F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B1176">
            <w:pPr>
              <w:jc w:val="center"/>
            </w:pPr>
            <w:r>
              <w:rPr>
                <w:rFonts w:ascii="宋体" w:hAnsi="宋体" w:eastAsia="宋体"/>
                <w:sz w:val="16"/>
              </w:rPr>
              <w:t>临聘人员工资成本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1F205">
            <w:pPr>
              <w:jc w:val="center"/>
            </w:pPr>
            <w:r>
              <w:rPr>
                <w:rFonts w:ascii="宋体" w:hAnsi="宋体" w:eastAsia="宋体"/>
                <w:sz w:val="16"/>
              </w:rPr>
              <w:t>≤249.53万元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C50FD">
            <w:pPr>
              <w:jc w:val="center"/>
            </w:pPr>
            <w:r>
              <w:rPr>
                <w:rFonts w:ascii="宋体" w:hAnsi="宋体" w:eastAsia="宋体"/>
                <w:sz w:val="16"/>
              </w:rPr>
              <w:t>=249.53万元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9737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797F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A1BD5">
            <w:pPr>
              <w:jc w:val="center"/>
            </w:pPr>
          </w:p>
        </w:tc>
      </w:tr>
      <w:tr w14:paraId="5AA041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DA11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5D27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713F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320D9">
            <w:pPr>
              <w:jc w:val="center"/>
            </w:pPr>
            <w:r>
              <w:rPr>
                <w:rFonts w:ascii="宋体" w:hAnsi="宋体" w:eastAsia="宋体"/>
                <w:sz w:val="16"/>
              </w:rPr>
              <w:t>临聘工人社保成本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164DC">
            <w:pPr>
              <w:jc w:val="center"/>
            </w:pPr>
            <w:r>
              <w:rPr>
                <w:rFonts w:ascii="宋体" w:hAnsi="宋体" w:eastAsia="宋体"/>
                <w:sz w:val="16"/>
              </w:rPr>
              <w:t>≤73.15万元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21867">
            <w:pPr>
              <w:jc w:val="center"/>
            </w:pPr>
            <w:r>
              <w:rPr>
                <w:rFonts w:ascii="宋体" w:hAnsi="宋体" w:eastAsia="宋体"/>
                <w:sz w:val="16"/>
              </w:rPr>
              <w:t>=73.15万元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49E9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E3B4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7CA3C">
            <w:pPr>
              <w:jc w:val="center"/>
            </w:pPr>
          </w:p>
        </w:tc>
      </w:tr>
      <w:tr w14:paraId="4AB825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BE72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7353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DD1B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E2128">
            <w:pPr>
              <w:jc w:val="center"/>
            </w:pPr>
            <w:r>
              <w:rPr>
                <w:rFonts w:ascii="宋体" w:hAnsi="宋体" w:eastAsia="宋体"/>
                <w:sz w:val="16"/>
              </w:rPr>
              <w:t>提升教育教学质量情况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77D9D">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C4876">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6B30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F0DB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FC4B1">
            <w:pPr>
              <w:jc w:val="center"/>
            </w:pPr>
          </w:p>
        </w:tc>
      </w:tr>
      <w:tr w14:paraId="19F6B6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D476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32DC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9C88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890E8">
            <w:pPr>
              <w:jc w:val="center"/>
            </w:pPr>
            <w:r>
              <w:rPr>
                <w:rFonts w:ascii="宋体" w:hAnsi="宋体" w:eastAsia="宋体"/>
                <w:sz w:val="16"/>
              </w:rPr>
              <w:t>临聘人员满意度（%）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D9153">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E35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03B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400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9B954">
            <w:pPr>
              <w:jc w:val="center"/>
            </w:pPr>
          </w:p>
        </w:tc>
      </w:tr>
      <w:tr w14:paraId="26A107A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8BE2B">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2447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ED029">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0C9729">
            <w:pPr>
              <w:jc w:val="center"/>
            </w:pPr>
            <w:r>
              <w:rPr>
                <w:rFonts w:ascii="宋体" w:hAnsi="宋体" w:eastAsia="宋体"/>
                <w:sz w:val="16"/>
              </w:rPr>
              <w:t>99.58分</w:t>
            </w:r>
          </w:p>
        </w:tc>
      </w:tr>
    </w:tbl>
    <w:p w14:paraId="44070631">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278855C">
        <w:tblPrEx>
          <w:tblCellMar>
            <w:top w:w="0" w:type="dxa"/>
            <w:left w:w="108" w:type="dxa"/>
            <w:bottom w:w="0" w:type="dxa"/>
            <w:right w:w="108" w:type="dxa"/>
          </w:tblCellMar>
        </w:tblPrEx>
        <w:tc>
          <w:tcPr>
            <w:tcW w:w="8847" w:type="dxa"/>
            <w:gridSpan w:val="9"/>
            <w:vAlign w:val="center"/>
          </w:tcPr>
          <w:p w14:paraId="7AAAC908">
            <w:pPr>
              <w:jc w:val="center"/>
            </w:pPr>
            <w:r>
              <w:rPr>
                <w:rFonts w:ascii="宋体" w:hAnsi="宋体" w:eastAsia="宋体"/>
                <w:sz w:val="24"/>
              </w:rPr>
              <w:t>项目支出绩效自评表</w:t>
            </w:r>
          </w:p>
        </w:tc>
      </w:tr>
      <w:tr w14:paraId="7B7C01F2">
        <w:tblPrEx>
          <w:tblCellMar>
            <w:top w:w="0" w:type="dxa"/>
            <w:left w:w="108" w:type="dxa"/>
            <w:bottom w:w="0" w:type="dxa"/>
            <w:right w:w="108" w:type="dxa"/>
          </w:tblCellMar>
        </w:tblPrEx>
        <w:tc>
          <w:tcPr>
            <w:tcW w:w="8847" w:type="dxa"/>
            <w:gridSpan w:val="9"/>
            <w:vAlign w:val="center"/>
          </w:tcPr>
          <w:p w14:paraId="69300823">
            <w:pPr>
              <w:jc w:val="center"/>
            </w:pPr>
            <w:r>
              <w:rPr>
                <w:rFonts w:ascii="宋体" w:hAnsi="宋体" w:eastAsia="宋体"/>
                <w:sz w:val="24"/>
              </w:rPr>
              <w:t>(2024年度)</w:t>
            </w:r>
          </w:p>
        </w:tc>
      </w:tr>
      <w:tr w14:paraId="59D9A72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361A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7F3AAC">
            <w:pPr>
              <w:jc w:val="center"/>
            </w:pPr>
            <w:r>
              <w:rPr>
                <w:rFonts w:ascii="宋体" w:hAnsi="宋体" w:eastAsia="宋体"/>
                <w:sz w:val="16"/>
              </w:rPr>
              <w:t>保障学校教务教学</w:t>
            </w:r>
          </w:p>
        </w:tc>
      </w:tr>
      <w:tr w14:paraId="3386BB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C4E4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21A76E">
            <w:pPr>
              <w:jc w:val="center"/>
            </w:pPr>
            <w:r>
              <w:rPr>
                <w:rFonts w:ascii="宋体" w:hAnsi="宋体" w:eastAsia="宋体"/>
                <w:sz w:val="16"/>
              </w:rPr>
              <w:t>和田开放大学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2B0A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B05136">
            <w:pPr>
              <w:jc w:val="center"/>
            </w:pPr>
            <w:r>
              <w:rPr>
                <w:rFonts w:ascii="宋体" w:hAnsi="宋体" w:eastAsia="宋体"/>
                <w:sz w:val="16"/>
              </w:rPr>
              <w:t>和田开放大学</w:t>
            </w:r>
          </w:p>
        </w:tc>
      </w:tr>
      <w:tr w14:paraId="387FB03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4D45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2F4A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FDB3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F296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27A5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851D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62D6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42844">
            <w:pPr>
              <w:jc w:val="center"/>
            </w:pPr>
            <w:r>
              <w:rPr>
                <w:rFonts w:ascii="宋体" w:hAnsi="宋体" w:eastAsia="宋体"/>
                <w:sz w:val="16"/>
              </w:rPr>
              <w:t>得分</w:t>
            </w:r>
          </w:p>
        </w:tc>
      </w:tr>
      <w:tr w14:paraId="61E67D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3DEC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E90C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C569E">
            <w:pPr>
              <w:jc w:val="center"/>
            </w:pPr>
            <w:r>
              <w:rPr>
                <w:rFonts w:ascii="宋体" w:hAnsi="宋体" w:eastAsia="宋体"/>
                <w:sz w:val="16"/>
              </w:rPr>
              <w:t>860.32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57919">
            <w:pPr>
              <w:jc w:val="center"/>
            </w:pPr>
            <w:r>
              <w:rPr>
                <w:rFonts w:ascii="宋体" w:hAnsi="宋体" w:eastAsia="宋体"/>
                <w:sz w:val="16"/>
              </w:rPr>
              <w:t>860.32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B0A0E">
            <w:pPr>
              <w:jc w:val="center"/>
            </w:pPr>
            <w:r>
              <w:rPr>
                <w:rFonts w:ascii="宋体" w:hAnsi="宋体" w:eastAsia="宋体"/>
                <w:sz w:val="16"/>
              </w:rPr>
              <w:t>506.28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504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91A37">
            <w:pPr>
              <w:jc w:val="center"/>
            </w:pPr>
            <w:r>
              <w:rPr>
                <w:rFonts w:ascii="宋体" w:hAnsi="宋体" w:eastAsia="宋体"/>
                <w:sz w:val="16"/>
              </w:rPr>
              <w:t xml:space="preserve">58.85%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5E5AF">
            <w:pPr>
              <w:jc w:val="center"/>
            </w:pPr>
            <w:r>
              <w:rPr>
                <w:rFonts w:ascii="宋体" w:hAnsi="宋体" w:eastAsia="宋体"/>
                <w:sz w:val="16"/>
              </w:rPr>
              <w:t>0.00分</w:t>
            </w:r>
          </w:p>
        </w:tc>
      </w:tr>
      <w:tr w14:paraId="52A164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54C12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E3F2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8306B">
            <w:pPr>
              <w:jc w:val="center"/>
            </w:pPr>
            <w:r>
              <w:rPr>
                <w:rFonts w:ascii="宋体" w:hAnsi="宋体" w:eastAsia="宋体"/>
                <w:sz w:val="16"/>
              </w:rPr>
              <w:t>860.32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C0A52">
            <w:pPr>
              <w:jc w:val="center"/>
            </w:pPr>
            <w:r>
              <w:rPr>
                <w:rFonts w:ascii="宋体" w:hAnsi="宋体" w:eastAsia="宋体"/>
                <w:sz w:val="16"/>
              </w:rPr>
              <w:t>860.32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47384">
            <w:pPr>
              <w:jc w:val="center"/>
            </w:pPr>
            <w:r>
              <w:rPr>
                <w:rFonts w:ascii="宋体" w:hAnsi="宋体" w:eastAsia="宋体"/>
                <w:sz w:val="16"/>
              </w:rPr>
              <w:t>506.28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DCC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7D0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EC701">
            <w:pPr>
              <w:jc w:val="center"/>
            </w:pPr>
            <w:r>
              <w:rPr>
                <w:rFonts w:ascii="宋体" w:hAnsi="宋体" w:eastAsia="宋体"/>
                <w:sz w:val="16"/>
              </w:rPr>
              <w:t>—</w:t>
            </w:r>
          </w:p>
        </w:tc>
      </w:tr>
      <w:tr w14:paraId="54F688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D410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1D34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7E7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C3F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D01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8F2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E44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61F12">
            <w:pPr>
              <w:jc w:val="center"/>
            </w:pPr>
            <w:r>
              <w:rPr>
                <w:rFonts w:ascii="宋体" w:hAnsi="宋体" w:eastAsia="宋体"/>
                <w:sz w:val="16"/>
              </w:rPr>
              <w:t>—</w:t>
            </w:r>
          </w:p>
        </w:tc>
      </w:tr>
      <w:tr w14:paraId="39D416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E77CA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05C6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B7A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9B2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0FD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201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199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99DD6">
            <w:pPr>
              <w:jc w:val="center"/>
            </w:pPr>
            <w:r>
              <w:rPr>
                <w:rFonts w:ascii="宋体" w:hAnsi="宋体" w:eastAsia="宋体"/>
                <w:sz w:val="16"/>
              </w:rPr>
              <w:t>—</w:t>
            </w:r>
          </w:p>
        </w:tc>
      </w:tr>
      <w:tr w14:paraId="4F5CE7B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E0B6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EE5C6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6F9446">
            <w:pPr>
              <w:jc w:val="center"/>
            </w:pPr>
            <w:r>
              <w:rPr>
                <w:rFonts w:ascii="宋体" w:hAnsi="宋体" w:eastAsia="宋体"/>
                <w:sz w:val="16"/>
              </w:rPr>
              <w:t>实际完成情况</w:t>
            </w:r>
          </w:p>
        </w:tc>
      </w:tr>
      <w:tr w14:paraId="3F22D3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BD006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BF2DC7">
            <w:pPr>
              <w:jc w:val="both"/>
            </w:pPr>
            <w:r>
              <w:rPr>
                <w:rFonts w:ascii="宋体" w:hAnsi="宋体" w:eastAsia="宋体"/>
                <w:sz w:val="16"/>
              </w:rPr>
              <w:t>本项目主要实施内容为：培训教师120人，购置办公用品及耗材210次，组建多媒体网络机房13间，配备台式电脑100台，项目总投资为860.32万元，项目计划于2024年12月完成。通过本项目的实施，可有效提升教育教学质量，提高和田开放大学知名度，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167564">
            <w:pPr>
              <w:jc w:val="both"/>
            </w:pPr>
            <w:r>
              <w:rPr>
                <w:rFonts w:hint="eastAsia" w:ascii="宋体" w:hAnsi="宋体"/>
                <w:sz w:val="16"/>
                <w:lang w:eastAsia="zh-CN"/>
              </w:rPr>
              <w:t>截至2024</w:t>
            </w:r>
            <w:r>
              <w:rPr>
                <w:rFonts w:ascii="宋体" w:hAnsi="宋体" w:eastAsia="宋体"/>
                <w:sz w:val="16"/>
              </w:rPr>
              <w:t>年12月31日，本项目实际形成支出506.28万元，已完成培训教师124人，购置办公用品及耗材214次的任务，达到了有效提升教育教学质量，提高了和田开放大学知名度的效益，使受益人群满意度达到100%。</w:t>
            </w:r>
          </w:p>
        </w:tc>
      </w:tr>
      <w:tr w14:paraId="7B9C5F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6BF93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CA6C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C90F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0312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A158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4B43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70DE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FAC3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439FE">
            <w:pPr>
              <w:jc w:val="center"/>
            </w:pPr>
            <w:r>
              <w:rPr>
                <w:rFonts w:ascii="宋体" w:hAnsi="宋体" w:eastAsia="宋体"/>
                <w:sz w:val="16"/>
              </w:rPr>
              <w:t>偏差原因分析及改进措施</w:t>
            </w:r>
          </w:p>
        </w:tc>
      </w:tr>
      <w:tr w14:paraId="3CAF731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C0EE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D0A5C">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4236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CD5DF">
            <w:pPr>
              <w:jc w:val="center"/>
            </w:pPr>
            <w:r>
              <w:rPr>
                <w:rFonts w:ascii="宋体" w:hAnsi="宋体" w:eastAsia="宋体"/>
                <w:sz w:val="16"/>
              </w:rPr>
              <w:t>保障教师培训人数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8B694">
            <w:pPr>
              <w:jc w:val="center"/>
            </w:pPr>
            <w:r>
              <w:rPr>
                <w:rFonts w:ascii="宋体" w:hAnsi="宋体" w:eastAsia="宋体"/>
                <w:sz w:val="16"/>
              </w:rPr>
              <w:t>≥120人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3791E">
            <w:pPr>
              <w:jc w:val="center"/>
            </w:pPr>
            <w:r>
              <w:rPr>
                <w:rFonts w:ascii="宋体" w:hAnsi="宋体" w:eastAsia="宋体"/>
                <w:sz w:val="16"/>
              </w:rPr>
              <w:t>=124人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5786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AF3B3">
            <w:pPr>
              <w:jc w:val="center"/>
            </w:pPr>
            <w:r>
              <w:rPr>
                <w:rFonts w:ascii="宋体" w:hAnsi="宋体" w:eastAsia="宋体"/>
                <w:sz w:val="16"/>
              </w:rPr>
              <w:t>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2E1C0">
            <w:pPr>
              <w:jc w:val="center"/>
            </w:pPr>
            <w:r>
              <w:rPr>
                <w:rFonts w:ascii="宋体" w:hAnsi="宋体" w:eastAsia="宋体"/>
                <w:sz w:val="16"/>
              </w:rPr>
              <w:t>偏差原因：临聘人数增减变动情况较大，导致出现偏差；整改措施：合理控制临聘人员人数</w:t>
            </w:r>
          </w:p>
        </w:tc>
      </w:tr>
      <w:tr w14:paraId="243F22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0BC3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867F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509B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D24C7">
            <w:pPr>
              <w:jc w:val="center"/>
            </w:pPr>
            <w:r>
              <w:rPr>
                <w:rFonts w:ascii="宋体" w:hAnsi="宋体" w:eastAsia="宋体"/>
                <w:sz w:val="16"/>
              </w:rPr>
              <w:t>购置办公用品及耗材批次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5B4EB">
            <w:pPr>
              <w:jc w:val="center"/>
            </w:pPr>
            <w:r>
              <w:rPr>
                <w:rFonts w:ascii="宋体" w:hAnsi="宋体" w:eastAsia="宋体"/>
                <w:sz w:val="16"/>
              </w:rPr>
              <w:t>≥210次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B7A5B">
            <w:pPr>
              <w:jc w:val="center"/>
            </w:pPr>
            <w:r>
              <w:rPr>
                <w:rFonts w:ascii="宋体" w:hAnsi="宋体" w:eastAsia="宋体"/>
                <w:sz w:val="16"/>
              </w:rPr>
              <w:t>=214次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A9B9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C9695">
            <w:pPr>
              <w:jc w:val="center"/>
            </w:pPr>
            <w:r>
              <w:rPr>
                <w:rFonts w:ascii="宋体" w:hAnsi="宋体" w:eastAsia="宋体"/>
                <w:sz w:val="16"/>
              </w:rPr>
              <w:t>5.89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9BD0F">
            <w:pPr>
              <w:jc w:val="center"/>
            </w:pPr>
            <w:r>
              <w:rPr>
                <w:rFonts w:ascii="宋体" w:hAnsi="宋体" w:eastAsia="宋体"/>
                <w:sz w:val="16"/>
              </w:rPr>
              <w:t>偏差原因：实际采购批次大于设定目标值；整改措施：合理制定目标</w:t>
            </w:r>
          </w:p>
        </w:tc>
      </w:tr>
      <w:tr w14:paraId="370373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DB44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53E6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68AE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BEEFF">
            <w:pPr>
              <w:jc w:val="center"/>
            </w:pPr>
            <w:r>
              <w:rPr>
                <w:rFonts w:ascii="宋体" w:hAnsi="宋体" w:eastAsia="宋体"/>
                <w:sz w:val="16"/>
              </w:rPr>
              <w:t>修缮数量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E42C3">
            <w:pPr>
              <w:jc w:val="center"/>
            </w:pPr>
            <w:r>
              <w:rPr>
                <w:rFonts w:ascii="宋体" w:hAnsi="宋体" w:eastAsia="宋体"/>
                <w:sz w:val="16"/>
              </w:rPr>
              <w:t>≥15个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D4159">
            <w:pPr>
              <w:jc w:val="center"/>
            </w:pPr>
            <w:r>
              <w:rPr>
                <w:rFonts w:ascii="宋体" w:hAnsi="宋体" w:eastAsia="宋体"/>
                <w:sz w:val="16"/>
              </w:rPr>
              <w:t>=15个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229E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53A5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6CC2D">
            <w:pPr>
              <w:jc w:val="center"/>
            </w:pPr>
          </w:p>
        </w:tc>
      </w:tr>
      <w:tr w14:paraId="35302C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040C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6CC7C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5259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9614C">
            <w:pPr>
              <w:jc w:val="center"/>
            </w:pPr>
            <w:r>
              <w:rPr>
                <w:rFonts w:ascii="宋体" w:hAnsi="宋体" w:eastAsia="宋体"/>
                <w:sz w:val="16"/>
              </w:rPr>
              <w:t>购置质量合格率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7F8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A53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8916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6A7A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436CE">
            <w:pPr>
              <w:jc w:val="center"/>
            </w:pPr>
          </w:p>
        </w:tc>
      </w:tr>
      <w:tr w14:paraId="337432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421B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43A9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F0FE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AC2D4">
            <w:pPr>
              <w:jc w:val="center"/>
            </w:pPr>
            <w:r>
              <w:rPr>
                <w:rFonts w:ascii="宋体" w:hAnsi="宋体" w:eastAsia="宋体"/>
                <w:sz w:val="16"/>
              </w:rPr>
              <w:t>培训合格率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7AB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C09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A116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0980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E4BA8">
            <w:pPr>
              <w:jc w:val="center"/>
            </w:pPr>
          </w:p>
        </w:tc>
      </w:tr>
      <w:tr w14:paraId="60A8F4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9B95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2255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6054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026AF">
            <w:pPr>
              <w:jc w:val="center"/>
            </w:pPr>
            <w:r>
              <w:rPr>
                <w:rFonts w:ascii="宋体" w:hAnsi="宋体" w:eastAsia="宋体"/>
                <w:sz w:val="16"/>
              </w:rPr>
              <w:t>单位正常运转率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96F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776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EB15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AD44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85E72">
            <w:pPr>
              <w:jc w:val="center"/>
            </w:pPr>
          </w:p>
        </w:tc>
      </w:tr>
      <w:tr w14:paraId="6E9C84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AB49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F4C52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8544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EE2A3">
            <w:pPr>
              <w:jc w:val="center"/>
            </w:pPr>
            <w:r>
              <w:rPr>
                <w:rFonts w:ascii="宋体" w:hAnsi="宋体" w:eastAsia="宋体"/>
                <w:sz w:val="16"/>
              </w:rPr>
              <w:t>培训开展及时率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E61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B9A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F49C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80309">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77B97">
            <w:pPr>
              <w:jc w:val="center"/>
            </w:pPr>
          </w:p>
        </w:tc>
      </w:tr>
      <w:tr w14:paraId="14CD75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1BD5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C2A1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80DC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C0AF9">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AFE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F73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628E3">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7BD6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5EAF5">
            <w:pPr>
              <w:jc w:val="center"/>
            </w:pPr>
          </w:p>
        </w:tc>
      </w:tr>
      <w:tr w14:paraId="05C1B9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EBB91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A9AF1">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D67A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2DFD2">
            <w:pPr>
              <w:jc w:val="center"/>
            </w:pPr>
            <w:r>
              <w:rPr>
                <w:rFonts w:ascii="宋体" w:hAnsi="宋体" w:eastAsia="宋体"/>
                <w:sz w:val="16"/>
              </w:rPr>
              <w:t>办公费支出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DCDF1">
            <w:pPr>
              <w:jc w:val="center"/>
            </w:pPr>
            <w:r>
              <w:rPr>
                <w:rFonts w:ascii="宋体" w:hAnsi="宋体" w:eastAsia="宋体"/>
                <w:sz w:val="16"/>
              </w:rPr>
              <w:t>≤684.55万元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E63E5">
            <w:pPr>
              <w:jc w:val="center"/>
            </w:pPr>
            <w:r>
              <w:rPr>
                <w:rFonts w:ascii="宋体" w:hAnsi="宋体" w:eastAsia="宋体"/>
                <w:sz w:val="16"/>
              </w:rPr>
              <w:t>=333.36万元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F29B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B3ED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C5932">
            <w:pPr>
              <w:jc w:val="center"/>
            </w:pPr>
            <w:r>
              <w:rPr>
                <w:rFonts w:ascii="宋体" w:hAnsi="宋体" w:eastAsia="宋体"/>
                <w:sz w:val="16"/>
              </w:rPr>
              <w:t>偏差原因：有些材料未及时报账，导致出现偏差；整改措施：督促报账人员及时报账</w:t>
            </w:r>
          </w:p>
        </w:tc>
      </w:tr>
      <w:tr w14:paraId="794CDD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F68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62D2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718A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986CC">
            <w:pPr>
              <w:jc w:val="center"/>
            </w:pPr>
            <w:r>
              <w:rPr>
                <w:rFonts w:ascii="宋体" w:hAnsi="宋体" w:eastAsia="宋体"/>
                <w:sz w:val="16"/>
              </w:rPr>
              <w:t>培训费支出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AA452">
            <w:pPr>
              <w:jc w:val="center"/>
            </w:pPr>
            <w:r>
              <w:rPr>
                <w:rFonts w:ascii="宋体" w:hAnsi="宋体" w:eastAsia="宋体"/>
                <w:sz w:val="16"/>
              </w:rPr>
              <w:t>≤62.58万元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B97F8">
            <w:pPr>
              <w:jc w:val="center"/>
            </w:pPr>
            <w:r>
              <w:rPr>
                <w:rFonts w:ascii="宋体" w:hAnsi="宋体" w:eastAsia="宋体"/>
                <w:sz w:val="16"/>
              </w:rPr>
              <w:t>=59.73万元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F618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F89B5">
            <w:pPr>
              <w:jc w:val="center"/>
            </w:pPr>
            <w:r>
              <w:rPr>
                <w:rFonts w:ascii="宋体" w:hAnsi="宋体" w:eastAsia="宋体"/>
                <w:sz w:val="16"/>
              </w:rPr>
              <w:t>3.55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674D2">
            <w:pPr>
              <w:jc w:val="center"/>
            </w:pPr>
            <w:r>
              <w:rPr>
                <w:rFonts w:ascii="宋体" w:hAnsi="宋体" w:eastAsia="宋体"/>
                <w:sz w:val="16"/>
              </w:rPr>
              <w:t>偏差原因：有些材料未及时报账，导致出现偏差；整改措施：督促报账人员及时报账</w:t>
            </w:r>
          </w:p>
        </w:tc>
      </w:tr>
      <w:tr w14:paraId="76942C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99A0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F9BC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E99A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F0BC2">
            <w:pPr>
              <w:jc w:val="center"/>
            </w:pPr>
            <w:r>
              <w:rPr>
                <w:rFonts w:hint="eastAsia" w:ascii="宋体" w:hAnsi="宋体"/>
                <w:sz w:val="16"/>
                <w:lang w:eastAsia="zh-CN"/>
              </w:rPr>
              <w:t>教育部</w:t>
            </w:r>
            <w:r>
              <w:rPr>
                <w:rFonts w:ascii="宋体" w:hAnsi="宋体" w:eastAsia="宋体"/>
                <w:sz w:val="16"/>
              </w:rPr>
              <w:t>办学评估经费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00880">
            <w:pPr>
              <w:jc w:val="center"/>
            </w:pPr>
            <w:r>
              <w:rPr>
                <w:rFonts w:ascii="宋体" w:hAnsi="宋体" w:eastAsia="宋体"/>
                <w:sz w:val="16"/>
              </w:rPr>
              <w:t>≤25.94万元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132CF">
            <w:pPr>
              <w:jc w:val="center"/>
            </w:pPr>
            <w:r>
              <w:rPr>
                <w:rFonts w:ascii="宋体" w:hAnsi="宋体" w:eastAsia="宋体"/>
                <w:sz w:val="16"/>
              </w:rPr>
              <w:t>=25.94万元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EA18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54BA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08C93">
            <w:pPr>
              <w:jc w:val="center"/>
            </w:pPr>
          </w:p>
        </w:tc>
      </w:tr>
      <w:tr w14:paraId="131006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0E6F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CE00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B358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EE989">
            <w:pPr>
              <w:jc w:val="center"/>
            </w:pPr>
            <w:r>
              <w:rPr>
                <w:rFonts w:ascii="宋体" w:hAnsi="宋体" w:eastAsia="宋体"/>
                <w:sz w:val="16"/>
              </w:rPr>
              <w:t>论文指导劳务费、班主任服务费、第三方公司费用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4C798">
            <w:pPr>
              <w:jc w:val="center"/>
            </w:pPr>
            <w:r>
              <w:rPr>
                <w:rFonts w:ascii="宋体" w:hAnsi="宋体" w:eastAsia="宋体"/>
                <w:sz w:val="16"/>
              </w:rPr>
              <w:t>≤10.50万元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F7273">
            <w:pPr>
              <w:jc w:val="center"/>
            </w:pPr>
            <w:r>
              <w:rPr>
                <w:rFonts w:ascii="宋体" w:hAnsi="宋体" w:eastAsia="宋体"/>
                <w:sz w:val="16"/>
              </w:rPr>
              <w:t>=10.5万元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5CF9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9532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4B515">
            <w:pPr>
              <w:jc w:val="center"/>
            </w:pPr>
          </w:p>
        </w:tc>
      </w:tr>
      <w:tr w14:paraId="3E1606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4710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F6AE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A287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99715">
            <w:pPr>
              <w:jc w:val="center"/>
            </w:pPr>
            <w:r>
              <w:rPr>
                <w:rFonts w:ascii="宋体" w:hAnsi="宋体" w:eastAsia="宋体"/>
                <w:sz w:val="16"/>
              </w:rPr>
              <w:t>学校维修改造费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4C51D">
            <w:pPr>
              <w:jc w:val="center"/>
            </w:pPr>
            <w:r>
              <w:rPr>
                <w:rFonts w:ascii="宋体" w:hAnsi="宋体" w:eastAsia="宋体"/>
                <w:sz w:val="16"/>
              </w:rPr>
              <w:t>≤76.75万元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0ADD7">
            <w:pPr>
              <w:jc w:val="center"/>
            </w:pPr>
            <w:r>
              <w:rPr>
                <w:rFonts w:ascii="宋体" w:hAnsi="宋体" w:eastAsia="宋体"/>
                <w:sz w:val="16"/>
              </w:rPr>
              <w:t>=76.75万元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D071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1093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E42C8">
            <w:pPr>
              <w:jc w:val="center"/>
            </w:pPr>
          </w:p>
        </w:tc>
      </w:tr>
      <w:tr w14:paraId="4DECC1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68803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2476C">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7C24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E5390">
            <w:pPr>
              <w:jc w:val="center"/>
            </w:pPr>
            <w:r>
              <w:rPr>
                <w:rFonts w:ascii="宋体" w:hAnsi="宋体" w:eastAsia="宋体"/>
                <w:sz w:val="16"/>
              </w:rPr>
              <w:t>教育教学质量有效提升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5A30D">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8BA0F">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073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086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EF0DB">
            <w:pPr>
              <w:jc w:val="center"/>
            </w:pPr>
          </w:p>
        </w:tc>
      </w:tr>
      <w:tr w14:paraId="781521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B381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5843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717B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90373">
            <w:pPr>
              <w:jc w:val="center"/>
            </w:pPr>
            <w:r>
              <w:rPr>
                <w:rFonts w:ascii="宋体" w:hAnsi="宋体" w:eastAsia="宋体"/>
                <w:sz w:val="16"/>
              </w:rPr>
              <w:t>持续提高和田开放大学的知名度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E902B">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B50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6F1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827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1591A">
            <w:pPr>
              <w:jc w:val="center"/>
            </w:pPr>
          </w:p>
        </w:tc>
      </w:tr>
      <w:tr w14:paraId="60E013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33164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EE08F">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6F9A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EFD46">
            <w:pPr>
              <w:jc w:val="center"/>
            </w:pPr>
            <w:r>
              <w:rPr>
                <w:rFonts w:ascii="宋体" w:hAnsi="宋体" w:eastAsia="宋体"/>
                <w:sz w:val="16"/>
              </w:rPr>
              <w:t>受益教师满意度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6D320">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FC2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3804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0B3F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4C38D">
            <w:pPr>
              <w:jc w:val="center"/>
            </w:pPr>
          </w:p>
        </w:tc>
      </w:tr>
      <w:tr w14:paraId="57D048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6C8A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B625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5B21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5BD65">
            <w:pPr>
              <w:jc w:val="center"/>
            </w:pPr>
            <w:r>
              <w:rPr>
                <w:rFonts w:ascii="宋体" w:hAnsi="宋体" w:eastAsia="宋体"/>
                <w:sz w:val="16"/>
              </w:rPr>
              <w:t>受益学员满意度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75BB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719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5C5D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CB12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89046">
            <w:pPr>
              <w:jc w:val="center"/>
            </w:pPr>
          </w:p>
        </w:tc>
      </w:tr>
      <w:tr w14:paraId="78D5D92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42D99">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780F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9118F">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CBF342">
            <w:pPr>
              <w:jc w:val="center"/>
            </w:pPr>
            <w:r>
              <w:rPr>
                <w:rFonts w:ascii="宋体" w:hAnsi="宋体" w:eastAsia="宋体"/>
                <w:sz w:val="16"/>
              </w:rPr>
              <w:t>85.24分</w:t>
            </w:r>
          </w:p>
        </w:tc>
      </w:tr>
    </w:tbl>
    <w:p w14:paraId="31DA6F59">
      <w:r>
        <w:br w:type="page"/>
      </w:r>
    </w:p>
    <w:p w14:paraId="29AB784C">
      <w:pPr>
        <w:spacing w:line="640" w:lineRule="exact"/>
        <w:ind w:firstLine="640"/>
        <w:jc w:val="both"/>
        <w:outlineLvl w:val="2"/>
      </w:pPr>
      <w:r>
        <w:rPr>
          <w:rFonts w:ascii="黑体" w:hAnsi="黑体" w:eastAsia="黑体"/>
          <w:sz w:val="32"/>
        </w:rPr>
        <w:t>十二、其他需说明的事项</w:t>
      </w:r>
    </w:p>
    <w:p w14:paraId="2E50B427">
      <w:pPr>
        <w:spacing w:line="580" w:lineRule="exact"/>
        <w:ind w:firstLine="640"/>
        <w:jc w:val="both"/>
      </w:pPr>
      <w:r>
        <w:rPr>
          <w:rFonts w:ascii="仿宋_GB2312" w:hAnsi="仿宋_GB2312" w:eastAsia="仿宋_GB2312"/>
          <w:b w:val="0"/>
          <w:sz w:val="32"/>
        </w:rPr>
        <w:t>本单位无其他需说明的事项。</w:t>
      </w:r>
    </w:p>
    <w:p w14:paraId="17544178">
      <w:r>
        <w:br w:type="page"/>
      </w:r>
    </w:p>
    <w:p w14:paraId="5274C2FB">
      <w:pPr>
        <w:spacing w:line="240" w:lineRule="auto"/>
        <w:jc w:val="center"/>
        <w:outlineLvl w:val="1"/>
      </w:pPr>
      <w:r>
        <w:rPr>
          <w:rFonts w:ascii="黑体" w:hAnsi="黑体" w:eastAsia="黑体"/>
          <w:sz w:val="32"/>
        </w:rPr>
        <w:t>第三部分 专业名词解释</w:t>
      </w:r>
    </w:p>
    <w:p w14:paraId="164D198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316228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D1CC26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C63DB0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918467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21E2B8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F8E1B0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9F97CE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9A1C6A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687139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A5878C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ED953B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3D35DA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7855DD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42DDB26">
      <w:r>
        <w:br w:type="page"/>
      </w:r>
    </w:p>
    <w:p w14:paraId="690BAE53">
      <w:pPr>
        <w:spacing w:line="240" w:lineRule="auto"/>
        <w:jc w:val="center"/>
        <w:outlineLvl w:val="1"/>
      </w:pPr>
      <w:r>
        <w:rPr>
          <w:rFonts w:ascii="黑体" w:hAnsi="黑体" w:eastAsia="黑体"/>
          <w:sz w:val="32"/>
        </w:rPr>
        <w:t>第四部分 部门决算报表（见附表）</w:t>
      </w:r>
    </w:p>
    <w:p w14:paraId="5AF69004">
      <w:pPr>
        <w:spacing w:line="240" w:lineRule="auto"/>
        <w:ind w:firstLine="640"/>
        <w:jc w:val="both"/>
      </w:pPr>
      <w:r>
        <w:rPr>
          <w:rFonts w:ascii="仿宋_GB2312" w:hAnsi="仿宋_GB2312" w:eastAsia="仿宋_GB2312"/>
          <w:b w:val="0"/>
          <w:sz w:val="32"/>
        </w:rPr>
        <w:t>一、《收入支出决算总表》</w:t>
      </w:r>
    </w:p>
    <w:p w14:paraId="574ED3B6">
      <w:pPr>
        <w:spacing w:line="240" w:lineRule="auto"/>
        <w:ind w:firstLine="640"/>
        <w:jc w:val="both"/>
      </w:pPr>
      <w:r>
        <w:rPr>
          <w:rFonts w:ascii="仿宋_GB2312" w:hAnsi="仿宋_GB2312" w:eastAsia="仿宋_GB2312"/>
          <w:b w:val="0"/>
          <w:sz w:val="32"/>
        </w:rPr>
        <w:t>二、《收入决算表》</w:t>
      </w:r>
    </w:p>
    <w:p w14:paraId="401C26B1">
      <w:pPr>
        <w:spacing w:line="240" w:lineRule="auto"/>
        <w:ind w:firstLine="640"/>
        <w:jc w:val="both"/>
      </w:pPr>
      <w:r>
        <w:rPr>
          <w:rFonts w:ascii="仿宋_GB2312" w:hAnsi="仿宋_GB2312" w:eastAsia="仿宋_GB2312"/>
          <w:b w:val="0"/>
          <w:sz w:val="32"/>
        </w:rPr>
        <w:t>三、《支出决算表》</w:t>
      </w:r>
    </w:p>
    <w:p w14:paraId="4B862B72">
      <w:pPr>
        <w:spacing w:line="240" w:lineRule="auto"/>
        <w:ind w:firstLine="640"/>
        <w:jc w:val="both"/>
      </w:pPr>
      <w:r>
        <w:rPr>
          <w:rFonts w:ascii="仿宋_GB2312" w:hAnsi="仿宋_GB2312" w:eastAsia="仿宋_GB2312"/>
          <w:b w:val="0"/>
          <w:sz w:val="32"/>
        </w:rPr>
        <w:t>四、《财政拨款收入支出决算总表》</w:t>
      </w:r>
    </w:p>
    <w:p w14:paraId="0D3D1CDF">
      <w:pPr>
        <w:spacing w:line="240" w:lineRule="auto"/>
        <w:ind w:firstLine="640"/>
        <w:jc w:val="both"/>
      </w:pPr>
      <w:r>
        <w:rPr>
          <w:rFonts w:ascii="仿宋_GB2312" w:hAnsi="仿宋_GB2312" w:eastAsia="仿宋_GB2312"/>
          <w:b w:val="0"/>
          <w:sz w:val="32"/>
        </w:rPr>
        <w:t>五、《一般公共预算财政拨款支出决算表》</w:t>
      </w:r>
    </w:p>
    <w:p w14:paraId="763331A4">
      <w:pPr>
        <w:spacing w:line="240" w:lineRule="auto"/>
        <w:ind w:firstLine="640"/>
        <w:jc w:val="both"/>
      </w:pPr>
      <w:r>
        <w:rPr>
          <w:rFonts w:ascii="仿宋_GB2312" w:hAnsi="仿宋_GB2312" w:eastAsia="仿宋_GB2312"/>
          <w:b w:val="0"/>
          <w:sz w:val="32"/>
        </w:rPr>
        <w:t>六、《一般公共预算财政拨款基本支出决算表》</w:t>
      </w:r>
    </w:p>
    <w:p w14:paraId="362A8643">
      <w:pPr>
        <w:spacing w:line="240" w:lineRule="auto"/>
        <w:ind w:firstLine="640"/>
        <w:jc w:val="both"/>
      </w:pPr>
      <w:r>
        <w:rPr>
          <w:rFonts w:ascii="仿宋_GB2312" w:hAnsi="仿宋_GB2312" w:eastAsia="仿宋_GB2312"/>
          <w:b w:val="0"/>
          <w:sz w:val="32"/>
        </w:rPr>
        <w:t>七、《政府性基金预算财政拨款收入支出决算表》</w:t>
      </w:r>
    </w:p>
    <w:p w14:paraId="45E434A8">
      <w:pPr>
        <w:spacing w:line="240" w:lineRule="auto"/>
        <w:ind w:firstLine="640"/>
        <w:jc w:val="both"/>
      </w:pPr>
      <w:r>
        <w:rPr>
          <w:rFonts w:ascii="仿宋_GB2312" w:hAnsi="仿宋_GB2312" w:eastAsia="仿宋_GB2312"/>
          <w:b w:val="0"/>
          <w:sz w:val="32"/>
        </w:rPr>
        <w:t>八、《国有资本经营预算财政拨款收入支出决算表》</w:t>
      </w:r>
    </w:p>
    <w:p w14:paraId="3624AF57">
      <w:pPr>
        <w:spacing w:line="240" w:lineRule="auto"/>
        <w:ind w:firstLine="640"/>
        <w:jc w:val="both"/>
      </w:pPr>
      <w:r>
        <w:rPr>
          <w:rFonts w:ascii="仿宋_GB2312" w:hAnsi="仿宋_GB2312" w:eastAsia="仿宋_GB2312"/>
          <w:b w:val="0"/>
          <w:sz w:val="32"/>
        </w:rPr>
        <w:t>九、《财政拨款“三公”经费支出决算表》</w:t>
      </w:r>
    </w:p>
    <w:p w14:paraId="0074D71C">
      <w:pPr>
        <w:spacing w:line="240" w:lineRule="auto"/>
        <w:ind w:firstLine="640"/>
        <w:jc w:val="both"/>
      </w:pPr>
    </w:p>
    <w:p w14:paraId="2BD3899B">
      <w:pPr>
        <w:spacing w:line="240" w:lineRule="auto"/>
        <w:ind w:firstLine="640"/>
        <w:jc w:val="both"/>
      </w:pPr>
    </w:p>
    <w:p w14:paraId="72F6E675">
      <w:pPr>
        <w:spacing w:line="240" w:lineRule="auto"/>
        <w:ind w:firstLine="640"/>
        <w:jc w:val="both"/>
      </w:pPr>
    </w:p>
    <w:p w14:paraId="12519544">
      <w:pPr>
        <w:spacing w:line="240" w:lineRule="auto"/>
        <w:ind w:firstLine="640"/>
        <w:jc w:val="both"/>
      </w:pPr>
    </w:p>
    <w:p w14:paraId="33BD7C0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A3B27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07511E3">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707511E3">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6247AC"/>
    <w:rsid w:val="09A729D8"/>
    <w:rsid w:val="0A3C58E8"/>
    <w:rsid w:val="0A7B4867"/>
    <w:rsid w:val="0B8C3ECC"/>
    <w:rsid w:val="0C3613A3"/>
    <w:rsid w:val="0C7227A7"/>
    <w:rsid w:val="0DCA6EF7"/>
    <w:rsid w:val="0E4B1576"/>
    <w:rsid w:val="0EA04331"/>
    <w:rsid w:val="0F9811B3"/>
    <w:rsid w:val="11E15093"/>
    <w:rsid w:val="120E0809"/>
    <w:rsid w:val="18BF4BD0"/>
    <w:rsid w:val="19071D6C"/>
    <w:rsid w:val="19B5554D"/>
    <w:rsid w:val="19B915C3"/>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2FDA4626"/>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30D7A06"/>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8E258A1"/>
    <w:rsid w:val="69846A0E"/>
    <w:rsid w:val="69AD798C"/>
    <w:rsid w:val="6B68175F"/>
    <w:rsid w:val="6B8B5C99"/>
    <w:rsid w:val="6CA7198F"/>
    <w:rsid w:val="6D8919A8"/>
    <w:rsid w:val="6E0F7A08"/>
    <w:rsid w:val="6E801ABC"/>
    <w:rsid w:val="71473612"/>
    <w:rsid w:val="718F7F65"/>
    <w:rsid w:val="71F05DAE"/>
    <w:rsid w:val="73423603"/>
    <w:rsid w:val="737A5923"/>
    <w:rsid w:val="73DE4104"/>
    <w:rsid w:val="73FB6630"/>
    <w:rsid w:val="74CE04EC"/>
    <w:rsid w:val="74E76DCD"/>
    <w:rsid w:val="76660D7C"/>
    <w:rsid w:val="77ED6F44"/>
    <w:rsid w:val="795A0A34"/>
    <w:rsid w:val="7A0D3BC7"/>
    <w:rsid w:val="7A3A3CDB"/>
    <w:rsid w:val="7BC96724"/>
    <w:rsid w:val="7F007B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4491</Words>
  <Characters>5313</Characters>
  <Lines>0</Lines>
  <Paragraphs>0</Paragraphs>
  <TotalTime>6</TotalTime>
  <ScaleCrop>false</ScaleCrop>
  <LinksUpToDate>false</LinksUpToDate>
  <CharactersWithSpaces>5321</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2025-09-12T05:04:00Z</cp:lastPrinted>
  <dcterms:modified xsi:type="dcterms:W3CDTF">2025-09-12T05:05:20Z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