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和田国家农业科技园区管理委员会2024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A458D1">
      <w:r>
        <w:br w:type="page"/>
      </w:r>
    </w:p>
    <w:p w14:paraId="6A5810AE">
      <w:pPr>
        <w:spacing w:line="640" w:lineRule="exact"/>
        <w:jc w:val="center"/>
        <w:outlineLvl w:val="1"/>
      </w:pPr>
      <w:r>
        <w:rPr>
          <w:rFonts w:ascii="黑体" w:hAnsi="黑体" w:eastAsia="黑体"/>
          <w:sz w:val="32"/>
        </w:rPr>
        <w:t>第一部分 单位概况</w:t>
      </w:r>
    </w:p>
    <w:p w14:paraId="1822A104">
      <w:pPr>
        <w:spacing w:line="640" w:lineRule="exact"/>
        <w:ind w:firstLine="640"/>
        <w:jc w:val="both"/>
        <w:outlineLvl w:val="2"/>
      </w:pPr>
      <w:r>
        <w:rPr>
          <w:rFonts w:ascii="黑体" w:hAnsi="黑体" w:eastAsia="黑体"/>
          <w:sz w:val="32"/>
        </w:rPr>
        <w:t>一、主要职能</w:t>
      </w:r>
    </w:p>
    <w:p w14:paraId="773CAC5C">
      <w:pPr>
        <w:spacing w:line="580" w:lineRule="exact"/>
        <w:ind w:firstLine="640"/>
        <w:jc w:val="both"/>
      </w:pPr>
      <w:r>
        <w:rPr>
          <w:rFonts w:ascii="仿宋_GB2312" w:hAnsi="仿宋_GB2312" w:eastAsia="仿宋_GB2312"/>
          <w:sz w:val="32"/>
        </w:rPr>
        <w:t>一是在地委、行署的领导下，贯彻落实党和国家以及自治区、地区有关农业科技园区的各项政策、法律法规，依据国家的有关法律、法规和方针、政策，负责农业科技园区的组织、领导、管理、协调、规划和服务工作。</w:t>
      </w:r>
    </w:p>
    <w:p w14:paraId="735456EB">
      <w:pPr>
        <w:spacing w:line="580" w:lineRule="exact"/>
        <w:ind w:firstLine="640"/>
        <w:jc w:val="both"/>
      </w:pPr>
      <w:r>
        <w:rPr>
          <w:rFonts w:ascii="仿宋_GB2312" w:hAnsi="仿宋_GB2312" w:eastAsia="仿宋_GB2312"/>
          <w:sz w:val="32"/>
        </w:rPr>
        <w:t>二是贯彻国家关于发展现代农业的方针、政策；发挥农业园的示范、带动作用；负责园区农业高新技术的引进、试验、示范和成果推广工作，负责组织实施生态农业示范项目建设和无公害农产品基地的开发建设。</w:t>
      </w:r>
    </w:p>
    <w:p w14:paraId="77777ED5">
      <w:pPr>
        <w:spacing w:line="580" w:lineRule="exact"/>
        <w:ind w:firstLine="640"/>
        <w:jc w:val="both"/>
      </w:pPr>
      <w:r>
        <w:rPr>
          <w:rFonts w:ascii="仿宋_GB2312" w:hAnsi="仿宋_GB2312" w:eastAsia="仿宋_GB2312"/>
          <w:sz w:val="32"/>
        </w:rPr>
        <w:t>三是负责园区基础设施的开发建设和土地的开发管理，审批园区内企业及新上项目的环保设计和工程。</w:t>
      </w:r>
    </w:p>
    <w:p w14:paraId="73195C63">
      <w:pPr>
        <w:spacing w:line="580" w:lineRule="exact"/>
        <w:ind w:firstLine="640"/>
        <w:jc w:val="both"/>
      </w:pPr>
      <w:r>
        <w:rPr>
          <w:rFonts w:ascii="仿宋_GB2312" w:hAnsi="仿宋_GB2312" w:eastAsia="仿宋_GB2312"/>
          <w:sz w:val="32"/>
        </w:rPr>
        <w:t>四是负责统筹、协调、管理园区的经济支柱产业协作和招</w:t>
      </w:r>
      <w:r>
        <w:rPr>
          <w:rFonts w:hint="eastAsia" w:ascii="仿宋_GB2312" w:hAnsi="仿宋_GB2312" w:eastAsia="仿宋_GB2312"/>
          <w:sz w:val="32"/>
          <w:lang w:eastAsia="zh-CN"/>
        </w:rPr>
        <w:t>商引资</w:t>
      </w:r>
      <w:r>
        <w:rPr>
          <w:rFonts w:ascii="仿宋_GB2312" w:hAnsi="仿宋_GB2312" w:eastAsia="仿宋_GB2312"/>
          <w:sz w:val="32"/>
        </w:rPr>
        <w:t>工作；负责协调园区内各类企业的注册、登记和各项经济指标的统计工作；协调好园区内企业、单位及有关部门的关系。</w:t>
      </w:r>
    </w:p>
    <w:p w14:paraId="577F15CA">
      <w:pPr>
        <w:spacing w:line="580" w:lineRule="exact"/>
        <w:ind w:firstLine="640"/>
        <w:jc w:val="both"/>
      </w:pPr>
      <w:r>
        <w:rPr>
          <w:rFonts w:ascii="仿宋_GB2312" w:hAnsi="仿宋_GB2312" w:eastAsia="仿宋_GB2312"/>
          <w:sz w:val="32"/>
        </w:rPr>
        <w:t>五是负责园区各类人才的培养和培训，组织开展专家咨询和学术交流，进行技术服务和指导等。</w:t>
      </w:r>
    </w:p>
    <w:p w14:paraId="210F2743">
      <w:pPr>
        <w:spacing w:line="580" w:lineRule="exact"/>
        <w:ind w:firstLine="640"/>
        <w:jc w:val="both"/>
      </w:pPr>
      <w:r>
        <w:rPr>
          <w:rFonts w:ascii="仿宋_GB2312" w:hAnsi="仿宋_GB2312" w:eastAsia="仿宋_GB2312"/>
          <w:sz w:val="32"/>
        </w:rPr>
        <w:t>六是按照中央、自治区等上级有关部门制定的指标体系要求，加快园区各项建设，做好迎接国家科技部的验收准备工作。</w:t>
      </w:r>
    </w:p>
    <w:p w14:paraId="7D3BD336">
      <w:pPr>
        <w:spacing w:line="580" w:lineRule="exact"/>
        <w:ind w:firstLine="640"/>
        <w:jc w:val="both"/>
      </w:pPr>
      <w:r>
        <w:rPr>
          <w:rFonts w:ascii="仿宋_GB2312" w:hAnsi="仿宋_GB2312" w:eastAsia="仿宋_GB2312"/>
          <w:sz w:val="32"/>
        </w:rPr>
        <w:t>七是承担地委、行署交办的其他工作。</w:t>
      </w:r>
    </w:p>
    <w:p w14:paraId="10B9606D">
      <w:pPr>
        <w:spacing w:line="640" w:lineRule="exact"/>
        <w:ind w:firstLine="640"/>
        <w:jc w:val="both"/>
        <w:outlineLvl w:val="2"/>
      </w:pPr>
      <w:r>
        <w:rPr>
          <w:rFonts w:ascii="黑体" w:hAnsi="黑体" w:eastAsia="黑体"/>
          <w:sz w:val="32"/>
        </w:rPr>
        <w:t>二、机构设置及人员情况</w:t>
      </w:r>
    </w:p>
    <w:p w14:paraId="04717E0C">
      <w:pPr>
        <w:spacing w:line="580" w:lineRule="exact"/>
        <w:ind w:firstLine="640"/>
        <w:jc w:val="both"/>
      </w:pPr>
      <w:r>
        <w:rPr>
          <w:rFonts w:ascii="仿宋_GB2312" w:hAnsi="仿宋_GB2312" w:eastAsia="仿宋_GB2312"/>
          <w:sz w:val="32"/>
        </w:rPr>
        <w:t>和田国家农业科技园区管理委员会2024年度，实有人数10人，其中：在职人员8人，减少1人；离休人员0人，增加0人；退休人员2人,增加1人。</w:t>
      </w:r>
    </w:p>
    <w:p w14:paraId="296F4BCB">
      <w:pPr>
        <w:spacing w:line="580" w:lineRule="exact"/>
        <w:ind w:firstLine="640"/>
        <w:jc w:val="both"/>
      </w:pPr>
      <w:r>
        <w:rPr>
          <w:rFonts w:ascii="仿宋_GB2312" w:hAnsi="仿宋_GB2312" w:eastAsia="仿宋_GB2312"/>
          <w:sz w:val="32"/>
        </w:rPr>
        <w:t>和田国家农业科技园区管理委员会无下属预算单位，下设3个科室，分别是：综合服务科、产业服务科、科研推广科。</w:t>
      </w:r>
    </w:p>
    <w:p w14:paraId="14D41B6A">
      <w:r>
        <w:br w:type="page"/>
      </w:r>
    </w:p>
    <w:p w14:paraId="1060C4A9">
      <w:pPr>
        <w:spacing w:line="240" w:lineRule="auto"/>
        <w:jc w:val="center"/>
        <w:outlineLvl w:val="1"/>
      </w:pPr>
      <w:r>
        <w:rPr>
          <w:rFonts w:ascii="黑体" w:hAnsi="黑体" w:eastAsia="黑体"/>
          <w:sz w:val="32"/>
        </w:rPr>
        <w:t>第二部分 部门决算情况说明</w:t>
      </w:r>
    </w:p>
    <w:p w14:paraId="5DD47F70">
      <w:pPr>
        <w:spacing w:line="640" w:lineRule="exact"/>
        <w:ind w:firstLine="640"/>
        <w:jc w:val="both"/>
        <w:outlineLvl w:val="2"/>
      </w:pPr>
      <w:r>
        <w:rPr>
          <w:rFonts w:ascii="黑体" w:hAnsi="黑体" w:eastAsia="黑体"/>
          <w:sz w:val="32"/>
        </w:rPr>
        <w:t>一、收入支出决算总体情况说明</w:t>
      </w:r>
    </w:p>
    <w:p w14:paraId="4337A400">
      <w:pPr>
        <w:spacing w:line="580" w:lineRule="exact"/>
        <w:ind w:firstLine="640"/>
        <w:jc w:val="both"/>
      </w:pPr>
      <w:r>
        <w:rPr>
          <w:rFonts w:ascii="仿宋_GB2312" w:hAnsi="仿宋_GB2312" w:eastAsia="仿宋_GB2312"/>
          <w:b/>
          <w:sz w:val="32"/>
        </w:rPr>
        <w:t>2024年度收入总计245.82万元，</w:t>
      </w:r>
      <w:r>
        <w:rPr>
          <w:rFonts w:ascii="仿宋_GB2312" w:hAnsi="仿宋_GB2312" w:eastAsia="仿宋_GB2312"/>
          <w:b w:val="0"/>
          <w:sz w:val="32"/>
        </w:rPr>
        <w:t>其中：本年收入合计234.80万元，使用非财政拨款结余（含专用结余）0.00万元，年初结转和结余11.02万元。</w:t>
      </w:r>
    </w:p>
    <w:p w14:paraId="6FED7205">
      <w:pPr>
        <w:spacing w:line="580" w:lineRule="exact"/>
        <w:ind w:firstLine="640"/>
        <w:jc w:val="both"/>
      </w:pPr>
      <w:r>
        <w:rPr>
          <w:rFonts w:ascii="仿宋_GB2312" w:hAnsi="仿宋_GB2312" w:eastAsia="仿宋_GB2312"/>
          <w:b/>
          <w:sz w:val="32"/>
        </w:rPr>
        <w:t>2024年度支出总计245.82万元，</w:t>
      </w:r>
      <w:r>
        <w:rPr>
          <w:rFonts w:ascii="仿宋_GB2312" w:hAnsi="仿宋_GB2312" w:eastAsia="仿宋_GB2312"/>
          <w:b w:val="0"/>
          <w:sz w:val="32"/>
        </w:rPr>
        <w:t>其中：本年支出合计245.57万元，结余分配0.00万元，年末结转和结余0.25万元。</w:t>
      </w:r>
    </w:p>
    <w:p w14:paraId="70E6BF16">
      <w:pPr>
        <w:spacing w:line="580" w:lineRule="exact"/>
        <w:ind w:firstLine="640"/>
        <w:jc w:val="both"/>
      </w:pPr>
      <w:r>
        <w:rPr>
          <w:rFonts w:ascii="仿宋_GB2312" w:hAnsi="仿宋_GB2312" w:eastAsia="仿宋_GB2312"/>
          <w:b w:val="0"/>
          <w:sz w:val="32"/>
        </w:rPr>
        <w:t>收入支出总体与上年相比，减少2.88万元，下降1.16%，主要原因是：本年在职人员减少，相关人员经费较上年减少。</w:t>
      </w:r>
    </w:p>
    <w:p w14:paraId="16899F91">
      <w:pPr>
        <w:spacing w:line="640" w:lineRule="exact"/>
        <w:ind w:firstLine="640"/>
        <w:jc w:val="both"/>
        <w:outlineLvl w:val="2"/>
      </w:pPr>
      <w:r>
        <w:rPr>
          <w:rFonts w:ascii="黑体" w:hAnsi="黑体" w:eastAsia="黑体"/>
          <w:sz w:val="32"/>
        </w:rPr>
        <w:t>二、收入决算情况说明</w:t>
      </w:r>
    </w:p>
    <w:p w14:paraId="64E80DAB">
      <w:pPr>
        <w:spacing w:line="580" w:lineRule="exact"/>
        <w:ind w:firstLine="640"/>
        <w:jc w:val="both"/>
      </w:pPr>
      <w:r>
        <w:rPr>
          <w:rFonts w:ascii="仿宋_GB2312" w:hAnsi="仿宋_GB2312" w:eastAsia="仿宋_GB2312"/>
          <w:b/>
          <w:sz w:val="32"/>
        </w:rPr>
        <w:t>本年收入234.80万元，</w:t>
      </w:r>
      <w:r>
        <w:rPr>
          <w:rFonts w:ascii="仿宋_GB2312" w:hAnsi="仿宋_GB2312" w:eastAsia="仿宋_GB2312"/>
          <w:b w:val="0"/>
          <w:sz w:val="32"/>
        </w:rPr>
        <w:t>其中：财政拨款收入234.78万元，占99.99%；上级补助收入0.00万元，占0.00%；事业收入0.00万元，占0.00%；经营收入0.00万元，占0.00%；附属单位上缴收入0.00万元，占0.00%；其他收入0.02万元，占0.009%。</w:t>
      </w:r>
    </w:p>
    <w:p w14:paraId="34287800">
      <w:pPr>
        <w:spacing w:line="640" w:lineRule="exact"/>
        <w:ind w:firstLine="640"/>
        <w:jc w:val="both"/>
        <w:outlineLvl w:val="2"/>
      </w:pPr>
      <w:r>
        <w:rPr>
          <w:rFonts w:ascii="黑体" w:hAnsi="黑体" w:eastAsia="黑体"/>
          <w:sz w:val="32"/>
        </w:rPr>
        <w:t>三、支出决算情况说明</w:t>
      </w:r>
    </w:p>
    <w:p w14:paraId="624C170D">
      <w:pPr>
        <w:spacing w:line="580" w:lineRule="exact"/>
        <w:ind w:firstLine="640"/>
        <w:jc w:val="both"/>
      </w:pPr>
      <w:r>
        <w:rPr>
          <w:rFonts w:ascii="仿宋_GB2312" w:hAnsi="仿宋_GB2312" w:eastAsia="仿宋_GB2312"/>
          <w:b/>
          <w:sz w:val="32"/>
        </w:rPr>
        <w:t>本年支出245.57万元，</w:t>
      </w:r>
      <w:r>
        <w:rPr>
          <w:rFonts w:ascii="仿宋_GB2312" w:hAnsi="仿宋_GB2312" w:eastAsia="仿宋_GB2312"/>
          <w:b w:val="0"/>
          <w:sz w:val="32"/>
        </w:rPr>
        <w:t>其中：基本支出228.87万元，占93.20%；项目支出16.70万元，占6.80%；上缴上级支出0.00万元，占0.00%；经营支出0.00万元，占0.00%；对附属单位补助支出0.00万元，占0.00%。</w:t>
      </w:r>
    </w:p>
    <w:p w14:paraId="70E4720F">
      <w:pPr>
        <w:spacing w:line="640" w:lineRule="exact"/>
        <w:ind w:firstLine="640"/>
        <w:jc w:val="both"/>
        <w:outlineLvl w:val="2"/>
      </w:pPr>
      <w:r>
        <w:rPr>
          <w:rFonts w:ascii="黑体" w:hAnsi="黑体" w:eastAsia="黑体"/>
          <w:sz w:val="32"/>
        </w:rPr>
        <w:t>四、财政拨款收入支出决算总体情况说明</w:t>
      </w:r>
    </w:p>
    <w:p w14:paraId="554E373F">
      <w:pPr>
        <w:spacing w:line="580" w:lineRule="exact"/>
        <w:ind w:firstLine="640"/>
        <w:jc w:val="both"/>
      </w:pPr>
      <w:r>
        <w:rPr>
          <w:rFonts w:ascii="仿宋_GB2312" w:hAnsi="仿宋_GB2312" w:eastAsia="仿宋_GB2312"/>
          <w:b/>
          <w:sz w:val="32"/>
        </w:rPr>
        <w:t>2024年度财政拨款收入总计234.79万元，</w:t>
      </w:r>
      <w:r>
        <w:rPr>
          <w:rFonts w:ascii="仿宋_GB2312" w:hAnsi="仿宋_GB2312" w:eastAsia="仿宋_GB2312"/>
          <w:b w:val="0"/>
          <w:sz w:val="32"/>
        </w:rPr>
        <w:t>其中：年初财政拨款结转和结余0.01万元，本年财政拨款收入234.78万元。</w:t>
      </w:r>
      <w:r>
        <w:rPr>
          <w:rFonts w:ascii="仿宋_GB2312" w:hAnsi="仿宋_GB2312" w:eastAsia="仿宋_GB2312"/>
          <w:b/>
          <w:sz w:val="32"/>
        </w:rPr>
        <w:t>财政拨款支出总计234.79万元，</w:t>
      </w:r>
      <w:r>
        <w:rPr>
          <w:rFonts w:ascii="仿宋_GB2312" w:hAnsi="仿宋_GB2312" w:eastAsia="仿宋_GB2312"/>
          <w:b w:val="0"/>
          <w:sz w:val="32"/>
        </w:rPr>
        <w:t>其中：年末财政拨款结转和结余0.01万元，本年财政拨款支出234.78万元。</w:t>
      </w:r>
    </w:p>
    <w:p w14:paraId="4793E75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减少2.90万元，下降1.22%，主要原因是：本年在职人员减少，相关人员经费较上年减少。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年初预算数221.15万元，决算数234.79万元，预决算差异率6.17%，主要原因是：年中追加驻村工作项目经费，导致预决算存在差异。</w:t>
      </w:r>
    </w:p>
    <w:p w14:paraId="75D19EA6">
      <w:pPr>
        <w:spacing w:line="640" w:lineRule="exact"/>
        <w:ind w:firstLine="640"/>
        <w:jc w:val="both"/>
        <w:outlineLvl w:val="2"/>
      </w:pPr>
      <w:r>
        <w:rPr>
          <w:rFonts w:ascii="黑体" w:hAnsi="黑体" w:eastAsia="黑体"/>
          <w:sz w:val="32"/>
        </w:rPr>
        <w:t>五、一般公共预算财政拨款支出决算情况说明</w:t>
      </w:r>
    </w:p>
    <w:p w14:paraId="1A0AF2A4">
      <w:pPr>
        <w:spacing w:line="640" w:lineRule="exact"/>
        <w:ind w:firstLine="640"/>
        <w:jc w:val="both"/>
        <w:outlineLvl w:val="3"/>
      </w:pPr>
      <w:r>
        <w:rPr>
          <w:rFonts w:ascii="楷体_GB2312" w:hAnsi="楷体_GB2312" w:eastAsia="楷体_GB2312"/>
          <w:b/>
          <w:sz w:val="32"/>
        </w:rPr>
        <w:t>（一）一般公共预算财政拨款支出决算总体情况</w:t>
      </w:r>
    </w:p>
    <w:p w14:paraId="5D17AAF7">
      <w:pPr>
        <w:spacing w:line="580" w:lineRule="exact"/>
        <w:ind w:firstLine="640"/>
        <w:jc w:val="both"/>
      </w:pPr>
      <w:r>
        <w:rPr>
          <w:rFonts w:ascii="仿宋_GB2312" w:hAnsi="仿宋_GB2312" w:eastAsia="仿宋_GB2312"/>
          <w:b/>
          <w:sz w:val="32"/>
        </w:rPr>
        <w:t>2024年度一般公共预算财政拨款支出234.78万元，</w:t>
      </w:r>
      <w:r>
        <w:rPr>
          <w:rFonts w:ascii="仿宋_GB2312" w:hAnsi="仿宋_GB2312" w:eastAsia="仿宋_GB2312"/>
          <w:b w:val="0"/>
          <w:sz w:val="32"/>
        </w:rPr>
        <w:t>占本年支出合计的95.61%。</w:t>
      </w:r>
      <w:r>
        <w:rPr>
          <w:rFonts w:ascii="仿宋_GB2312" w:hAnsi="仿宋_GB2312" w:eastAsia="仿宋_GB2312"/>
          <w:b/>
          <w:sz w:val="32"/>
        </w:rPr>
        <w:t>与上年相比，</w:t>
      </w:r>
      <w:r>
        <w:rPr>
          <w:rFonts w:ascii="仿宋_GB2312" w:hAnsi="仿宋_GB2312" w:eastAsia="仿宋_GB2312"/>
          <w:b w:val="0"/>
          <w:sz w:val="32"/>
        </w:rPr>
        <w:t>减少2.90万元，下降1.22%，主要原因是：本年在职人员减少，相关人员经费较上年减少。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年初预算数221.15万元，决算数234.78万元，预决算差异率6.16%，主要原因是：年中追加驻村工作项目经费，导致预决算存在差异。</w:t>
      </w:r>
    </w:p>
    <w:p w14:paraId="0D1D44CB">
      <w:pPr>
        <w:spacing w:line="640" w:lineRule="exact"/>
        <w:ind w:firstLine="640"/>
        <w:jc w:val="both"/>
        <w:outlineLvl w:val="3"/>
      </w:pPr>
      <w:r>
        <w:rPr>
          <w:rFonts w:ascii="楷体_GB2312" w:hAnsi="楷体_GB2312" w:eastAsia="楷体_GB2312"/>
          <w:b/>
          <w:sz w:val="32"/>
        </w:rPr>
        <w:t>（二）一般公共预算财政拨款支出决算结构情况</w:t>
      </w:r>
    </w:p>
    <w:p w14:paraId="4870198D">
      <w:pPr>
        <w:spacing w:line="580" w:lineRule="exact"/>
        <w:ind w:firstLine="640"/>
        <w:jc w:val="both"/>
      </w:pPr>
      <w:r>
        <w:rPr>
          <w:rFonts w:ascii="仿宋_GB2312" w:hAnsi="仿宋_GB2312" w:eastAsia="仿宋_GB2312"/>
          <w:b w:val="0"/>
          <w:sz w:val="32"/>
        </w:rPr>
        <w:t>1.社会保障和就业支出(类)31.67万元,占13.49%。</w:t>
      </w:r>
    </w:p>
    <w:p w14:paraId="19F80F01">
      <w:pPr>
        <w:spacing w:line="580" w:lineRule="exact"/>
        <w:ind w:firstLine="640"/>
        <w:jc w:val="both"/>
      </w:pPr>
      <w:r>
        <w:rPr>
          <w:rFonts w:ascii="仿宋_GB2312" w:hAnsi="仿宋_GB2312" w:eastAsia="仿宋_GB2312"/>
          <w:b w:val="0"/>
          <w:sz w:val="32"/>
        </w:rPr>
        <w:t>2.卫生健康支出(类)8.19万元,占3.49%。</w:t>
      </w:r>
    </w:p>
    <w:p w14:paraId="35C255E7">
      <w:pPr>
        <w:spacing w:line="580" w:lineRule="exact"/>
        <w:ind w:firstLine="640"/>
        <w:jc w:val="both"/>
      </w:pPr>
      <w:r>
        <w:rPr>
          <w:rFonts w:ascii="仿宋_GB2312" w:hAnsi="仿宋_GB2312" w:eastAsia="仿宋_GB2312"/>
          <w:b w:val="0"/>
          <w:sz w:val="32"/>
        </w:rPr>
        <w:t>3.农林水支出(类)168.23万元,占71.65%。</w:t>
      </w:r>
    </w:p>
    <w:p w14:paraId="7AD18EEA">
      <w:pPr>
        <w:spacing w:line="580" w:lineRule="exact"/>
        <w:ind w:firstLine="640"/>
        <w:jc w:val="both"/>
      </w:pPr>
      <w:r>
        <w:rPr>
          <w:rFonts w:ascii="仿宋_GB2312" w:hAnsi="仿宋_GB2312" w:eastAsia="仿宋_GB2312"/>
          <w:b w:val="0"/>
          <w:sz w:val="32"/>
        </w:rPr>
        <w:t>4.住房保障支出(类)14.99万元,占6.38%。</w:t>
      </w:r>
    </w:p>
    <w:p w14:paraId="7E89182F">
      <w:pPr>
        <w:spacing w:line="580" w:lineRule="exact"/>
        <w:ind w:firstLine="640"/>
        <w:jc w:val="both"/>
      </w:pPr>
      <w:r>
        <w:rPr>
          <w:rFonts w:ascii="仿宋_GB2312" w:hAnsi="仿宋_GB2312" w:eastAsia="仿宋_GB2312"/>
          <w:b w:val="0"/>
          <w:sz w:val="32"/>
        </w:rPr>
        <w:t>5.其他支出(类)11.70万元,占4.98%。</w:t>
      </w:r>
    </w:p>
    <w:p w14:paraId="262A6B6F">
      <w:pPr>
        <w:spacing w:line="640" w:lineRule="exact"/>
        <w:ind w:firstLine="640"/>
        <w:jc w:val="both"/>
        <w:outlineLvl w:val="3"/>
      </w:pPr>
      <w:r>
        <w:rPr>
          <w:rFonts w:ascii="楷体_GB2312" w:hAnsi="楷体_GB2312" w:eastAsia="楷体_GB2312"/>
          <w:b/>
          <w:sz w:val="32"/>
        </w:rPr>
        <w:t>（三）一般公共预算财政拨款支出决算具体情况</w:t>
      </w:r>
    </w:p>
    <w:p w14:paraId="46AF21AA">
      <w:pPr>
        <w:spacing w:line="580" w:lineRule="exact"/>
        <w:ind w:firstLine="640"/>
        <w:jc w:val="both"/>
      </w:pPr>
      <w:r>
        <w:rPr>
          <w:rFonts w:ascii="仿宋_GB2312" w:hAnsi="仿宋_GB2312" w:eastAsia="仿宋_GB2312"/>
          <w:b w:val="0"/>
          <w:sz w:val="32"/>
        </w:rPr>
        <w:t>1.一般公共服务支出(类)人大事务(款)事业运行(项):支出决算数为0.00万元，比上年决算减少0.28万元，下降100.00%,主要原因是：本年功能科目调整，临聘人员经费上年度在一般公共服务支出(类)人大事务(款)事业运行(项)科目列支，本年调整至主科目列支，导致经费较上年减少。</w:t>
      </w:r>
    </w:p>
    <w:p w14:paraId="175856B8">
      <w:pPr>
        <w:spacing w:line="580" w:lineRule="exact"/>
        <w:ind w:firstLine="640"/>
        <w:jc w:val="both"/>
      </w:pPr>
      <w:r>
        <w:rPr>
          <w:rFonts w:ascii="仿宋_GB2312" w:hAnsi="仿宋_GB2312" w:eastAsia="仿宋_GB2312"/>
          <w:b w:val="0"/>
          <w:sz w:val="32"/>
        </w:rPr>
        <w:t>2.科学技术支出(类)其他科学技术支出(款)其他科学技术支出(项):支出决算数为0.00万元，比上年决算减少0.88万元，下降100.00%,主要原因是：本年减少自治区创新环境（人才基地）建设专项--科技创新基地建设计划（农业科技园区）项目，导致支出较上年减少。</w:t>
      </w:r>
    </w:p>
    <w:p w14:paraId="73D3463F">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2.39万元，比上年决算增加2.39万元，增长100.00%,主要原因是：本年功能科目调整，退休费上年度在主科目列支，本年单独列支，导致经费较上年增加。</w:t>
      </w:r>
    </w:p>
    <w:p w14:paraId="39582AA5">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20.15万元，比上年决算增加1.24万元，增长6.56%,主要原因是：本年在职人员工资基数调增，养老缴费基数上涨，相应支出增加。</w:t>
      </w:r>
    </w:p>
    <w:p w14:paraId="713B4E84">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9.12万元，比上年决算减少1.59万元，下降14.85%,主要原因是：本年新增退休人员与上年退休人员职级不同，职业年金缴费较上年减少。</w:t>
      </w:r>
    </w:p>
    <w:p w14:paraId="6012090F">
      <w:pPr>
        <w:spacing w:line="580" w:lineRule="exact"/>
        <w:ind w:firstLine="640"/>
        <w:jc w:val="both"/>
      </w:pPr>
      <w:r>
        <w:rPr>
          <w:rFonts w:ascii="仿宋_GB2312" w:hAnsi="仿宋_GB2312" w:eastAsia="仿宋_GB2312"/>
          <w:b w:val="0"/>
          <w:sz w:val="32"/>
        </w:rPr>
        <w:t>6.卫生健康支出(类)行政事业单位医疗(款)事业单位医疗(项):支出决算数为8.19万元，比上年决算增加8.19万元，增长100.00%,主要原因是：本年功能科目调整，事业单位医疗支出上年度在主科目列支，本年单独列支，导致经费较上年增加。</w:t>
      </w:r>
    </w:p>
    <w:p w14:paraId="10A5DFEF">
      <w:pPr>
        <w:spacing w:line="580" w:lineRule="exact"/>
        <w:ind w:firstLine="640"/>
        <w:jc w:val="both"/>
      </w:pPr>
      <w:r>
        <w:rPr>
          <w:rFonts w:ascii="仿宋_GB2312" w:hAnsi="仿宋_GB2312" w:eastAsia="仿宋_GB2312"/>
          <w:b w:val="0"/>
          <w:sz w:val="32"/>
        </w:rPr>
        <w:t>7.农林水支出(类)农业农村(款)事业运行(项):支出决算数为163.23万元，比上年决算减少29.10万元，下降15.13%,主要原因是：本年功能科目调整，住房公积金、医疗保险费、退休费上年度在主科目列支，本年单独列支，导致经费较上年减少。</w:t>
      </w:r>
    </w:p>
    <w:p w14:paraId="657094B8">
      <w:pPr>
        <w:spacing w:line="580" w:lineRule="exact"/>
        <w:ind w:firstLine="640"/>
        <w:jc w:val="both"/>
      </w:pPr>
      <w:r>
        <w:rPr>
          <w:rFonts w:ascii="仿宋_GB2312" w:hAnsi="仿宋_GB2312" w:eastAsia="仿宋_GB2312"/>
          <w:b w:val="0"/>
          <w:sz w:val="32"/>
        </w:rPr>
        <w:t>8.农林水支出(类)农业农村(款)其他农业农村支出(项):支出决算数为5.00万元，比上年决算增加5.00万元，增长100.00%,主要原因是：本年办公楼修缮费用增加，导致经费较上年增加。</w:t>
      </w:r>
    </w:p>
    <w:p w14:paraId="1B08F7D3">
      <w:pPr>
        <w:spacing w:line="580" w:lineRule="exact"/>
        <w:ind w:firstLine="640"/>
        <w:jc w:val="both"/>
      </w:pPr>
      <w:r>
        <w:rPr>
          <w:rFonts w:ascii="仿宋_GB2312" w:hAnsi="仿宋_GB2312" w:eastAsia="仿宋_GB2312"/>
          <w:b w:val="0"/>
          <w:sz w:val="32"/>
        </w:rPr>
        <w:t>9.住房保障支出(类)住房改革支出(款)住房公积金(项):支出决算数为14.99万元，比上年决算增加14.99万元，增长100.00%,主要原因是：本年功能科目调整，住房公积金上年度在主科目列支，本年单独列支，导致经费较上年增加。</w:t>
      </w:r>
    </w:p>
    <w:p w14:paraId="43B2A5A5">
      <w:pPr>
        <w:spacing w:line="580" w:lineRule="exact"/>
        <w:ind w:firstLine="640"/>
        <w:jc w:val="both"/>
      </w:pPr>
      <w:r>
        <w:rPr>
          <w:rFonts w:ascii="仿宋_GB2312" w:hAnsi="仿宋_GB2312" w:eastAsia="仿宋_GB2312"/>
          <w:b w:val="0"/>
          <w:sz w:val="32"/>
        </w:rPr>
        <w:t>10.粮油物资储备支出(类)粮油物资事务(款)事业运行(项):支出决算数为0.00万元，比上年决算减少0.55万元，下降100.00%,主要原因是：本年功能科目调整，临聘人员经费上年度在粮油物资储备支出(类)粮油物资事务(款)事业运行(项)科目列支，本年调整至主科目列支，导致经费较上年减少。</w:t>
      </w:r>
    </w:p>
    <w:p w14:paraId="19C49C4B">
      <w:pPr>
        <w:spacing w:line="580" w:lineRule="exact"/>
        <w:ind w:firstLine="640"/>
        <w:jc w:val="both"/>
      </w:pPr>
      <w:r>
        <w:rPr>
          <w:rFonts w:ascii="仿宋_GB2312" w:hAnsi="仿宋_GB2312" w:eastAsia="仿宋_GB2312"/>
          <w:b w:val="0"/>
          <w:sz w:val="32"/>
        </w:rPr>
        <w:t>11.其他支出(类)其他支出(款)其他支出(项):支出决算数为11.70万元，比上年决算减少2.32万元，下降16.55%,主要原因是：本年减少驻村工作经费，导致经费较上年减少。</w:t>
      </w:r>
    </w:p>
    <w:p w14:paraId="37286680">
      <w:pPr>
        <w:spacing w:line="640" w:lineRule="exact"/>
        <w:ind w:firstLine="640"/>
        <w:jc w:val="both"/>
        <w:outlineLvl w:val="2"/>
      </w:pPr>
      <w:r>
        <w:rPr>
          <w:rFonts w:ascii="黑体" w:hAnsi="黑体" w:eastAsia="黑体"/>
          <w:sz w:val="32"/>
        </w:rPr>
        <w:t>六、一般公共预算财政拨款基本支出决算情况说明</w:t>
      </w:r>
    </w:p>
    <w:p w14:paraId="47D347D4">
      <w:pPr>
        <w:spacing w:line="580" w:lineRule="exact"/>
        <w:ind w:firstLine="640"/>
        <w:jc w:val="both"/>
      </w:pPr>
      <w:r>
        <w:rPr>
          <w:rFonts w:ascii="仿宋_GB2312" w:hAnsi="仿宋_GB2312" w:eastAsia="仿宋_GB2312"/>
          <w:b w:val="0"/>
          <w:sz w:val="32"/>
        </w:rPr>
        <w:t>2024年度一般公共预算财政拨款基本支出218.08万元，其中：</w:t>
      </w:r>
      <w:r>
        <w:rPr>
          <w:rFonts w:ascii="仿宋_GB2312" w:hAnsi="仿宋_GB2312" w:eastAsia="仿宋_GB2312"/>
          <w:b/>
          <w:sz w:val="32"/>
        </w:rPr>
        <w:t>人员经费205</w:t>
      </w:r>
      <w:r>
        <w:rPr>
          <w:rFonts w:hint="eastAsia" w:ascii="仿宋_GB2312" w:hAnsi="仿宋_GB2312" w:eastAsia="仿宋_GB2312"/>
          <w:b/>
          <w:sz w:val="32"/>
          <w:lang w:val="en-US" w:eastAsia="zh-CN"/>
        </w:rPr>
        <w:t xml:space="preserve"> </w:t>
      </w:r>
      <w:r>
        <w:rPr>
          <w:rFonts w:ascii="仿宋_GB2312" w:hAnsi="仿宋_GB2312" w:eastAsia="仿宋_GB2312"/>
          <w:b/>
          <w:sz w:val="32"/>
        </w:rPr>
        <w:t>.97万元，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包括：基本工资、津贴补贴、绩效工资、机关事业单位基本养老保险缴费、职业年金缴费、职工基本医疗保险缴费、其他社会保障缴费、住房公积金、其他工资福利支出、退休费、奖励金。</w:t>
      </w:r>
    </w:p>
    <w:p w14:paraId="6FB314D0">
      <w:pPr>
        <w:spacing w:line="580" w:lineRule="exact"/>
        <w:ind w:firstLine="640"/>
        <w:jc w:val="both"/>
      </w:pPr>
      <w:r>
        <w:rPr>
          <w:rFonts w:ascii="仿宋_GB2312" w:hAnsi="仿宋_GB2312" w:eastAsia="仿宋_GB2312"/>
          <w:b/>
          <w:sz w:val="32"/>
        </w:rPr>
        <w:t>公用经费12.11万元，</w:t>
      </w:r>
      <w:r>
        <w:rPr>
          <w:rFonts w:ascii="仿宋_GB2312" w:hAnsi="仿宋_GB2312" w:eastAsia="仿宋_GB2312"/>
          <w:b w:val="0"/>
          <w:sz w:val="32"/>
        </w:rPr>
        <w:t>包括：办公费、水费、电费、邮电费、差旅费、租赁费、劳务费、工会经费、福利费、公务用车运行维护费、专用设备购置。</w:t>
      </w:r>
    </w:p>
    <w:p w14:paraId="62DC8A7B">
      <w:pPr>
        <w:spacing w:line="640" w:lineRule="exact"/>
        <w:ind w:firstLine="640"/>
        <w:jc w:val="both"/>
        <w:outlineLvl w:val="2"/>
      </w:pPr>
      <w:r>
        <w:rPr>
          <w:rFonts w:ascii="黑体" w:hAnsi="黑体" w:eastAsia="黑体"/>
          <w:sz w:val="32"/>
        </w:rPr>
        <w:t>七、政府性基金预算财政拨款收入支出决算情况说明</w:t>
      </w:r>
    </w:p>
    <w:p w14:paraId="65C71B2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5FE7D62">
      <w:pPr>
        <w:spacing w:line="640" w:lineRule="exact"/>
        <w:ind w:firstLine="640"/>
        <w:jc w:val="both"/>
        <w:outlineLvl w:val="2"/>
      </w:pPr>
      <w:r>
        <w:rPr>
          <w:rFonts w:ascii="黑体" w:hAnsi="黑体" w:eastAsia="黑体"/>
          <w:sz w:val="32"/>
        </w:rPr>
        <w:t>八、国有资本经营预算财政拨款收入支出决算情况说明</w:t>
      </w:r>
    </w:p>
    <w:p w14:paraId="10A5D10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DEAC986">
      <w:pPr>
        <w:spacing w:line="640" w:lineRule="exact"/>
        <w:ind w:firstLine="640"/>
        <w:jc w:val="both"/>
        <w:outlineLvl w:val="2"/>
      </w:pPr>
      <w:r>
        <w:rPr>
          <w:rFonts w:ascii="黑体" w:hAnsi="黑体" w:eastAsia="黑体"/>
          <w:sz w:val="32"/>
        </w:rPr>
        <w:t>九、财政拨款“三公”经费支出决算情况说明</w:t>
      </w:r>
    </w:p>
    <w:p w14:paraId="3FAA0232">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我单位公务用车购置及运行维护费与上年一致无变化。公务接待费支出0.00万元，占0.00%，比上年增加0.00万元，增长0.00%，主要原因是：2023年与2024年均未安排公务接待费支出。</w:t>
      </w:r>
    </w:p>
    <w:p w14:paraId="3FA07187">
      <w:pPr>
        <w:spacing w:line="580" w:lineRule="exact"/>
        <w:ind w:firstLine="640"/>
        <w:jc w:val="both"/>
      </w:pPr>
      <w:r>
        <w:rPr>
          <w:rFonts w:ascii="仿宋_GB2312" w:hAnsi="仿宋_GB2312" w:eastAsia="仿宋_GB2312"/>
          <w:b/>
          <w:sz w:val="32"/>
        </w:rPr>
        <w:t>具体情况如下：</w:t>
      </w:r>
    </w:p>
    <w:p w14:paraId="34B49F6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048926E">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855B46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DFB79B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09CE67AD">
      <w:pPr>
        <w:spacing w:line="640" w:lineRule="exact"/>
        <w:ind w:firstLine="640"/>
        <w:jc w:val="both"/>
        <w:outlineLvl w:val="2"/>
      </w:pPr>
      <w:r>
        <w:rPr>
          <w:rFonts w:ascii="黑体" w:hAnsi="黑体" w:eastAsia="黑体"/>
          <w:sz w:val="32"/>
        </w:rPr>
        <w:t>十、其他重要事项的情况说明</w:t>
      </w:r>
    </w:p>
    <w:p w14:paraId="2ED45929">
      <w:pPr>
        <w:spacing w:line="640" w:lineRule="exact"/>
        <w:ind w:firstLine="640"/>
        <w:jc w:val="both"/>
        <w:outlineLvl w:val="3"/>
      </w:pPr>
      <w:r>
        <w:rPr>
          <w:rFonts w:ascii="楷体_GB2312" w:hAnsi="楷体_GB2312" w:eastAsia="楷体_GB2312"/>
          <w:b/>
          <w:sz w:val="32"/>
        </w:rPr>
        <w:t>（一）机关运行经费及公用经费支出情况</w:t>
      </w:r>
    </w:p>
    <w:p w14:paraId="59812AC6">
      <w:pPr>
        <w:spacing w:line="580" w:lineRule="exact"/>
        <w:ind w:firstLine="640"/>
        <w:jc w:val="both"/>
      </w:pPr>
      <w:r>
        <w:rPr>
          <w:rFonts w:ascii="仿宋_GB2312" w:hAnsi="仿宋_GB2312" w:eastAsia="仿宋_GB2312"/>
          <w:b w:val="0"/>
          <w:sz w:val="32"/>
        </w:rPr>
        <w:t>2024年度和田国家农业科技园区管理委员会（事业单位）公用经费支出12.11万元，比上年增加3.30万元，增长37.46%，主要原因是：本年增加办公楼修缮经费，导致公用经费增加。</w:t>
      </w:r>
    </w:p>
    <w:p w14:paraId="1526074F">
      <w:pPr>
        <w:spacing w:line="640" w:lineRule="exact"/>
        <w:ind w:firstLine="640"/>
        <w:jc w:val="both"/>
        <w:outlineLvl w:val="3"/>
      </w:pPr>
      <w:r>
        <w:rPr>
          <w:rFonts w:ascii="楷体_GB2312" w:hAnsi="楷体_GB2312" w:eastAsia="楷体_GB2312"/>
          <w:b/>
          <w:sz w:val="32"/>
        </w:rPr>
        <w:t>（二）政府采购情况</w:t>
      </w:r>
    </w:p>
    <w:p w14:paraId="42A18B2D">
      <w:pPr>
        <w:spacing w:line="580" w:lineRule="exact"/>
        <w:ind w:firstLine="640"/>
        <w:jc w:val="both"/>
      </w:pPr>
      <w:r>
        <w:rPr>
          <w:rFonts w:ascii="仿宋_GB2312" w:hAnsi="仿宋_GB2312" w:eastAsia="仿宋_GB2312"/>
          <w:b w:val="0"/>
          <w:sz w:val="32"/>
        </w:rPr>
        <w:t>2024年度政府采购支出总额2.36万元，其中：政府采购货物支出2.36万元、政府采购工程支出0.00万元、政府采购服务支出0.00万元。</w:t>
      </w:r>
    </w:p>
    <w:p w14:paraId="2D0CA61C">
      <w:pPr>
        <w:spacing w:line="580" w:lineRule="exact"/>
        <w:ind w:firstLine="640"/>
        <w:jc w:val="both"/>
      </w:pPr>
      <w:r>
        <w:rPr>
          <w:rFonts w:ascii="仿宋_GB2312" w:hAnsi="仿宋_GB2312" w:eastAsia="仿宋_GB2312"/>
          <w:b w:val="0"/>
          <w:sz w:val="32"/>
        </w:rPr>
        <w:t>授予中小企业合同金额2.36万元，占政府采购支出总额的100.00%，其中：授予小微企业合同金额2.36万元，占政府采购支出总额的100.00%。</w:t>
      </w:r>
    </w:p>
    <w:p w14:paraId="0384FFB7">
      <w:pPr>
        <w:spacing w:line="640" w:lineRule="exact"/>
        <w:ind w:firstLine="640"/>
        <w:jc w:val="both"/>
        <w:outlineLvl w:val="3"/>
      </w:pPr>
      <w:r>
        <w:rPr>
          <w:rFonts w:ascii="楷体_GB2312" w:hAnsi="楷体_GB2312" w:eastAsia="楷体_GB2312"/>
          <w:b/>
          <w:sz w:val="32"/>
        </w:rPr>
        <w:t>（三）国有资产占用情况说明</w:t>
      </w:r>
    </w:p>
    <w:p w14:paraId="5EA38135">
      <w:pPr>
        <w:spacing w:line="580" w:lineRule="exact"/>
        <w:ind w:firstLine="640"/>
        <w:jc w:val="both"/>
      </w:pPr>
      <w:r>
        <w:rPr>
          <w:rFonts w:ascii="仿宋_GB2312" w:hAnsi="仿宋_GB2312" w:eastAsia="仿宋_GB2312"/>
          <w:b w:val="0"/>
          <w:sz w:val="32"/>
        </w:rPr>
        <w:t>截至2024年12月31日，房屋0.00平方米，价值0.00万元。车辆1辆，价值9.39万元，其中：副部（省）级及以上领导用车0辆、主要负责人用车0辆、机要通信用车0辆、应急保障用车0辆、执法执勤用车0辆、特种专业技术用车0辆、离退休干部服务用车0辆、其他用车1辆，其他用车主要是：一般公务用车，用于日常开展工作。单价100万元（含）以上设备（不含车辆）0台（套）。</w:t>
      </w:r>
    </w:p>
    <w:p w14:paraId="6FFEB343">
      <w:pPr>
        <w:spacing w:line="640" w:lineRule="exact"/>
        <w:ind w:firstLine="640"/>
        <w:jc w:val="both"/>
        <w:outlineLvl w:val="2"/>
      </w:pPr>
      <w:r>
        <w:rPr>
          <w:rFonts w:ascii="黑体" w:hAnsi="黑体" w:eastAsia="黑体"/>
          <w:sz w:val="32"/>
        </w:rPr>
        <w:t>十一、预算绩效的情况说明</w:t>
      </w:r>
    </w:p>
    <w:p w14:paraId="2FD667A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245.82万元，实际执行总额245.57万元；预算绩效评价项目1个，全年预算数14.34万元，全年执行数11.70万元。预算绩效管理取得的成效：一我单位通过此次绩效评价，提升自评质量，加强制度建设，强化评价结果应用，对发现的问题现场反馈并要求改进，加强评价结果与项目资金安排的衔接，健全绩效管理工作机制，明确职责分工，组织专题培训，提高单位绩效管理工作水平。二本年度，我单位认真贯彻落实科学发展观</w:t>
      </w:r>
      <w:r>
        <w:rPr>
          <w:rFonts w:hint="eastAsia" w:ascii="仿宋_GB2312" w:hAnsi="仿宋_GB2312" w:eastAsia="仿宋_GB2312"/>
          <w:b w:val="0"/>
          <w:sz w:val="32"/>
          <w:lang w:eastAsia="zh-CN"/>
        </w:rPr>
        <w:t>，</w:t>
      </w:r>
      <w:r>
        <w:rPr>
          <w:rFonts w:ascii="仿宋_GB2312" w:hAnsi="仿宋_GB2312" w:eastAsia="仿宋_GB2312"/>
          <w:b w:val="0"/>
          <w:sz w:val="32"/>
        </w:rPr>
        <w:t>积极参加部门绩效评价工作，大抓财政绩效管理，建立了横向到边、纵向到底的绩效评价体系，并形成了评估实施统一组织、评估内容上下衔接、评估重点有所区分、评估方法综合利用、评估结果奖惩并用、行政过错责任追究的绩效管理机制，有力</w:t>
      </w:r>
      <w:r>
        <w:rPr>
          <w:rFonts w:hint="eastAsia" w:ascii="仿宋_GB2312" w:hAnsi="仿宋_GB2312" w:eastAsia="仿宋_GB2312"/>
          <w:b w:val="0"/>
          <w:sz w:val="32"/>
          <w:lang w:eastAsia="zh-CN"/>
        </w:rPr>
        <w:t>地</w:t>
      </w:r>
      <w:r>
        <w:rPr>
          <w:rFonts w:ascii="仿宋_GB2312" w:hAnsi="仿宋_GB2312" w:eastAsia="仿宋_GB2312"/>
          <w:b w:val="0"/>
          <w:sz w:val="32"/>
        </w:rPr>
        <w:t>推动财政科学发展。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二是项目评价资料有待进一步完善。项目启动时同步做好档案的归纳与整理，及时整理、收集、汇总，健全档案资料。项目后续管理有待进一步加强和跟踪。三是通过绩效管理，发现实施中存在漏洞，以后加强管理，及时掌握与之相关的各类信息，减少成本，使资金效益最大化。评价工作应从项目实施方案源头抓起，评价工作和意识应贯穿项目整个过程。具体附整体支出绩效自评表，项目支出绩效自评表和评价报告。</w:t>
      </w:r>
    </w:p>
    <w:p w14:paraId="232939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C1F74E">
        <w:tblPrEx>
          <w:tblCellMar>
            <w:top w:w="0" w:type="dxa"/>
            <w:left w:w="108" w:type="dxa"/>
            <w:bottom w:w="0" w:type="dxa"/>
            <w:right w:w="108" w:type="dxa"/>
          </w:tblCellMar>
        </w:tblPrEx>
        <w:tc>
          <w:tcPr>
            <w:tcW w:w="8847" w:type="dxa"/>
            <w:gridSpan w:val="9"/>
            <w:vAlign w:val="center"/>
          </w:tcPr>
          <w:p w14:paraId="1E0B043B">
            <w:pPr>
              <w:jc w:val="center"/>
            </w:pPr>
            <w:r>
              <w:rPr>
                <w:rFonts w:ascii="宋体" w:hAnsi="宋体" w:eastAsia="宋体"/>
                <w:sz w:val="24"/>
              </w:rPr>
              <w:t>单位整体支出绩效自评表</w:t>
            </w:r>
          </w:p>
        </w:tc>
      </w:tr>
      <w:tr w14:paraId="3252A8B4">
        <w:tblPrEx>
          <w:tblCellMar>
            <w:top w:w="0" w:type="dxa"/>
            <w:left w:w="108" w:type="dxa"/>
            <w:bottom w:w="0" w:type="dxa"/>
            <w:right w:w="108" w:type="dxa"/>
          </w:tblCellMar>
        </w:tblPrEx>
        <w:tc>
          <w:tcPr>
            <w:tcW w:w="8847" w:type="dxa"/>
            <w:gridSpan w:val="9"/>
            <w:vAlign w:val="center"/>
          </w:tcPr>
          <w:p w14:paraId="0A98B025">
            <w:pPr>
              <w:jc w:val="center"/>
            </w:pPr>
            <w:r>
              <w:rPr>
                <w:rFonts w:ascii="宋体" w:hAnsi="宋体" w:eastAsia="宋体"/>
                <w:sz w:val="24"/>
              </w:rPr>
              <w:t>（2024年度）</w:t>
            </w:r>
          </w:p>
        </w:tc>
      </w:tr>
      <w:tr w14:paraId="0655F8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1B0A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0C6FD9">
            <w:pPr>
              <w:jc w:val="center"/>
            </w:pPr>
            <w:r>
              <w:rPr>
                <w:rFonts w:ascii="宋体" w:hAnsi="宋体" w:eastAsia="宋体"/>
                <w:sz w:val="16"/>
              </w:rPr>
              <w:t>和田国家农业科技园区管理委员会</w:t>
            </w:r>
          </w:p>
        </w:tc>
      </w:tr>
      <w:tr w14:paraId="38F1A0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DFEA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16C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DB8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0F6B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1FA0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4DB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148A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EFE96">
            <w:pPr>
              <w:jc w:val="center"/>
            </w:pPr>
            <w:r>
              <w:rPr>
                <w:rFonts w:ascii="宋体" w:hAnsi="宋体" w:eastAsia="宋体"/>
                <w:sz w:val="16"/>
              </w:rPr>
              <w:t>得分</w:t>
            </w:r>
          </w:p>
        </w:tc>
      </w:tr>
      <w:tr w14:paraId="7408FB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014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C8EF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228C1">
            <w:pPr>
              <w:jc w:val="center"/>
            </w:pPr>
            <w:r>
              <w:rPr>
                <w:rFonts w:ascii="宋体" w:hAnsi="宋体" w:eastAsia="宋体"/>
                <w:sz w:val="16"/>
              </w:rPr>
              <w:t>240.60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F1781">
            <w:pPr>
              <w:jc w:val="center"/>
            </w:pPr>
            <w:r>
              <w:rPr>
                <w:rFonts w:ascii="宋体" w:hAnsi="宋体" w:eastAsia="宋体"/>
                <w:sz w:val="16"/>
              </w:rPr>
              <w:t>245.82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6F85E">
            <w:pPr>
              <w:jc w:val="center"/>
            </w:pPr>
            <w:r>
              <w:rPr>
                <w:rFonts w:ascii="宋体" w:hAnsi="宋体" w:eastAsia="宋体"/>
                <w:sz w:val="16"/>
              </w:rPr>
              <w:t>245.57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96C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D5933">
            <w:pPr>
              <w:jc w:val="center"/>
            </w:pPr>
            <w:r>
              <w:rPr>
                <w:rFonts w:ascii="宋体" w:hAnsi="宋体" w:eastAsia="宋体"/>
                <w:sz w:val="16"/>
              </w:rPr>
              <w:t>99.90%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F4905">
            <w:pPr>
              <w:jc w:val="center"/>
            </w:pPr>
            <w:r>
              <w:rPr>
                <w:rFonts w:ascii="宋体" w:hAnsi="宋体" w:eastAsia="宋体"/>
                <w:sz w:val="16"/>
              </w:rPr>
              <w:t>9.99</w:t>
            </w:r>
          </w:p>
        </w:tc>
      </w:tr>
      <w:tr w14:paraId="722621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42B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6C67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9852E">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B0145">
            <w:pPr>
              <w:jc w:val="center"/>
            </w:pPr>
            <w:r>
              <w:rPr>
                <w:rFonts w:ascii="宋体" w:hAnsi="宋体" w:eastAsia="宋体"/>
                <w:sz w:val="16"/>
              </w:rPr>
              <w:t>13.35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AA342">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6C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2991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3BA52">
            <w:pPr>
              <w:jc w:val="center"/>
            </w:pPr>
            <w:r>
              <w:rPr>
                <w:rFonts w:ascii="宋体" w:hAnsi="宋体" w:eastAsia="宋体"/>
                <w:sz w:val="16"/>
              </w:rPr>
              <w:t>—</w:t>
            </w:r>
          </w:p>
        </w:tc>
      </w:tr>
      <w:tr w14:paraId="4054B1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B8C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8E0A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B608">
            <w:pPr>
              <w:jc w:val="center"/>
            </w:pPr>
            <w:r>
              <w:rPr>
                <w:rFonts w:ascii="宋体" w:hAnsi="宋体" w:eastAsia="宋体"/>
                <w:sz w:val="16"/>
              </w:rPr>
              <w:t>221.15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3F64D">
            <w:pPr>
              <w:jc w:val="center"/>
            </w:pPr>
            <w:r>
              <w:rPr>
                <w:rFonts w:ascii="宋体" w:hAnsi="宋体" w:eastAsia="宋体"/>
                <w:sz w:val="16"/>
              </w:rPr>
              <w:t>232.27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93B7C">
            <w:pPr>
              <w:jc w:val="center"/>
            </w:pPr>
            <w:r>
              <w:rPr>
                <w:rFonts w:ascii="宋体" w:hAnsi="宋体" w:eastAsia="宋体"/>
                <w:sz w:val="16"/>
              </w:rPr>
              <w:t>243.03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E65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D9DB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1C09">
            <w:pPr>
              <w:jc w:val="center"/>
            </w:pPr>
            <w:r>
              <w:rPr>
                <w:rFonts w:ascii="宋体" w:hAnsi="宋体" w:eastAsia="宋体"/>
                <w:sz w:val="16"/>
              </w:rPr>
              <w:t>—</w:t>
            </w:r>
          </w:p>
        </w:tc>
      </w:tr>
      <w:tr w14:paraId="4B078B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CE3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48E5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51399">
            <w:pPr>
              <w:jc w:val="center"/>
            </w:pPr>
            <w:r>
              <w:rPr>
                <w:rFonts w:ascii="宋体" w:hAnsi="宋体" w:eastAsia="宋体"/>
                <w:sz w:val="16"/>
              </w:rPr>
              <w:t>17.11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45861">
            <w:pPr>
              <w:jc w:val="center"/>
            </w:pPr>
            <w:r>
              <w:rPr>
                <w:rFonts w:ascii="宋体" w:hAnsi="宋体" w:eastAsia="宋体"/>
                <w:sz w:val="16"/>
              </w:rPr>
              <w:t>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31600">
            <w:pPr>
              <w:jc w:val="center"/>
            </w:pPr>
            <w:r>
              <w:rPr>
                <w:rFonts w:ascii="宋体" w:hAnsi="宋体" w:eastAsia="宋体"/>
                <w:sz w:val="16"/>
              </w:rPr>
              <w:t>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995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2A30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16296">
            <w:pPr>
              <w:jc w:val="center"/>
            </w:pPr>
            <w:r>
              <w:rPr>
                <w:rFonts w:ascii="宋体" w:hAnsi="宋体" w:eastAsia="宋体"/>
                <w:sz w:val="16"/>
              </w:rPr>
              <w:t>—</w:t>
            </w:r>
          </w:p>
        </w:tc>
      </w:tr>
      <w:tr w14:paraId="3EFBD0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5EA2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D6A76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C48B4A">
            <w:pPr>
              <w:jc w:val="center"/>
            </w:pPr>
            <w:r>
              <w:rPr>
                <w:rFonts w:ascii="宋体" w:hAnsi="宋体" w:eastAsia="宋体"/>
                <w:sz w:val="16"/>
              </w:rPr>
              <w:t>实际完成目标</w:t>
            </w:r>
          </w:p>
        </w:tc>
      </w:tr>
      <w:tr w14:paraId="7E46E3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FD7B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256DBA">
            <w:pPr>
              <w:jc w:val="both"/>
            </w:pPr>
            <w:r>
              <w:rPr>
                <w:rFonts w:ascii="宋体" w:hAnsi="宋体" w:eastAsia="宋体"/>
                <w:sz w:val="16"/>
              </w:rPr>
              <w:t>坚持以习近平新时代中国特色社会主义思想为指导，深入学习贯彻党的二十大精神，学习贯彻习近平总书记视察新疆重要讲话重要指示精神和关于“三农”工作的重要论述，按照自治区党委十届六次全会安排部署，完整准确贯彻新时代党的治疆方略，牢牢扭住社会稳定和长治久安总目标，以农业提质增效、农民大幅增收为目标，紧盯“三农”重点领域和关键环节，加快推进四大产业集群建设，打造全国优质农牧产品重要供给基地，加快建设农业强区，全面推进乡村振兴，坚决防止出现规模性返贫，奋力开创“三农”工作新局面。派出园区特派员3个，完成园区培训农民人数超过2100人，园区接待参观学习人数大于1800人，引进新品种数量大于4个的任务，带动农户2200户，吸收吸纳解决劳动力数量4500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85E5ED">
            <w:pPr>
              <w:jc w:val="both"/>
            </w:pPr>
            <w:r>
              <w:rPr>
                <w:rFonts w:hint="eastAsia" w:ascii="宋体" w:hAnsi="宋体"/>
                <w:sz w:val="16"/>
                <w:lang w:eastAsia="zh-CN"/>
              </w:rPr>
              <w:t>截至2024</w:t>
            </w:r>
            <w:r>
              <w:rPr>
                <w:rFonts w:ascii="宋体" w:hAnsi="宋体" w:eastAsia="宋体"/>
                <w:sz w:val="16"/>
              </w:rPr>
              <w:t>年12月31日，本单位实际完成园区培训农民2100人，园区接待参观学习1800人，吸收吸纳解决劳动力数量4500人，实际形成支出245.57万元，通过完成以上工作，实现了加快建设农业强区，朝着推进林果业提质增效，建设农业强区目标扎实迈进的效益。</w:t>
            </w:r>
          </w:p>
        </w:tc>
      </w:tr>
      <w:tr w14:paraId="678C07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7740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299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CCC5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0652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D64A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DC4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2D4E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8971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81A1D">
            <w:pPr>
              <w:jc w:val="center"/>
            </w:pPr>
            <w:r>
              <w:rPr>
                <w:rFonts w:ascii="宋体" w:hAnsi="宋体" w:eastAsia="宋体"/>
                <w:sz w:val="16"/>
              </w:rPr>
              <w:t>得分</w:t>
            </w:r>
          </w:p>
        </w:tc>
      </w:tr>
      <w:tr w14:paraId="1C0E11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CC00B">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12D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37E0">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DC1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A7A9">
            <w:pPr>
              <w:jc w:val="center"/>
            </w:pPr>
            <w:r>
              <w:rPr>
                <w:rFonts w:ascii="宋体" w:hAnsi="宋体" w:eastAsia="宋体"/>
                <w:sz w:val="16"/>
              </w:rPr>
              <w:t>《关于加强‘三公’经费管理严控一般性支出的通知》财预（2022）126号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617E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485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13BD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74A61">
            <w:pPr>
              <w:jc w:val="center"/>
            </w:pPr>
            <w:r>
              <w:rPr>
                <w:rFonts w:ascii="宋体" w:hAnsi="宋体" w:eastAsia="宋体"/>
                <w:sz w:val="16"/>
              </w:rPr>
              <w:t>15</w:t>
            </w:r>
          </w:p>
        </w:tc>
      </w:tr>
      <w:tr w14:paraId="7884F8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56CD2">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0F2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A9505">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6CE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E743A">
            <w:pPr>
              <w:jc w:val="center"/>
            </w:pPr>
            <w:r>
              <w:rPr>
                <w:rFonts w:ascii="宋体" w:hAnsi="宋体" w:eastAsia="宋体"/>
                <w:sz w:val="16"/>
              </w:rPr>
              <w:t>会计法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C5D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AFE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F3A5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CC3EF">
            <w:pPr>
              <w:jc w:val="center"/>
            </w:pPr>
            <w:r>
              <w:rPr>
                <w:rFonts w:ascii="宋体" w:hAnsi="宋体" w:eastAsia="宋体"/>
                <w:sz w:val="16"/>
              </w:rPr>
              <w:t>10</w:t>
            </w:r>
          </w:p>
        </w:tc>
      </w:tr>
      <w:tr w14:paraId="20E91A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977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0F6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69ED4">
            <w:pPr>
              <w:jc w:val="center"/>
            </w:pPr>
            <w:r>
              <w:rPr>
                <w:rFonts w:ascii="宋体" w:hAnsi="宋体" w:eastAsia="宋体"/>
                <w:sz w:val="16"/>
              </w:rPr>
              <w:t>固定资产利用率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12E2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31F79">
            <w:pPr>
              <w:jc w:val="center"/>
            </w:pPr>
            <w:r>
              <w:rPr>
                <w:rFonts w:ascii="宋体" w:hAnsi="宋体" w:eastAsia="宋体"/>
                <w:sz w:val="16"/>
              </w:rPr>
              <w:t>固定资产管理实施办法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E9C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B71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D694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4EF30">
            <w:pPr>
              <w:jc w:val="center"/>
            </w:pPr>
            <w:r>
              <w:rPr>
                <w:rFonts w:ascii="宋体" w:hAnsi="宋体" w:eastAsia="宋体"/>
                <w:sz w:val="16"/>
              </w:rPr>
              <w:t>10</w:t>
            </w:r>
          </w:p>
        </w:tc>
      </w:tr>
      <w:tr w14:paraId="797136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955A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30D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0796C">
            <w:pPr>
              <w:jc w:val="center"/>
            </w:pPr>
            <w:r>
              <w:rPr>
                <w:rFonts w:ascii="宋体" w:hAnsi="宋体" w:eastAsia="宋体"/>
                <w:sz w:val="16"/>
              </w:rPr>
              <w:t>园区培训人数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9DF87">
            <w:pPr>
              <w:jc w:val="center"/>
            </w:pPr>
            <w:r>
              <w:rPr>
                <w:rFonts w:ascii="宋体" w:hAnsi="宋体" w:eastAsia="宋体"/>
                <w:sz w:val="16"/>
              </w:rPr>
              <w:t>≥2100人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B241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2FC3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B9A6F">
            <w:pPr>
              <w:jc w:val="center"/>
            </w:pPr>
            <w:r>
              <w:rPr>
                <w:rFonts w:ascii="宋体" w:hAnsi="宋体" w:eastAsia="宋体"/>
                <w:sz w:val="16"/>
              </w:rPr>
              <w:t>2100人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48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EBC92">
            <w:pPr>
              <w:jc w:val="center"/>
            </w:pPr>
            <w:r>
              <w:rPr>
                <w:rFonts w:ascii="宋体" w:hAnsi="宋体" w:eastAsia="宋体"/>
                <w:sz w:val="16"/>
              </w:rPr>
              <w:t>15</w:t>
            </w:r>
          </w:p>
        </w:tc>
      </w:tr>
      <w:tr w14:paraId="04DC37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D81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B1D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8DBC4">
            <w:pPr>
              <w:jc w:val="center"/>
            </w:pPr>
            <w:r>
              <w:rPr>
                <w:rFonts w:ascii="宋体" w:hAnsi="宋体" w:eastAsia="宋体"/>
                <w:sz w:val="16"/>
              </w:rPr>
              <w:t>园区接待参观学习人数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69BDA">
            <w:pPr>
              <w:jc w:val="center"/>
            </w:pPr>
            <w:r>
              <w:rPr>
                <w:rFonts w:ascii="宋体" w:hAnsi="宋体" w:eastAsia="宋体"/>
                <w:sz w:val="16"/>
              </w:rPr>
              <w:t>≥1800人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BDD3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2A4E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29312">
            <w:pPr>
              <w:jc w:val="center"/>
            </w:pPr>
            <w:r>
              <w:rPr>
                <w:rFonts w:ascii="宋体" w:hAnsi="宋体" w:eastAsia="宋体"/>
                <w:sz w:val="16"/>
              </w:rPr>
              <w:t>1800人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1011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9D299">
            <w:pPr>
              <w:jc w:val="center"/>
            </w:pPr>
            <w:r>
              <w:rPr>
                <w:rFonts w:ascii="宋体" w:hAnsi="宋体" w:eastAsia="宋体"/>
                <w:sz w:val="16"/>
              </w:rPr>
              <w:t>15</w:t>
            </w:r>
          </w:p>
        </w:tc>
      </w:tr>
      <w:tr w14:paraId="592AE3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1875A">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34E0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53276">
            <w:pPr>
              <w:jc w:val="center"/>
            </w:pPr>
            <w:r>
              <w:rPr>
                <w:rFonts w:ascii="宋体" w:hAnsi="宋体" w:eastAsia="宋体"/>
                <w:sz w:val="16"/>
              </w:rPr>
              <w:t>园区解决劳动力带动就业人数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9D230">
            <w:pPr>
              <w:jc w:val="center"/>
            </w:pPr>
            <w:r>
              <w:rPr>
                <w:rFonts w:ascii="宋体" w:hAnsi="宋体" w:eastAsia="宋体"/>
                <w:sz w:val="16"/>
              </w:rPr>
              <w:t>≥4500人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5274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4826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E45DB">
            <w:pPr>
              <w:jc w:val="center"/>
            </w:pPr>
            <w:r>
              <w:rPr>
                <w:rFonts w:ascii="宋体" w:hAnsi="宋体" w:eastAsia="宋体"/>
                <w:sz w:val="16"/>
              </w:rPr>
              <w:t>4500人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A484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7FA68">
            <w:pPr>
              <w:jc w:val="center"/>
            </w:pPr>
            <w:r>
              <w:rPr>
                <w:rFonts w:ascii="宋体" w:hAnsi="宋体" w:eastAsia="宋体"/>
                <w:sz w:val="16"/>
              </w:rPr>
              <w:t>15</w:t>
            </w:r>
          </w:p>
        </w:tc>
      </w:tr>
      <w:tr w14:paraId="352C2B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57614">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A50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B0A55">
            <w:pPr>
              <w:jc w:val="center"/>
            </w:pPr>
            <w:r>
              <w:rPr>
                <w:rFonts w:ascii="宋体" w:hAnsi="宋体" w:eastAsia="宋体"/>
                <w:sz w:val="16"/>
              </w:rPr>
              <w:t>各园区对部门履职效果满意度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2343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6FE9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C5B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D10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CEE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5DE4C">
            <w:pPr>
              <w:jc w:val="center"/>
            </w:pPr>
            <w:r>
              <w:rPr>
                <w:rFonts w:ascii="宋体" w:hAnsi="宋体" w:eastAsia="宋体"/>
                <w:sz w:val="16"/>
              </w:rPr>
              <w:t>10</w:t>
            </w:r>
          </w:p>
        </w:tc>
      </w:tr>
    </w:tbl>
    <w:p w14:paraId="4B0C365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0A4662">
        <w:tblPrEx>
          <w:tblCellMar>
            <w:top w:w="0" w:type="dxa"/>
            <w:left w:w="108" w:type="dxa"/>
            <w:bottom w:w="0" w:type="dxa"/>
            <w:right w:w="108" w:type="dxa"/>
          </w:tblCellMar>
        </w:tblPrEx>
        <w:tc>
          <w:tcPr>
            <w:tcW w:w="8847" w:type="dxa"/>
            <w:gridSpan w:val="9"/>
            <w:vAlign w:val="center"/>
          </w:tcPr>
          <w:p w14:paraId="0FDF88C4">
            <w:pPr>
              <w:jc w:val="center"/>
            </w:pPr>
            <w:r>
              <w:rPr>
                <w:rFonts w:ascii="宋体" w:hAnsi="宋体" w:eastAsia="宋体"/>
                <w:sz w:val="24"/>
              </w:rPr>
              <w:t>项目支出绩效自评表</w:t>
            </w:r>
          </w:p>
        </w:tc>
      </w:tr>
      <w:tr w14:paraId="59475E3B">
        <w:tblPrEx>
          <w:tblCellMar>
            <w:top w:w="0" w:type="dxa"/>
            <w:left w:w="108" w:type="dxa"/>
            <w:bottom w:w="0" w:type="dxa"/>
            <w:right w:w="108" w:type="dxa"/>
          </w:tblCellMar>
        </w:tblPrEx>
        <w:tc>
          <w:tcPr>
            <w:tcW w:w="8847" w:type="dxa"/>
            <w:gridSpan w:val="9"/>
            <w:vAlign w:val="center"/>
          </w:tcPr>
          <w:p w14:paraId="2F3F4B0A">
            <w:pPr>
              <w:jc w:val="center"/>
            </w:pPr>
            <w:r>
              <w:rPr>
                <w:rFonts w:ascii="宋体" w:hAnsi="宋体" w:eastAsia="宋体"/>
                <w:sz w:val="24"/>
              </w:rPr>
              <w:t>(2024年度)</w:t>
            </w:r>
          </w:p>
        </w:tc>
      </w:tr>
      <w:tr w14:paraId="32F38D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1E3F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DCC357">
            <w:pPr>
              <w:jc w:val="center"/>
            </w:pPr>
            <w:r>
              <w:rPr>
                <w:rFonts w:ascii="宋体" w:hAnsi="宋体" w:eastAsia="宋体"/>
                <w:sz w:val="16"/>
              </w:rPr>
              <w:t>2024年上半年自治区驻村工作专项项目</w:t>
            </w:r>
          </w:p>
        </w:tc>
      </w:tr>
      <w:tr w14:paraId="17E963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B7FB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3BCC5E">
            <w:pPr>
              <w:jc w:val="center"/>
            </w:pPr>
            <w:r>
              <w:rPr>
                <w:rFonts w:ascii="宋体" w:hAnsi="宋体" w:eastAsia="宋体"/>
                <w:sz w:val="16"/>
              </w:rPr>
              <w:t>和田国家农业科技园区管理委员会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77C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B503B1">
            <w:pPr>
              <w:jc w:val="center"/>
            </w:pPr>
            <w:r>
              <w:rPr>
                <w:rFonts w:ascii="宋体" w:hAnsi="宋体" w:eastAsia="宋体"/>
                <w:sz w:val="16"/>
              </w:rPr>
              <w:t>和田国家农业科技园区管理委员会</w:t>
            </w:r>
          </w:p>
        </w:tc>
      </w:tr>
      <w:tr w14:paraId="51DAA0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BB1B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54A8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B23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7D16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C7FB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765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D0C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98B06">
            <w:pPr>
              <w:jc w:val="center"/>
            </w:pPr>
            <w:r>
              <w:rPr>
                <w:rFonts w:ascii="宋体" w:hAnsi="宋体" w:eastAsia="宋体"/>
                <w:sz w:val="16"/>
              </w:rPr>
              <w:t>得分</w:t>
            </w:r>
          </w:p>
        </w:tc>
      </w:tr>
      <w:tr w14:paraId="2B2AC7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BDD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9510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DA16A">
            <w:pPr>
              <w:jc w:val="center"/>
            </w:pPr>
            <w:r>
              <w:rPr>
                <w:rFonts w:ascii="宋体" w:hAnsi="宋体" w:eastAsia="宋体"/>
                <w:sz w:val="16"/>
              </w:rPr>
              <w:t>14.34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221D8">
            <w:pPr>
              <w:jc w:val="center"/>
            </w:pPr>
            <w:r>
              <w:rPr>
                <w:rFonts w:ascii="宋体" w:hAnsi="宋体" w:eastAsia="宋体"/>
                <w:sz w:val="16"/>
              </w:rPr>
              <w:t>14.34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2384B">
            <w:pPr>
              <w:jc w:val="center"/>
            </w:pPr>
            <w:r>
              <w:rPr>
                <w:rFonts w:ascii="宋体" w:hAnsi="宋体" w:eastAsia="宋体"/>
                <w:sz w:val="16"/>
              </w:rPr>
              <w:t>11.70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4B3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E38A4">
            <w:pPr>
              <w:jc w:val="center"/>
            </w:pPr>
            <w:r>
              <w:rPr>
                <w:rFonts w:ascii="宋体" w:hAnsi="宋体" w:eastAsia="宋体"/>
                <w:sz w:val="16"/>
              </w:rPr>
              <w:t xml:space="preserve">81.59%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1398">
            <w:pPr>
              <w:jc w:val="center"/>
            </w:pPr>
            <w:r>
              <w:rPr>
                <w:rFonts w:ascii="宋体" w:hAnsi="宋体" w:eastAsia="宋体"/>
                <w:sz w:val="16"/>
              </w:rPr>
              <w:t>5.40分</w:t>
            </w:r>
          </w:p>
        </w:tc>
      </w:tr>
      <w:tr w14:paraId="7537DC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A2E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4DF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BAD1A">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9D8B6">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8D761">
            <w:pPr>
              <w:jc w:val="center"/>
            </w:pPr>
            <w:r>
              <w:rPr>
                <w:rFonts w:ascii="宋体" w:hAnsi="宋体" w:eastAsia="宋体"/>
                <w:sz w:val="16"/>
              </w:rPr>
              <w:t>9.36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5D6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28C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A8900">
            <w:pPr>
              <w:jc w:val="center"/>
            </w:pPr>
            <w:r>
              <w:rPr>
                <w:rFonts w:ascii="宋体" w:hAnsi="宋体" w:eastAsia="宋体"/>
                <w:sz w:val="16"/>
              </w:rPr>
              <w:t>—</w:t>
            </w:r>
          </w:p>
        </w:tc>
      </w:tr>
      <w:tr w14:paraId="18B98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AC9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50F0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1E3A">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5A053">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2A38F">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51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3C9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7DF3B">
            <w:pPr>
              <w:jc w:val="center"/>
            </w:pPr>
            <w:r>
              <w:rPr>
                <w:rFonts w:ascii="宋体" w:hAnsi="宋体" w:eastAsia="宋体"/>
                <w:sz w:val="16"/>
              </w:rPr>
              <w:t>—</w:t>
            </w:r>
          </w:p>
        </w:tc>
      </w:tr>
      <w:tr w14:paraId="14561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757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BED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FCB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19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7E6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9E6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835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4EEDD">
            <w:pPr>
              <w:jc w:val="center"/>
            </w:pPr>
            <w:r>
              <w:rPr>
                <w:rFonts w:ascii="宋体" w:hAnsi="宋体" w:eastAsia="宋体"/>
                <w:sz w:val="16"/>
              </w:rPr>
              <w:t>—</w:t>
            </w:r>
          </w:p>
        </w:tc>
      </w:tr>
      <w:tr w14:paraId="664261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8BF2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44F43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FF9D7D">
            <w:pPr>
              <w:jc w:val="center"/>
            </w:pPr>
            <w:r>
              <w:rPr>
                <w:rFonts w:ascii="宋体" w:hAnsi="宋体" w:eastAsia="宋体"/>
                <w:sz w:val="16"/>
              </w:rPr>
              <w:t>实际完成情况</w:t>
            </w:r>
          </w:p>
        </w:tc>
      </w:tr>
      <w:tr w14:paraId="00B375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2DD7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64F2A0">
            <w:pPr>
              <w:jc w:val="both"/>
            </w:pPr>
            <w:r>
              <w:rPr>
                <w:rFonts w:ascii="宋体" w:hAnsi="宋体" w:eastAsia="宋体"/>
                <w:sz w:val="16"/>
              </w:rPr>
              <w:t>本项目主要实施内容为：派驻1个</w:t>
            </w:r>
            <w:r>
              <w:rPr>
                <w:rFonts w:hint="eastAsia" w:ascii="宋体" w:hAnsi="宋体"/>
                <w:sz w:val="16"/>
                <w:lang w:eastAsia="zh-CN"/>
              </w:rPr>
              <w:t>驻村</w:t>
            </w:r>
            <w:r>
              <w:rPr>
                <w:rFonts w:ascii="宋体" w:hAnsi="宋体" w:eastAsia="宋体"/>
                <w:sz w:val="16"/>
              </w:rPr>
              <w:t>工作队，保障</w:t>
            </w:r>
            <w:r>
              <w:rPr>
                <w:rFonts w:hint="eastAsia" w:ascii="宋体" w:hAnsi="宋体"/>
                <w:sz w:val="16"/>
                <w:lang w:eastAsia="zh-CN"/>
              </w:rPr>
              <w:t>驻村</w:t>
            </w:r>
            <w:r>
              <w:rPr>
                <w:rFonts w:ascii="宋体" w:hAnsi="宋体" w:eastAsia="宋体"/>
                <w:sz w:val="16"/>
              </w:rPr>
              <w:t>工作队派出人数3人，民办实事不少于6件，项目计划完成时间为2024年12月前，为民办实事支出14.34万元，通过本项目实施，可有效保障</w:t>
            </w:r>
            <w:r>
              <w:rPr>
                <w:rFonts w:hint="eastAsia" w:ascii="宋体" w:hAnsi="宋体"/>
                <w:sz w:val="16"/>
                <w:lang w:eastAsia="zh-CN"/>
              </w:rPr>
              <w:t>驻村</w:t>
            </w:r>
            <w:r>
              <w:rPr>
                <w:rFonts w:ascii="宋体" w:hAnsi="宋体" w:eastAsia="宋体"/>
                <w:sz w:val="16"/>
              </w:rPr>
              <w:t>工作正常开展。待项目实施完成，争取使受益人群满意度不低于95%。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1E6B56">
            <w:pPr>
              <w:jc w:val="both"/>
            </w:pPr>
            <w:r>
              <w:rPr>
                <w:rFonts w:hint="eastAsia" w:ascii="宋体" w:hAnsi="宋体"/>
                <w:sz w:val="16"/>
                <w:lang w:eastAsia="zh-CN"/>
              </w:rPr>
              <w:t>截至</w:t>
            </w:r>
            <w:r>
              <w:rPr>
                <w:rFonts w:ascii="宋体" w:hAnsi="宋体" w:eastAsia="宋体"/>
                <w:sz w:val="16"/>
              </w:rPr>
              <w:t>2024年12月31日，本项目实际形成支11.7万元，已完成派驻1个</w:t>
            </w:r>
            <w:r>
              <w:rPr>
                <w:rFonts w:hint="eastAsia" w:ascii="宋体" w:hAnsi="宋体"/>
                <w:sz w:val="16"/>
                <w:lang w:eastAsia="zh-CN"/>
              </w:rPr>
              <w:t>驻村</w:t>
            </w:r>
            <w:r>
              <w:rPr>
                <w:rFonts w:ascii="宋体" w:hAnsi="宋体" w:eastAsia="宋体"/>
                <w:sz w:val="16"/>
              </w:rPr>
              <w:t>工作队，保障</w:t>
            </w:r>
            <w:r>
              <w:rPr>
                <w:rFonts w:hint="eastAsia" w:ascii="宋体" w:hAnsi="宋体"/>
                <w:sz w:val="16"/>
                <w:lang w:eastAsia="zh-CN"/>
              </w:rPr>
              <w:t>驻村</w:t>
            </w:r>
            <w:r>
              <w:rPr>
                <w:rFonts w:ascii="宋体" w:hAnsi="宋体" w:eastAsia="宋体"/>
                <w:sz w:val="16"/>
              </w:rPr>
              <w:t>工作队派出人数3人，为民办实事6件的任务，达到了有效保障</w:t>
            </w:r>
            <w:r>
              <w:rPr>
                <w:rFonts w:hint="eastAsia" w:ascii="宋体" w:hAnsi="宋体"/>
                <w:sz w:val="16"/>
                <w:lang w:eastAsia="zh-CN"/>
              </w:rPr>
              <w:t>驻村</w:t>
            </w:r>
            <w:r>
              <w:rPr>
                <w:rFonts w:ascii="宋体" w:hAnsi="宋体" w:eastAsia="宋体"/>
                <w:sz w:val="16"/>
              </w:rPr>
              <w:t>工作正常开展的效益，受益服务对象满意度达到100%。</w:t>
            </w:r>
          </w:p>
        </w:tc>
      </w:tr>
      <w:tr w14:paraId="4FCDB0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C9A24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14F8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F240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B0FB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978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DD4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3AC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8BD6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CA033">
            <w:pPr>
              <w:jc w:val="center"/>
            </w:pPr>
            <w:r>
              <w:rPr>
                <w:rFonts w:ascii="宋体" w:hAnsi="宋体" w:eastAsia="宋体"/>
                <w:sz w:val="16"/>
              </w:rPr>
              <w:t>偏差原因分析及改进措施</w:t>
            </w:r>
          </w:p>
        </w:tc>
      </w:tr>
      <w:tr w14:paraId="281083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B9A8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ABB2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454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3A952">
            <w:pPr>
              <w:jc w:val="center"/>
            </w:pPr>
            <w:r>
              <w:rPr>
                <w:rFonts w:ascii="宋体" w:hAnsi="宋体" w:eastAsia="宋体"/>
                <w:sz w:val="16"/>
              </w:rPr>
              <w:t>保障工作队人员数量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F2FE4">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74829">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149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80E4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4881E">
            <w:pPr>
              <w:jc w:val="center"/>
            </w:pPr>
          </w:p>
        </w:tc>
      </w:tr>
      <w:tr w14:paraId="44FFA2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ECB3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E98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0FA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5DA16">
            <w:pPr>
              <w:jc w:val="center"/>
            </w:pPr>
            <w:r>
              <w:rPr>
                <w:rFonts w:hint="eastAsia" w:ascii="宋体" w:hAnsi="宋体"/>
                <w:sz w:val="16"/>
                <w:lang w:eastAsia="zh-CN"/>
              </w:rPr>
              <w:t>驻村</w:t>
            </w:r>
            <w:bookmarkStart w:id="0" w:name="_GoBack"/>
            <w:bookmarkEnd w:id="0"/>
            <w:r>
              <w:rPr>
                <w:rFonts w:ascii="宋体" w:hAnsi="宋体" w:eastAsia="宋体"/>
                <w:sz w:val="16"/>
              </w:rPr>
              <w:t>工作队为民办实事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85933">
            <w:pPr>
              <w:jc w:val="center"/>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A105">
            <w:pPr>
              <w:jc w:val="center"/>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0791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4FE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1F02F">
            <w:pPr>
              <w:jc w:val="center"/>
            </w:pPr>
          </w:p>
        </w:tc>
      </w:tr>
      <w:tr w14:paraId="77305E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2A9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D97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7009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A1447">
            <w:pPr>
              <w:jc w:val="center"/>
            </w:pPr>
            <w:r>
              <w:rPr>
                <w:rFonts w:ascii="宋体" w:hAnsi="宋体" w:eastAsia="宋体"/>
                <w:sz w:val="16"/>
              </w:rPr>
              <w:t>工作队任务完成率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F82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D1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DB5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408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F6D7">
            <w:pPr>
              <w:jc w:val="center"/>
            </w:pPr>
          </w:p>
        </w:tc>
      </w:tr>
      <w:tr w14:paraId="5873A3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1B4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18C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6F3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DB90">
            <w:pPr>
              <w:jc w:val="center"/>
            </w:pPr>
            <w:r>
              <w:rPr>
                <w:rFonts w:ascii="宋体" w:hAnsi="宋体" w:eastAsia="宋体"/>
                <w:sz w:val="16"/>
              </w:rPr>
              <w:t>群众困难诉求满足率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F2E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4CC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23E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A24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DF64">
            <w:pPr>
              <w:jc w:val="center"/>
            </w:pPr>
          </w:p>
        </w:tc>
      </w:tr>
      <w:tr w14:paraId="69EB9A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CB7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DAF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086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2A82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6C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96B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B37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B6C1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082F9">
            <w:pPr>
              <w:jc w:val="center"/>
            </w:pPr>
          </w:p>
        </w:tc>
      </w:tr>
      <w:tr w14:paraId="3F2BAE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EB0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3C73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4374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9B39">
            <w:pPr>
              <w:jc w:val="center"/>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06DC3">
            <w:pPr>
              <w:jc w:val="center"/>
            </w:pPr>
            <w:r>
              <w:rPr>
                <w:rFonts w:ascii="宋体" w:hAnsi="宋体" w:eastAsia="宋体"/>
                <w:sz w:val="16"/>
              </w:rPr>
              <w:t>≤12.34万元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FD1A4">
            <w:pPr>
              <w:jc w:val="center"/>
            </w:pPr>
            <w:r>
              <w:rPr>
                <w:rFonts w:ascii="宋体" w:hAnsi="宋体" w:eastAsia="宋体"/>
                <w:sz w:val="16"/>
              </w:rPr>
              <w:t>=11.2万元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1C8B0">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F480A">
            <w:pPr>
              <w:jc w:val="center"/>
            </w:pPr>
            <w:r>
              <w:rPr>
                <w:rFonts w:ascii="宋体" w:hAnsi="宋体" w:eastAsia="宋体"/>
                <w:sz w:val="16"/>
              </w:rPr>
              <w:t>10.77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35BBD">
            <w:pPr>
              <w:jc w:val="center"/>
            </w:pPr>
            <w:r>
              <w:rPr>
                <w:rFonts w:ascii="宋体" w:hAnsi="宋体" w:eastAsia="宋体"/>
                <w:sz w:val="16"/>
              </w:rPr>
              <w:t>偏差原因：</w:t>
            </w:r>
            <w:r>
              <w:rPr>
                <w:rFonts w:hint="eastAsia" w:ascii="宋体" w:hAnsi="宋体"/>
                <w:sz w:val="16"/>
                <w:lang w:eastAsia="zh-CN"/>
              </w:rPr>
              <w:t>已</w:t>
            </w:r>
            <w:r>
              <w:rPr>
                <w:rFonts w:ascii="宋体" w:hAnsi="宋体" w:eastAsia="宋体"/>
                <w:sz w:val="16"/>
              </w:rPr>
              <w:t>形成实际支出，正在办理手续，走流程。改进措施：加快手续办理。</w:t>
            </w:r>
          </w:p>
        </w:tc>
      </w:tr>
      <w:tr w14:paraId="1C5A5A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153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622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982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CBCA0">
            <w:pPr>
              <w:jc w:val="center"/>
            </w:pPr>
            <w:r>
              <w:rPr>
                <w:rFonts w:ascii="宋体" w:hAnsi="宋体" w:eastAsia="宋体"/>
                <w:sz w:val="16"/>
              </w:rPr>
              <w:t>第一书记工作经费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E43C0">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1626C">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ABC8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2CF2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53DAF">
            <w:pPr>
              <w:jc w:val="center"/>
            </w:pPr>
            <w:r>
              <w:rPr>
                <w:rFonts w:ascii="宋体" w:hAnsi="宋体" w:eastAsia="宋体"/>
                <w:sz w:val="16"/>
              </w:rPr>
              <w:t>偏差原因：</w:t>
            </w:r>
            <w:r>
              <w:rPr>
                <w:rFonts w:hint="eastAsia" w:ascii="宋体" w:hAnsi="宋体"/>
                <w:sz w:val="16"/>
                <w:lang w:eastAsia="zh-CN"/>
              </w:rPr>
              <w:t>已</w:t>
            </w:r>
            <w:r>
              <w:rPr>
                <w:rFonts w:ascii="宋体" w:hAnsi="宋体" w:eastAsia="宋体"/>
                <w:sz w:val="16"/>
              </w:rPr>
              <w:t>形成实际支出，正在办理手续，走流程。改进措施：加快手续办理。</w:t>
            </w:r>
          </w:p>
        </w:tc>
      </w:tr>
      <w:tr w14:paraId="7C6C01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DF5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CCE9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D944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BDBD3">
            <w:pPr>
              <w:jc w:val="center"/>
            </w:pPr>
            <w:r>
              <w:rPr>
                <w:rFonts w:ascii="宋体" w:hAnsi="宋体" w:eastAsia="宋体"/>
                <w:sz w:val="16"/>
              </w:rPr>
              <w:t>持续为公众提供公共服务能力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59B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864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91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127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4BF3">
            <w:pPr>
              <w:jc w:val="center"/>
            </w:pPr>
          </w:p>
        </w:tc>
      </w:tr>
      <w:tr w14:paraId="546953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C5D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9959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6C45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4D04B">
            <w:pPr>
              <w:jc w:val="center"/>
            </w:pPr>
            <w:r>
              <w:rPr>
                <w:rFonts w:ascii="宋体" w:hAnsi="宋体" w:eastAsia="宋体"/>
                <w:sz w:val="16"/>
              </w:rPr>
              <w:t>受益服务对象满意度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7C67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037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8A1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334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FCD23">
            <w:pPr>
              <w:jc w:val="center"/>
            </w:pPr>
          </w:p>
        </w:tc>
      </w:tr>
      <w:tr w14:paraId="41A3EC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C74C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3EF3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91DA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F21C4A">
            <w:pPr>
              <w:jc w:val="center"/>
            </w:pPr>
            <w:r>
              <w:rPr>
                <w:rFonts w:ascii="宋体" w:hAnsi="宋体" w:eastAsia="宋体"/>
                <w:sz w:val="16"/>
              </w:rPr>
              <w:t>86.17分</w:t>
            </w:r>
          </w:p>
        </w:tc>
      </w:tr>
    </w:tbl>
    <w:p w14:paraId="39248167">
      <w:r>
        <w:br w:type="page"/>
      </w:r>
    </w:p>
    <w:p w14:paraId="62465FD0">
      <w:pPr>
        <w:spacing w:line="640" w:lineRule="exact"/>
        <w:ind w:firstLine="640"/>
        <w:jc w:val="both"/>
        <w:outlineLvl w:val="2"/>
      </w:pPr>
      <w:r>
        <w:rPr>
          <w:rFonts w:ascii="黑体" w:hAnsi="黑体" w:eastAsia="黑体"/>
          <w:sz w:val="32"/>
        </w:rPr>
        <w:t>十二、其他需说明的事项</w:t>
      </w:r>
    </w:p>
    <w:p w14:paraId="1F4D5527">
      <w:pPr>
        <w:spacing w:line="580" w:lineRule="exact"/>
        <w:ind w:firstLine="640"/>
        <w:jc w:val="both"/>
      </w:pPr>
      <w:r>
        <w:rPr>
          <w:rFonts w:ascii="仿宋_GB2312" w:hAnsi="仿宋_GB2312" w:eastAsia="仿宋_GB2312"/>
          <w:b w:val="0"/>
          <w:sz w:val="32"/>
        </w:rPr>
        <w:t>本单位无其他需说明的事项。</w:t>
      </w:r>
    </w:p>
    <w:p w14:paraId="0FAA376A">
      <w:r>
        <w:br w:type="page"/>
      </w:r>
    </w:p>
    <w:p w14:paraId="71236ECC">
      <w:pPr>
        <w:spacing w:line="240" w:lineRule="auto"/>
        <w:jc w:val="center"/>
        <w:outlineLvl w:val="1"/>
      </w:pPr>
      <w:r>
        <w:rPr>
          <w:rFonts w:ascii="黑体" w:hAnsi="黑体" w:eastAsia="黑体"/>
          <w:sz w:val="32"/>
        </w:rPr>
        <w:t>第三部分 专业名词解释</w:t>
      </w:r>
    </w:p>
    <w:p w14:paraId="46CB7D2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D7520D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EC319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8A6174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60228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61F17F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70675A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02619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70A09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7DDF4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DA135B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4F90AA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D8859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3E50F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7E5D21A">
      <w:r>
        <w:br w:type="page"/>
      </w:r>
    </w:p>
    <w:p w14:paraId="3F9AF52A">
      <w:pPr>
        <w:spacing w:line="240" w:lineRule="auto"/>
        <w:jc w:val="center"/>
        <w:outlineLvl w:val="1"/>
      </w:pPr>
      <w:r>
        <w:rPr>
          <w:rFonts w:ascii="黑体" w:hAnsi="黑体" w:eastAsia="黑体"/>
          <w:sz w:val="32"/>
        </w:rPr>
        <w:t>第四部分 部门决算报表（见附表）</w:t>
      </w:r>
    </w:p>
    <w:p w14:paraId="1784F3DC">
      <w:pPr>
        <w:spacing w:line="240" w:lineRule="auto"/>
        <w:ind w:firstLine="640"/>
        <w:jc w:val="both"/>
      </w:pPr>
      <w:r>
        <w:rPr>
          <w:rFonts w:ascii="仿宋_GB2312" w:hAnsi="仿宋_GB2312" w:eastAsia="仿宋_GB2312"/>
          <w:b w:val="0"/>
          <w:sz w:val="32"/>
        </w:rPr>
        <w:t>一、《收入支出决算总表》</w:t>
      </w:r>
    </w:p>
    <w:p w14:paraId="725D7AE1">
      <w:pPr>
        <w:spacing w:line="240" w:lineRule="auto"/>
        <w:ind w:firstLine="640"/>
        <w:jc w:val="both"/>
      </w:pPr>
      <w:r>
        <w:rPr>
          <w:rFonts w:ascii="仿宋_GB2312" w:hAnsi="仿宋_GB2312" w:eastAsia="仿宋_GB2312"/>
          <w:b w:val="0"/>
          <w:sz w:val="32"/>
        </w:rPr>
        <w:t>二、《收入决算表》</w:t>
      </w:r>
    </w:p>
    <w:p w14:paraId="126030A7">
      <w:pPr>
        <w:spacing w:line="240" w:lineRule="auto"/>
        <w:ind w:firstLine="640"/>
        <w:jc w:val="both"/>
      </w:pPr>
      <w:r>
        <w:rPr>
          <w:rFonts w:ascii="仿宋_GB2312" w:hAnsi="仿宋_GB2312" w:eastAsia="仿宋_GB2312"/>
          <w:b w:val="0"/>
          <w:sz w:val="32"/>
        </w:rPr>
        <w:t>三、《支出决算表》</w:t>
      </w:r>
    </w:p>
    <w:p w14:paraId="6E3B483E">
      <w:pPr>
        <w:spacing w:line="240" w:lineRule="auto"/>
        <w:ind w:firstLine="640"/>
        <w:jc w:val="both"/>
      </w:pPr>
      <w:r>
        <w:rPr>
          <w:rFonts w:ascii="仿宋_GB2312" w:hAnsi="仿宋_GB2312" w:eastAsia="仿宋_GB2312"/>
          <w:b w:val="0"/>
          <w:sz w:val="32"/>
        </w:rPr>
        <w:t>四、《财政拨款收入支出决算总表》</w:t>
      </w:r>
    </w:p>
    <w:p w14:paraId="2428D7DA">
      <w:pPr>
        <w:spacing w:line="240" w:lineRule="auto"/>
        <w:ind w:firstLine="640"/>
        <w:jc w:val="both"/>
      </w:pPr>
      <w:r>
        <w:rPr>
          <w:rFonts w:ascii="仿宋_GB2312" w:hAnsi="仿宋_GB2312" w:eastAsia="仿宋_GB2312"/>
          <w:b w:val="0"/>
          <w:sz w:val="32"/>
        </w:rPr>
        <w:t>五、《一般公共预算财政拨款支出决算表》</w:t>
      </w:r>
    </w:p>
    <w:p w14:paraId="10A2CA7F">
      <w:pPr>
        <w:spacing w:line="240" w:lineRule="auto"/>
        <w:ind w:firstLine="640"/>
        <w:jc w:val="both"/>
      </w:pPr>
      <w:r>
        <w:rPr>
          <w:rFonts w:ascii="仿宋_GB2312" w:hAnsi="仿宋_GB2312" w:eastAsia="仿宋_GB2312"/>
          <w:b w:val="0"/>
          <w:sz w:val="32"/>
        </w:rPr>
        <w:t>六、《一般公共预算财政拨款基本支出决算表》</w:t>
      </w:r>
    </w:p>
    <w:p w14:paraId="5A3B02CD">
      <w:pPr>
        <w:spacing w:line="240" w:lineRule="auto"/>
        <w:ind w:firstLine="640"/>
        <w:jc w:val="both"/>
      </w:pPr>
      <w:r>
        <w:rPr>
          <w:rFonts w:ascii="仿宋_GB2312" w:hAnsi="仿宋_GB2312" w:eastAsia="仿宋_GB2312"/>
          <w:b w:val="0"/>
          <w:sz w:val="32"/>
        </w:rPr>
        <w:t>七、《政府性基金预算财政拨款收入支出决算表》</w:t>
      </w:r>
    </w:p>
    <w:p w14:paraId="18A96C58">
      <w:pPr>
        <w:spacing w:line="240" w:lineRule="auto"/>
        <w:ind w:firstLine="640"/>
        <w:jc w:val="both"/>
      </w:pPr>
      <w:r>
        <w:rPr>
          <w:rFonts w:ascii="仿宋_GB2312" w:hAnsi="仿宋_GB2312" w:eastAsia="仿宋_GB2312"/>
          <w:b w:val="0"/>
          <w:sz w:val="32"/>
        </w:rPr>
        <w:t>八、《国有资本经营预算财政拨款收入支出决算表》</w:t>
      </w:r>
    </w:p>
    <w:p w14:paraId="27256316">
      <w:pPr>
        <w:spacing w:line="240" w:lineRule="auto"/>
        <w:ind w:firstLine="640"/>
        <w:jc w:val="both"/>
      </w:pPr>
      <w:r>
        <w:rPr>
          <w:rFonts w:ascii="仿宋_GB2312" w:hAnsi="仿宋_GB2312" w:eastAsia="仿宋_GB2312"/>
          <w:b w:val="0"/>
          <w:sz w:val="32"/>
        </w:rPr>
        <w:t>九、《财政拨款“三公”经费支出决算表》</w:t>
      </w:r>
    </w:p>
    <w:p w14:paraId="593CBAE7">
      <w:pPr>
        <w:spacing w:line="240" w:lineRule="auto"/>
        <w:ind w:firstLine="640"/>
        <w:jc w:val="both"/>
      </w:pPr>
    </w:p>
    <w:p w14:paraId="672817C3">
      <w:pPr>
        <w:spacing w:line="240" w:lineRule="auto"/>
        <w:ind w:firstLine="640"/>
        <w:jc w:val="both"/>
      </w:pPr>
    </w:p>
    <w:p w14:paraId="1F6D26EC">
      <w:pPr>
        <w:spacing w:line="240" w:lineRule="auto"/>
        <w:ind w:firstLine="640"/>
        <w:jc w:val="both"/>
      </w:pPr>
    </w:p>
    <w:p w14:paraId="0A1DD1C7">
      <w:pPr>
        <w:spacing w:line="240" w:lineRule="auto"/>
        <w:ind w:firstLine="640"/>
        <w:jc w:val="both"/>
      </w:pPr>
    </w:p>
    <w:p w14:paraId="5D0F373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87295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515793"/>
    <w:rsid w:val="543D17CB"/>
    <w:rsid w:val="55DA564E"/>
    <w:rsid w:val="56E07045"/>
    <w:rsid w:val="583059FA"/>
    <w:rsid w:val="587E6212"/>
    <w:rsid w:val="5AFC6609"/>
    <w:rsid w:val="5F9DDF76"/>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B453AF"/>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6260</Words>
  <Characters>7130</Characters>
  <Lines>0</Lines>
  <Paragraphs>0</Paragraphs>
  <TotalTime>1</TotalTime>
  <ScaleCrop>false</ScaleCrop>
  <LinksUpToDate>false</LinksUpToDate>
  <CharactersWithSpaces>7138</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2025-09-28T16:42:56Z</cp:lastPrinted>
  <dcterms:modified xsi:type="dcterms:W3CDTF">2025-09-28T16:43:08Z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