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731B9"/>
    <w:p w14:paraId="44456B9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E1266DB">
      <w:pPr>
        <w:spacing w:line="540" w:lineRule="exact"/>
        <w:jc w:val="center"/>
        <w:rPr>
          <w:rFonts w:ascii="华文中宋" w:hAnsi="华文中宋" w:eastAsia="华文中宋" w:cs="宋体"/>
          <w:b/>
          <w:kern w:val="0"/>
          <w:sz w:val="52"/>
          <w:szCs w:val="52"/>
        </w:rPr>
      </w:pPr>
    </w:p>
    <w:p w14:paraId="34490006">
      <w:pPr>
        <w:spacing w:line="540" w:lineRule="exact"/>
        <w:jc w:val="center"/>
        <w:rPr>
          <w:rFonts w:ascii="华文中宋" w:hAnsi="华文中宋" w:eastAsia="华文中宋" w:cs="宋体"/>
          <w:b/>
          <w:kern w:val="0"/>
          <w:sz w:val="52"/>
          <w:szCs w:val="52"/>
        </w:rPr>
      </w:pPr>
    </w:p>
    <w:p w14:paraId="7B865178">
      <w:pPr>
        <w:spacing w:line="540" w:lineRule="exact"/>
        <w:jc w:val="center"/>
        <w:rPr>
          <w:rFonts w:ascii="华文中宋" w:hAnsi="华文中宋" w:eastAsia="华文中宋" w:cs="宋体"/>
          <w:b/>
          <w:kern w:val="0"/>
          <w:sz w:val="52"/>
          <w:szCs w:val="52"/>
        </w:rPr>
      </w:pPr>
    </w:p>
    <w:p w14:paraId="7C7C37EB">
      <w:pPr>
        <w:spacing w:line="540" w:lineRule="exact"/>
        <w:jc w:val="center"/>
        <w:rPr>
          <w:rFonts w:ascii="华文中宋" w:hAnsi="华文中宋" w:eastAsia="华文中宋" w:cs="宋体"/>
          <w:b/>
          <w:kern w:val="0"/>
          <w:sz w:val="52"/>
          <w:szCs w:val="52"/>
        </w:rPr>
      </w:pPr>
    </w:p>
    <w:p w14:paraId="40CA02C9">
      <w:pPr>
        <w:spacing w:line="540" w:lineRule="exact"/>
        <w:jc w:val="center"/>
        <w:rPr>
          <w:rFonts w:ascii="华文中宋" w:hAnsi="华文中宋" w:eastAsia="华文中宋" w:cs="宋体"/>
          <w:b/>
          <w:kern w:val="0"/>
          <w:sz w:val="52"/>
          <w:szCs w:val="52"/>
        </w:rPr>
      </w:pPr>
    </w:p>
    <w:p w14:paraId="798C63CD">
      <w:pPr>
        <w:spacing w:line="540" w:lineRule="exact"/>
        <w:jc w:val="center"/>
        <w:rPr>
          <w:rFonts w:ascii="华文中宋" w:hAnsi="华文中宋" w:eastAsia="华文中宋" w:cs="宋体"/>
          <w:b/>
          <w:kern w:val="0"/>
          <w:sz w:val="52"/>
          <w:szCs w:val="52"/>
        </w:rPr>
      </w:pPr>
    </w:p>
    <w:p w14:paraId="2634C77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s="Times New Roman"/>
          <w:sz w:val="44"/>
          <w:szCs w:val="44"/>
          <w:highlight w:val="none"/>
          <w:lang w:val="en-US" w:eastAsia="zh-CN"/>
        </w:rPr>
      </w:pPr>
      <w:r>
        <w:rPr>
          <w:rFonts w:hint="eastAsia" w:ascii="方正小标宋_GBK" w:hAnsi="宋体" w:eastAsia="方正小标宋_GBK" w:cs="Times New Roman"/>
          <w:sz w:val="44"/>
          <w:szCs w:val="44"/>
          <w:highlight w:val="none"/>
          <w:lang w:val="en-US" w:eastAsia="zh-CN"/>
        </w:rPr>
        <w:t>项目支出绩效自评报告</w:t>
      </w:r>
    </w:p>
    <w:p w14:paraId="4B7186E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s="Times New Roman"/>
          <w:sz w:val="44"/>
          <w:szCs w:val="44"/>
          <w:highlight w:val="none"/>
          <w:lang w:val="en-US" w:eastAsia="zh-CN"/>
        </w:rPr>
      </w:pPr>
    </w:p>
    <w:p w14:paraId="56D4B88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s="Times New Roman"/>
          <w:sz w:val="44"/>
          <w:szCs w:val="44"/>
          <w:highlight w:val="none"/>
          <w:lang w:val="en-US" w:eastAsia="zh-CN"/>
        </w:rPr>
      </w:pPr>
      <w:r>
        <w:rPr>
          <w:rFonts w:hint="eastAsia" w:ascii="方正小标宋_GBK" w:hAnsi="宋体" w:eastAsia="方正小标宋_GBK" w:cs="Times New Roman"/>
          <w:sz w:val="44"/>
          <w:szCs w:val="44"/>
          <w:highlight w:val="none"/>
          <w:lang w:val="en-US" w:eastAsia="zh-CN"/>
        </w:rPr>
        <w:t>（2024年度）</w:t>
      </w:r>
    </w:p>
    <w:p w14:paraId="1E59F6C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s="Times New Roman"/>
          <w:sz w:val="44"/>
          <w:szCs w:val="44"/>
          <w:highlight w:val="none"/>
          <w:lang w:val="en-US" w:eastAsia="zh-CN"/>
        </w:rPr>
      </w:pPr>
    </w:p>
    <w:p w14:paraId="069D1F5A">
      <w:pPr>
        <w:spacing w:line="540" w:lineRule="exact"/>
        <w:jc w:val="center"/>
        <w:rPr>
          <w:rFonts w:hAnsi="宋体" w:eastAsia="仿宋_GB2312" w:cs="宋体"/>
          <w:kern w:val="0"/>
          <w:sz w:val="30"/>
          <w:szCs w:val="30"/>
        </w:rPr>
      </w:pPr>
    </w:p>
    <w:p w14:paraId="05F6AD34">
      <w:pPr>
        <w:spacing w:line="540" w:lineRule="exact"/>
        <w:jc w:val="center"/>
        <w:rPr>
          <w:rFonts w:hAnsi="宋体" w:eastAsia="仿宋_GB2312" w:cs="宋体"/>
          <w:kern w:val="0"/>
          <w:sz w:val="30"/>
          <w:szCs w:val="30"/>
        </w:rPr>
      </w:pPr>
    </w:p>
    <w:p w14:paraId="257EC90B">
      <w:pPr>
        <w:spacing w:line="540" w:lineRule="exact"/>
        <w:jc w:val="center"/>
        <w:rPr>
          <w:rFonts w:hAnsi="宋体" w:eastAsia="仿宋_GB2312" w:cs="宋体"/>
          <w:kern w:val="0"/>
          <w:sz w:val="30"/>
          <w:szCs w:val="30"/>
        </w:rPr>
      </w:pPr>
    </w:p>
    <w:p w14:paraId="155307FE">
      <w:pPr>
        <w:spacing w:line="540" w:lineRule="exact"/>
        <w:jc w:val="center"/>
        <w:rPr>
          <w:rFonts w:hAnsi="宋体" w:eastAsia="仿宋_GB2312" w:cs="宋体"/>
          <w:kern w:val="0"/>
          <w:sz w:val="30"/>
          <w:szCs w:val="30"/>
        </w:rPr>
      </w:pPr>
    </w:p>
    <w:p w14:paraId="1F04FE93">
      <w:pPr>
        <w:spacing w:line="540" w:lineRule="exact"/>
        <w:jc w:val="center"/>
        <w:rPr>
          <w:rFonts w:hAnsi="宋体" w:eastAsia="仿宋_GB2312" w:cs="宋体"/>
          <w:kern w:val="0"/>
          <w:sz w:val="30"/>
          <w:szCs w:val="30"/>
        </w:rPr>
      </w:pPr>
    </w:p>
    <w:p w14:paraId="46E2C613">
      <w:pPr>
        <w:spacing w:line="540" w:lineRule="exact"/>
        <w:rPr>
          <w:rFonts w:hAnsi="宋体" w:eastAsia="仿宋_GB2312" w:cs="宋体"/>
          <w:kern w:val="0"/>
          <w:sz w:val="30"/>
          <w:szCs w:val="30"/>
        </w:rPr>
      </w:pPr>
    </w:p>
    <w:p w14:paraId="13A988E0">
      <w:pPr>
        <w:pStyle w:val="14"/>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hAnsi="宋体" w:eastAsia="仿宋_GB2312" w:cs="宋体"/>
          <w:kern w:val="0"/>
          <w:sz w:val="36"/>
          <w:szCs w:val="36"/>
        </w:rPr>
        <w:t xml:space="preserve">    </w:t>
      </w:r>
      <w:r>
        <w:rPr>
          <w:rFonts w:hint="eastAsia" w:ascii="仿宋_GB2312" w:hAnsi="仿宋_GB2312" w:eastAsia="仿宋_GB2312" w:cs="仿宋_GB2312"/>
          <w:b/>
          <w:bCs/>
          <w:sz w:val="32"/>
          <w:szCs w:val="32"/>
          <w:highlight w:val="none"/>
        </w:rPr>
        <w:t xml:space="preserve"> </w:t>
      </w:r>
    </w:p>
    <w:p w14:paraId="3604091D">
      <w:pPr>
        <w:pStyle w:val="14"/>
        <w:keepNext w:val="0"/>
        <w:keepLines w:val="0"/>
        <w:pageBreakBefore w:val="0"/>
        <w:widowControl w:val="0"/>
        <w:tabs>
          <w:tab w:val="right" w:leader="dot" w:pos="8306"/>
        </w:tabs>
        <w:kinsoku/>
        <w:wordWrap/>
        <w:overflowPunct/>
        <w:topLinePunct w:val="0"/>
        <w:autoSpaceDE/>
        <w:autoSpaceDN/>
        <w:bidi w:val="0"/>
        <w:adjustRightInd/>
        <w:snapToGrid/>
        <w:ind w:left="0" w:leftChars="0" w:firstLine="320" w:firstLineChars="1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项目名称：2024年上半年自治区驻村工作专项项目</w:t>
      </w:r>
    </w:p>
    <w:p w14:paraId="4156B2E6">
      <w:pPr>
        <w:pStyle w:val="14"/>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 xml:space="preserve">  实施单位（公章）：和田国家农业科技园区管理委员会</w:t>
      </w:r>
    </w:p>
    <w:p w14:paraId="15EA3798">
      <w:pPr>
        <w:pStyle w:val="14"/>
        <w:keepNext w:val="0"/>
        <w:keepLines w:val="0"/>
        <w:pageBreakBefore w:val="0"/>
        <w:widowControl w:val="0"/>
        <w:tabs>
          <w:tab w:val="right" w:leader="dot" w:pos="8306"/>
        </w:tabs>
        <w:kinsoku/>
        <w:wordWrap/>
        <w:overflowPunct/>
        <w:topLinePunct w:val="0"/>
        <w:autoSpaceDE/>
        <w:autoSpaceDN/>
        <w:bidi w:val="0"/>
        <w:adjustRightInd/>
        <w:snapToGrid/>
        <w:ind w:firstLine="320" w:firstLineChars="1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主管部门（公章）：和田国家农业科技园区管理委员会</w:t>
      </w:r>
    </w:p>
    <w:p w14:paraId="0FB92767">
      <w:pPr>
        <w:pStyle w:val="14"/>
        <w:keepNext w:val="0"/>
        <w:keepLines w:val="0"/>
        <w:pageBreakBefore w:val="0"/>
        <w:widowControl w:val="0"/>
        <w:tabs>
          <w:tab w:val="right" w:leader="dot" w:pos="8306"/>
        </w:tabs>
        <w:kinsoku/>
        <w:wordWrap/>
        <w:overflowPunct/>
        <w:topLinePunct w:val="0"/>
        <w:autoSpaceDE/>
        <w:autoSpaceDN/>
        <w:bidi w:val="0"/>
        <w:adjustRightInd/>
        <w:snapToGrid/>
        <w:ind w:left="0" w:leftChars="0" w:firstLine="320" w:firstLineChars="1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项目负责人（签章）：陆岩</w:t>
      </w:r>
    </w:p>
    <w:p w14:paraId="337528F9">
      <w:pPr>
        <w:pStyle w:val="14"/>
        <w:keepNext w:val="0"/>
        <w:keepLines w:val="0"/>
        <w:pageBreakBefore w:val="0"/>
        <w:widowControl w:val="0"/>
        <w:tabs>
          <w:tab w:val="right" w:leader="dot" w:pos="8306"/>
        </w:tabs>
        <w:kinsoku/>
        <w:wordWrap/>
        <w:overflowPunct/>
        <w:topLinePunct w:val="0"/>
        <w:autoSpaceDE/>
        <w:autoSpaceDN/>
        <w:bidi w:val="0"/>
        <w:adjustRightInd/>
        <w:snapToGrid/>
        <w:ind w:left="0" w:leftChars="0" w:firstLine="320" w:firstLineChars="1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填报时间：2025年03月20日</w:t>
      </w:r>
    </w:p>
    <w:p w14:paraId="4EE171FF">
      <w:pPr>
        <w:spacing w:line="54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一、基本情况</w:t>
      </w:r>
    </w:p>
    <w:p w14:paraId="6DC517BA">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（一）项目概况</w:t>
      </w:r>
    </w:p>
    <w:p w14:paraId="35B6616D">
      <w:pPr>
        <w:spacing w:line="540" w:lineRule="exact"/>
        <w:ind w:firstLine="643" w:firstLineChars="200"/>
        <w:rPr>
          <w:rFonts w:ascii="仿宋_GB2312" w:hAnsi="仿宋_GB2312" w:eastAsia="仿宋_GB2312" w:cs="Times New Roman"/>
          <w:sz w:val="32"/>
        </w:rPr>
      </w:pPr>
      <w:r>
        <w:rPr>
          <w:rFonts w:hint="eastAsia" w:ascii="仿宋_GB2312" w:hAnsi="仿宋_GB2312" w:eastAsia="仿宋_GB2312" w:cs="Times New Roman"/>
          <w:b/>
          <w:bCs/>
          <w:sz w:val="32"/>
        </w:rPr>
        <w:t>1.项目背景</w:t>
      </w:r>
      <w:r>
        <w:rPr>
          <w:rFonts w:hint="eastAsia" w:ascii="仿宋_GB2312" w:hAnsi="仿宋_GB2312" w:eastAsia="仿宋_GB2312" w:cs="Times New Roman"/>
          <w:sz w:val="32"/>
        </w:rPr>
        <w:t>《关于深化驻村工作的实施意见》（新党发〔2016〕56号），《自治区党委自治区人民政府关于深入开展为民办实事活动健全干部驻村工作长效机制的意见》（新党发〔2016〕17号），这些年来，我园区认真贯彻自治区党委关于选派工作队开展驻村工作的重大决策部署，每年都要派出得力领导和职工驻村开展工作，在促进驻村地经济社会发展、脱贫攻坚和社会长治久安方面做出了积极努力。</w:t>
      </w:r>
      <w:r>
        <w:rPr>
          <w:rFonts w:hint="eastAsia" w:ascii="仿宋_GB2312" w:hAnsi="仿宋_GB2312" w:eastAsia="仿宋_GB2312" w:cs="Times New Roman"/>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2.主要内容</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2024年，我园区派出1个工作队，3名工作队员（含1名第一书记、工作队队长），继续开展驻村工作，访贫问苦、为民办实事、村级组织工作经费支出。通过项目的实施进一步扎实持久开展好驻村工作，充分发挥为民办实事工作经费在驻村工作中的重要作用，全面深入贯彻落实党中央确定的社会稳定和长治久安总目标，以解决群众最关心、最直接、最现实的利益问题为导向，以千方百计解决群众生产生活中的实际困难为目的，及时将党和政府的温暖送到了各族群众的心坎上，为贫困群众解决困难，送温暖、送服务，确保2024年驻村工作队工作顺利开展。</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3.实施情况</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实施主体：新疆和田国家农业科技园区管理委员会。</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实施时间：本项目实施期限为2024年1月—2024年12月。</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实施情况：下拨2024年为民办实事经费资金14.34万元，用于访贫问苦，园区派出1个工作队，3名工作队员（含1名第一书记、工作队队长），继续开展驻村工作，访贫问苦、为民办实事、村级组织工作经费支出。以为群众解决最关心最现实的利益问题为导向，以千方百计解决群众生产生活中的实际困难为目的，及时将党和政府的温暖送到各族群众的心坎中。</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4.资金投入和使用情况</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（1）项目资金安排落实、总投入等情况分析</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本项目预算安排总额为14.34万元，资金来源为自治区专项资金，其中：财政资金14.34万元，其他资金0.00万元，2024年实际收到预算资金14.34万元，预算资金到位率为100.00%。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（2）项目资金实际使用情况分析</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本项目实际支付资金11.7万元，预算执行率81.59%。本项目资金主要用于访贫问苦及为民办实事支出11.2万元，村级组织工作经费及更新办公设施支出0.5万元。</w:t>
      </w:r>
    </w:p>
    <w:p w14:paraId="3EBBD332">
      <w:pPr>
        <w:spacing w:line="540" w:lineRule="exact"/>
        <w:ind w:firstLine="567"/>
        <w:rPr>
          <w:rStyle w:val="20"/>
          <w:rFonts w:hint="eastAsia" w:ascii="楷体" w:hAnsi="楷体" w:eastAsia="楷体" w:cs="Times New Roman"/>
          <w:spacing w:val="-4"/>
          <w:sz w:val="32"/>
          <w:szCs w:val="32"/>
        </w:rPr>
      </w:pPr>
      <w:r>
        <w:rPr>
          <w:rStyle w:val="20"/>
          <w:rFonts w:hint="eastAsia" w:ascii="楷体" w:hAnsi="楷体" w:eastAsia="楷体" w:cs="Times New Roman"/>
          <w:spacing w:val="-4"/>
          <w:sz w:val="32"/>
          <w:szCs w:val="32"/>
        </w:rPr>
        <w:t>（二）项目绩效目标</w:t>
      </w:r>
    </w:p>
    <w:p w14:paraId="4088A288">
      <w:pPr>
        <w:spacing w:line="540" w:lineRule="exact"/>
        <w:ind w:firstLine="643" w:firstLineChars="200"/>
        <w:rPr>
          <w:rFonts w:hint="eastAsia" w:ascii="仿宋_GB2312" w:hAnsi="仿宋_GB2312" w:eastAsia="仿宋_GB2312" w:cs="Times New Roman"/>
          <w:b/>
          <w:bCs/>
          <w:sz w:val="32"/>
        </w:rPr>
      </w:pPr>
      <w:r>
        <w:rPr>
          <w:rFonts w:hint="eastAsia" w:ascii="仿宋_GB2312" w:hAnsi="仿宋_GB2312" w:eastAsia="仿宋_GB2312" w:cs="Times New Roman"/>
          <w:b/>
          <w:bCs/>
          <w:sz w:val="32"/>
        </w:rPr>
        <w:t>1.总体目标</w:t>
      </w:r>
    </w:p>
    <w:p w14:paraId="54553E52">
      <w:pPr>
        <w:spacing w:line="540" w:lineRule="exact"/>
        <w:ind w:firstLine="640" w:firstLineChars="200"/>
        <w:rPr>
          <w:rFonts w:hint="eastAsia" w:ascii="仿宋_GB2312" w:hAnsi="仿宋_GB2312" w:eastAsia="仿宋_GB2312" w:cs="Times New Roman"/>
          <w:sz w:val="32"/>
        </w:rPr>
      </w:pPr>
      <w:r>
        <w:rPr>
          <w:rFonts w:hint="eastAsia" w:ascii="仿宋_GB2312" w:hAnsi="仿宋_GB2312" w:eastAsia="仿宋_GB2312" w:cs="Times New Roman"/>
          <w:sz w:val="32"/>
        </w:rPr>
        <w:t>驻村工作队派出人数3人，派驻1个驻村工作队，为民办实事工作任务完成率不少于95.00%，群众困难诉求满足率达到100.00%，为民办实事工作经费总体成本控制在14.34万元以内，受益服务对象满意度在95.00%以上，进一步有效落实维护社会稳定，建强基层组织，做好群众工作，办好事实事。</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2.阶段性目标</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项目前期准备工作：2025年3月10日—20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项目实施：截至2024年12月31日，本项目实际形成支出11.7万元，已完成派驻1个工作队，保障</w:t>
      </w:r>
      <w:r>
        <w:rPr>
          <w:rFonts w:hint="eastAsia" w:ascii="仿宋_GB2312" w:hAnsi="仿宋_GB2312" w:eastAsia="仿宋_GB2312" w:cs="Times New Roman"/>
          <w:sz w:val="32"/>
          <w:lang w:eastAsia="zh-CN"/>
        </w:rPr>
        <w:t>驻村</w:t>
      </w:r>
      <w:r>
        <w:rPr>
          <w:rFonts w:hint="eastAsia" w:ascii="仿宋_GB2312" w:hAnsi="仿宋_GB2312" w:eastAsia="仿宋_GB2312" w:cs="Times New Roman"/>
          <w:sz w:val="32"/>
        </w:rPr>
        <w:t>工作队派出人数3人，民办实事不少于6件的任务，达到了有效保障</w:t>
      </w:r>
      <w:r>
        <w:rPr>
          <w:rFonts w:hint="eastAsia" w:ascii="仿宋_GB2312" w:hAnsi="仿宋_GB2312" w:eastAsia="仿宋_GB2312" w:cs="Times New Roman"/>
          <w:sz w:val="32"/>
          <w:lang w:eastAsia="zh-CN"/>
        </w:rPr>
        <w:t>驻村</w:t>
      </w:r>
      <w:r>
        <w:rPr>
          <w:rFonts w:hint="eastAsia" w:ascii="仿宋_GB2312" w:hAnsi="仿宋_GB2312" w:eastAsia="仿宋_GB2312" w:cs="Times New Roman"/>
          <w:sz w:val="32"/>
        </w:rPr>
        <w:t>工作正常开展的效益，受益服务对象满意度达到95%。</w:t>
      </w:r>
    </w:p>
    <w:p w14:paraId="5C465D4A">
      <w:pPr>
        <w:spacing w:line="540" w:lineRule="exact"/>
        <w:ind w:firstLine="567"/>
        <w:rPr>
          <w:rFonts w:hint="eastAsia" w:ascii="黑体" w:hAnsi="黑体" w:eastAsia="黑体" w:cs="黑体"/>
          <w:b/>
          <w:bCs/>
          <w:sz w:val="32"/>
        </w:rPr>
      </w:pPr>
      <w:r>
        <w:rPr>
          <w:rFonts w:hint="eastAsia" w:ascii="黑体" w:hAnsi="黑体" w:eastAsia="黑体" w:cs="黑体"/>
          <w:b/>
          <w:bCs/>
          <w:sz w:val="32"/>
        </w:rPr>
        <w:t>二、绩效评价工作开展情况</w:t>
      </w:r>
    </w:p>
    <w:p w14:paraId="303EDD94">
      <w:pPr>
        <w:spacing w:line="540" w:lineRule="exact"/>
        <w:ind w:firstLine="567"/>
        <w:rPr>
          <w:rFonts w:hint="eastAsia" w:ascii="楷体" w:hAnsi="楷体" w:eastAsia="楷体" w:cs="楷体"/>
          <w:b/>
          <w:bCs/>
          <w:sz w:val="32"/>
        </w:rPr>
      </w:pPr>
      <w:r>
        <w:rPr>
          <w:rFonts w:hint="eastAsia" w:ascii="楷体" w:hAnsi="楷体" w:eastAsia="楷体" w:cs="楷体"/>
          <w:b/>
          <w:bCs/>
          <w:sz w:val="32"/>
        </w:rPr>
        <w:t>（一）绩效评价目的、对象和范围</w:t>
      </w:r>
    </w:p>
    <w:p w14:paraId="33F7525F">
      <w:pPr>
        <w:spacing w:line="540" w:lineRule="exact"/>
        <w:ind w:left="638" w:leftChars="304" w:firstLine="0" w:firstLineChars="0"/>
        <w:rPr>
          <w:rFonts w:hint="eastAsia" w:ascii="仿宋_GB2312" w:hAnsi="仿宋_GB2312" w:eastAsia="仿宋_GB2312" w:cs="Times New Roman"/>
          <w:b/>
          <w:bCs/>
          <w:sz w:val="32"/>
        </w:rPr>
      </w:pPr>
      <w:r>
        <w:rPr>
          <w:rFonts w:hint="eastAsia" w:ascii="仿宋_GB2312" w:hAnsi="仿宋_GB2312" w:eastAsia="仿宋_GB2312" w:cs="Times New Roman"/>
          <w:b/>
          <w:bCs/>
          <w:sz w:val="32"/>
        </w:rPr>
        <w:t>1.绩效评价的目的</w:t>
      </w:r>
    </w:p>
    <w:p w14:paraId="47580620">
      <w:pPr>
        <w:spacing w:line="540"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2.绩效评价对象</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此次我单位根据《财政支出绩效评价管理暂行办法》（财预〔2020〕10号）文件要求实施评价工作，本次评价对象为2024年上半年自治区驻村工作专项项目，评价核心为项目的资金投入、产出及效益。</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3.绩效评价范围</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5A292D4">
      <w:pPr>
        <w:spacing w:line="540" w:lineRule="exact"/>
        <w:ind w:firstLine="567"/>
        <w:rPr>
          <w:rFonts w:hint="eastAsia" w:ascii="楷体" w:hAnsi="楷体" w:eastAsia="楷体" w:cs="楷体"/>
          <w:b/>
          <w:bCs/>
          <w:sz w:val="32"/>
        </w:rPr>
      </w:pPr>
      <w:r>
        <w:rPr>
          <w:rFonts w:hint="eastAsia" w:ascii="楷体" w:hAnsi="楷体" w:eastAsia="楷体" w:cs="楷体"/>
          <w:b/>
          <w:bCs/>
          <w:sz w:val="32"/>
        </w:rPr>
        <w:t>（二）绩效评价原则、评价指标体系、评价方法、评价标准</w:t>
      </w:r>
    </w:p>
    <w:p w14:paraId="5A4103B3">
      <w:pPr>
        <w:spacing w:line="540" w:lineRule="exact"/>
        <w:ind w:left="638" w:leftChars="304" w:firstLine="225" w:firstLineChars="70"/>
        <w:rPr>
          <w:rFonts w:hint="eastAsia" w:ascii="仿宋_GB2312" w:hAnsi="仿宋_GB2312" w:eastAsia="仿宋_GB2312" w:cs="Times New Roman"/>
          <w:b/>
          <w:bCs/>
          <w:sz w:val="32"/>
        </w:rPr>
      </w:pPr>
      <w:r>
        <w:rPr>
          <w:rFonts w:hint="eastAsia" w:ascii="仿宋_GB2312" w:hAnsi="仿宋_GB2312" w:eastAsia="仿宋_GB2312" w:cs="Times New Roman"/>
          <w:b/>
          <w:bCs/>
          <w:sz w:val="32"/>
        </w:rPr>
        <w:t>1.绩效评价原则</w:t>
      </w:r>
    </w:p>
    <w:p w14:paraId="0CDC328D">
      <w:pPr>
        <w:spacing w:line="540" w:lineRule="exact"/>
        <w:ind w:firstLine="640" w:firstLineChars="200"/>
        <w:rPr>
          <w:rFonts w:hint="eastAsia" w:ascii="仿宋_GB2312" w:hAnsi="仿宋_GB2312" w:eastAsia="仿宋_GB2312" w:cs="Times New Roman"/>
          <w:sz w:val="32"/>
        </w:rPr>
      </w:pPr>
      <w:r>
        <w:rPr>
          <w:rFonts w:hint="eastAsia" w:ascii="仿宋_GB2312" w:hAnsi="仿宋_GB2312" w:eastAsia="仿宋_GB2312" w:cs="Times New Roman"/>
          <w:sz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（1）科学公正。绩效评价应当运用科学合理的方法，按照规范的程序，对项目绩效进行客观、公正地反映。</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（4）公开透明。绩效评价结果应依法依规公开，并自觉接受社会监督。</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根据以上原则，绩效评价应遵循如下要求:</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（1）在数据采集时，采取客观数据，主管部门审查、社会中介组织复查，与问卷调查相结合的形式，以保证各项指标的真实性。</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（2）保证评价结果的真实性、公正性，提高评价报告的公信力。</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2.绩效评价指标体系</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3.评价方法</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三级指标分析环节：</w:t>
      </w:r>
      <w:r>
        <w:rPr>
          <w:rFonts w:hint="eastAsia" w:ascii="仿宋_GB2312" w:hAnsi="仿宋_GB2312" w:eastAsia="仿宋_GB2312" w:cs="Times New Roman"/>
          <w:sz w:val="32"/>
        </w:rPr>
        <w:t>总体采用比较法，同时辅以文献法、成本效益法、因素分析法以及公众评判法，根据不同三级指标类型进行逐项分析。</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定量指标分析环节：</w:t>
      </w:r>
      <w:r>
        <w:rPr>
          <w:rFonts w:hint="eastAsia" w:ascii="仿宋_GB2312" w:hAnsi="仿宋_GB2312" w:eastAsia="仿宋_GB2312" w:cs="Times New Roman"/>
          <w:sz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立项依据充分性：</w:t>
      </w:r>
      <w:r>
        <w:rPr>
          <w:rFonts w:hint="eastAsia" w:ascii="仿宋_GB2312" w:hAnsi="仿宋_GB2312" w:eastAsia="仿宋_GB2312" w:cs="Times New Roman"/>
          <w:sz w:val="32"/>
        </w:rPr>
        <w:t>比较法、文献法，查找法律法规政策以及规划，对比实际执行内容和政策支持内容是否匹配。</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绩效目标合理性：</w:t>
      </w:r>
      <w:r>
        <w:rPr>
          <w:rFonts w:hint="eastAsia" w:ascii="仿宋_GB2312" w:hAnsi="仿宋_GB2312" w:eastAsia="仿宋_GB2312" w:cs="Times New Roman"/>
          <w:sz w:val="32"/>
        </w:rPr>
        <w:t>比较法，对比分析年初编制项目支出绩效目标表与项目内容的相关性、资金的匹配性等。</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绩效指标明确性：</w:t>
      </w:r>
      <w:r>
        <w:rPr>
          <w:rFonts w:hint="eastAsia" w:ascii="仿宋_GB2312" w:hAnsi="仿宋_GB2312" w:eastAsia="仿宋_GB2312" w:cs="Times New Roman"/>
          <w:sz w:val="32"/>
        </w:rPr>
        <w:t>比较法，比较分析年初编制项目支出绩效目标表是否符合双七原则，是否可衡量。</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预算编制科学性：</w:t>
      </w:r>
      <w:r>
        <w:rPr>
          <w:rFonts w:hint="eastAsia" w:ascii="仿宋_GB2312" w:hAnsi="仿宋_GB2312" w:eastAsia="仿宋_GB2312" w:cs="Times New Roman"/>
          <w:sz w:val="32"/>
        </w:rPr>
        <w:t>成本效益分析法，分析在产出一定的情况下，成本取值是否有依据，是否经过询价，是否按照市场最低成本编制。</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资金分配合理性：</w:t>
      </w:r>
      <w:r>
        <w:rPr>
          <w:rFonts w:hint="eastAsia" w:ascii="仿宋_GB2312" w:hAnsi="仿宋_GB2312" w:eastAsia="仿宋_GB2312" w:cs="Times New Roman"/>
          <w:sz w:val="32"/>
        </w:rPr>
        <w:t>因素分析法，综合分析资金的分配依据是否充分，分配金额是否与项目实施单位需求金额一致。</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资金到位率：</w:t>
      </w:r>
      <w:r>
        <w:rPr>
          <w:rFonts w:hint="eastAsia" w:ascii="仿宋_GB2312" w:hAnsi="仿宋_GB2312" w:eastAsia="仿宋_GB2312" w:cs="Times New Roman"/>
          <w:sz w:val="32"/>
        </w:rPr>
        <w:t>比较法，资金到位率预期指标值应为100%，通过实际计算，分析实际完成值和预期指标值之间的差距和原因。</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预算执行率：</w:t>
      </w:r>
      <w:r>
        <w:rPr>
          <w:rFonts w:hint="eastAsia" w:ascii="仿宋_GB2312" w:hAnsi="仿宋_GB2312" w:eastAsia="仿宋_GB2312" w:cs="Times New Roman"/>
          <w:sz w:val="32"/>
        </w:rPr>
        <w:t>比较法，预算执行率预期指标值应为100%，通过实际计算，分析实际完成值和预期指标值之间的差距和原因。</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资金使用合规性：</w:t>
      </w:r>
      <w:r>
        <w:rPr>
          <w:rFonts w:hint="eastAsia" w:ascii="仿宋_GB2312" w:hAnsi="仿宋_GB2312" w:eastAsia="仿宋_GB2312" w:cs="Times New Roman"/>
          <w:sz w:val="32"/>
        </w:rPr>
        <w:t>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管理制度健全性：</w:t>
      </w:r>
      <w:r>
        <w:rPr>
          <w:rFonts w:hint="eastAsia" w:ascii="仿宋_GB2312" w:hAnsi="仿宋_GB2312" w:eastAsia="仿宋_GB2312" w:cs="Times New Roman"/>
          <w:sz w:val="32"/>
        </w:rPr>
        <w:t>文献法、比较法，查阅项目实施人员提供的财务和业务管理制度，将已建立的制度与现行的法律法规和政策要求进行对比，分析项目制度的合法性、合规性、完整性。</w:t>
      </w:r>
    </w:p>
    <w:p w14:paraId="10081E62">
      <w:pPr>
        <w:spacing w:line="540" w:lineRule="exact"/>
        <w:ind w:firstLine="643" w:firstLineChars="200"/>
        <w:rPr>
          <w:rFonts w:hint="eastAsia" w:ascii="仿宋_GB2312" w:hAnsi="仿宋_GB2312" w:eastAsia="仿宋_GB2312" w:cs="Times New Roman"/>
          <w:sz w:val="32"/>
        </w:rPr>
      </w:pPr>
      <w:r>
        <w:rPr>
          <w:rFonts w:hint="eastAsia" w:ascii="仿宋_GB2312" w:hAnsi="仿宋_GB2312" w:eastAsia="仿宋_GB2312" w:cs="Times New Roman"/>
          <w:b/>
          <w:bCs/>
          <w:sz w:val="32"/>
        </w:rPr>
        <w:t>制度执行有效性：</w:t>
      </w:r>
      <w:r>
        <w:rPr>
          <w:rFonts w:hint="eastAsia" w:ascii="仿宋_GB2312" w:hAnsi="仿宋_GB2312" w:eastAsia="仿宋_GB2312" w:cs="Times New Roman"/>
          <w:sz w:val="32"/>
        </w:rPr>
        <w:t>比较法，结合项目实际实施过程性文件，根据已建设的财务管理制度和项目管理制度综合分析制度执行的有效性。</w:t>
      </w:r>
    </w:p>
    <w:p w14:paraId="27B2F9AA">
      <w:pPr>
        <w:spacing w:line="540" w:lineRule="exact"/>
        <w:ind w:firstLine="643" w:firstLineChars="200"/>
        <w:rPr>
          <w:rFonts w:hint="eastAsia" w:ascii="仿宋_GB2312" w:hAnsi="仿宋_GB2312" w:eastAsia="仿宋_GB2312" w:cs="Times New Roman"/>
          <w:sz w:val="32"/>
        </w:rPr>
      </w:pPr>
      <w:r>
        <w:rPr>
          <w:rFonts w:hint="eastAsia" w:ascii="仿宋_GB2312" w:hAnsi="仿宋_GB2312" w:eastAsia="仿宋_GB2312" w:cs="Times New Roman"/>
          <w:b/>
          <w:bCs/>
          <w:sz w:val="32"/>
        </w:rPr>
        <w:t>定量指标：</w:t>
      </w:r>
      <w:r>
        <w:rPr>
          <w:rFonts w:hint="eastAsia" w:ascii="仿宋_GB2312" w:hAnsi="仿宋_GB2312" w:eastAsia="仿宋_GB2312" w:cs="Times New Roman"/>
          <w:sz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FB2EAA0">
      <w:pPr>
        <w:spacing w:line="540" w:lineRule="exact"/>
        <w:ind w:firstLine="643" w:firstLineChars="200"/>
        <w:rPr>
          <w:rFonts w:hint="eastAsia" w:ascii="仿宋_GB2312" w:hAnsi="仿宋_GB2312" w:eastAsia="仿宋_GB2312" w:cs="Times New Roman"/>
          <w:b/>
          <w:bCs/>
          <w:sz w:val="32"/>
        </w:rPr>
      </w:pPr>
      <w:r>
        <w:rPr>
          <w:rFonts w:hint="eastAsia" w:ascii="仿宋_GB2312" w:hAnsi="仿宋_GB2312" w:eastAsia="仿宋_GB2312" w:cs="Times New Roman"/>
          <w:b/>
          <w:bCs/>
          <w:sz w:val="32"/>
        </w:rPr>
        <w:t>定性指标：</w:t>
      </w:r>
      <w:r>
        <w:rPr>
          <w:rFonts w:hint="eastAsia" w:ascii="仿宋_GB2312" w:hAnsi="仿宋_GB2312" w:eastAsia="仿宋_GB2312" w:cs="Times New Roman"/>
          <w:sz w:val="32"/>
        </w:rPr>
        <w:t>公众评判法，通过问卷及抽样调查等方式评价本项目实施后社会公众对于其实施效果的满意程度。</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4.评价标准</w:t>
      </w:r>
    </w:p>
    <w:p w14:paraId="595C31C7">
      <w:pPr>
        <w:spacing w:line="540"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A11EBD">
      <w:pPr>
        <w:spacing w:line="540" w:lineRule="exact"/>
        <w:ind w:firstLine="567"/>
        <w:rPr>
          <w:rFonts w:hint="eastAsia" w:ascii="楷体" w:hAnsi="楷体" w:eastAsia="楷体" w:cs="楷体"/>
          <w:b/>
          <w:bCs/>
          <w:sz w:val="32"/>
        </w:rPr>
      </w:pPr>
      <w:r>
        <w:rPr>
          <w:rFonts w:hint="eastAsia" w:ascii="楷体" w:hAnsi="楷体" w:eastAsia="楷体" w:cs="楷体"/>
          <w:b/>
          <w:bCs/>
          <w:sz w:val="32"/>
        </w:rPr>
        <w:t>（三）绩效评价工作过程</w:t>
      </w:r>
    </w:p>
    <w:p w14:paraId="47A498C4">
      <w:pPr>
        <w:spacing w:line="540" w:lineRule="exact"/>
        <w:ind w:left="638" w:leftChars="304" w:firstLine="225" w:firstLineChars="70"/>
        <w:rPr>
          <w:rFonts w:hint="eastAsia" w:ascii="仿宋_GB2312" w:hAnsi="仿宋_GB2312" w:eastAsia="仿宋_GB2312" w:cs="Times New Roman"/>
          <w:b/>
          <w:bCs/>
          <w:sz w:val="32"/>
        </w:rPr>
      </w:pPr>
      <w:r>
        <w:rPr>
          <w:rFonts w:hint="eastAsia" w:ascii="仿宋_GB2312" w:hAnsi="仿宋_GB2312" w:eastAsia="仿宋_GB2312" w:cs="Times New Roman"/>
          <w:b/>
          <w:bCs/>
          <w:sz w:val="32"/>
        </w:rPr>
        <w:t>1.前期准备</w:t>
      </w:r>
    </w:p>
    <w:p w14:paraId="2A0580F3">
      <w:pPr>
        <w:spacing w:line="540" w:lineRule="exact"/>
        <w:ind w:firstLine="640" w:firstLineChars="200"/>
        <w:rPr>
          <w:rFonts w:hint="eastAsia" w:ascii="仿宋_GB2312" w:hAnsi="仿宋_GB2312" w:eastAsia="仿宋_GB2312" w:cs="Times New Roman"/>
          <w:b/>
          <w:bCs/>
          <w:sz w:val="32"/>
        </w:rPr>
      </w:pPr>
      <w:r>
        <w:rPr>
          <w:rFonts w:hint="eastAsia" w:ascii="仿宋_GB2312" w:hAnsi="仿宋_GB2312" w:eastAsia="仿宋_GB2312" w:cs="Times New Roman"/>
          <w:sz w:val="32"/>
        </w:rPr>
        <w:t>我单位于2025年1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陈鑫（评价小组组长）：主要负责审核并解决项目实施过程所有相关问题，复核绩效评价报告质量;</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阿力甫·吉力力（评价小组组员）：主要负责收集项目绩效相关所有资料，负责报告中数据的核实;</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闫雪莲（评价小组组员）：主要负责编制绩效评价报告，编制绩效评价附件表格。</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2.组织实施</w:t>
      </w:r>
    </w:p>
    <w:p w14:paraId="04C59DB5">
      <w:pPr>
        <w:spacing w:line="540" w:lineRule="exact"/>
        <w:ind w:firstLine="640" w:firstLineChars="200"/>
        <w:rPr>
          <w:rFonts w:hint="eastAsia" w:ascii="仿宋_GB2312" w:hAnsi="仿宋_GB2312" w:eastAsia="仿宋_GB2312" w:cs="Times New Roman"/>
          <w:b/>
          <w:bCs/>
          <w:sz w:val="32"/>
        </w:rPr>
      </w:pPr>
      <w:r>
        <w:rPr>
          <w:rFonts w:hint="eastAsia" w:ascii="仿宋_GB2312" w:hAnsi="仿宋_GB2312" w:eastAsia="仿宋_GB2312" w:cs="Times New Roman"/>
          <w:sz w:val="32"/>
        </w:rPr>
        <w:t>2025年1月4日—2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3.分析评价</w:t>
      </w:r>
    </w:p>
    <w:p w14:paraId="30457B47">
      <w:pPr>
        <w:spacing w:line="540" w:lineRule="exact"/>
        <w:ind w:firstLine="640" w:firstLineChars="200"/>
        <w:rPr>
          <w:rFonts w:hint="eastAsia" w:ascii="仿宋_GB2312" w:hAnsi="仿宋_GB2312" w:eastAsia="仿宋_GB2312" w:cs="Times New Roman"/>
          <w:b/>
          <w:bCs/>
          <w:sz w:val="32"/>
        </w:rPr>
      </w:pPr>
      <w:r>
        <w:rPr>
          <w:rFonts w:hint="eastAsia" w:ascii="仿宋_GB2312" w:hAnsi="仿宋_GB2312" w:eastAsia="仿宋_GB2312" w:cs="Times New Roman"/>
          <w:sz w:val="32"/>
        </w:rPr>
        <w:t>2025年2月11日—3月5日，评价小组按照绩效评价的原则和规范，对取得的资料进行审查核实，对采集的数据进行分析，按照绩效评价指标评分表逐项进行打分、分析、汇总各方评价结果。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4.撰写与提交评价报告</w:t>
      </w:r>
    </w:p>
    <w:p w14:paraId="3FD8BA90">
      <w:pPr>
        <w:spacing w:line="540" w:lineRule="exact"/>
        <w:ind w:firstLine="640" w:firstLineChars="200"/>
        <w:rPr>
          <w:rFonts w:hint="eastAsia" w:ascii="仿宋_GB2312" w:hAnsi="仿宋_GB2312" w:eastAsia="仿宋_GB2312" w:cs="Times New Roman"/>
          <w:b/>
          <w:bCs/>
          <w:sz w:val="32"/>
        </w:rPr>
      </w:pPr>
      <w:r>
        <w:rPr>
          <w:rFonts w:hint="eastAsia" w:ascii="仿宋_GB2312" w:hAnsi="仿宋_GB2312" w:eastAsia="仿宋_GB2312" w:cs="Times New Roman"/>
          <w:sz w:val="32"/>
        </w:rPr>
        <w:t>2025年3月6日—4月20日评价小组撰写绩效评价报告，按照新疆维吾尔自治区财政绩效管理信息系统绩效评价模块中统一格式和文本框架撰写绩效评价报告并提交审核。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5.问题整改</w:t>
      </w:r>
    </w:p>
    <w:p w14:paraId="49724C81">
      <w:pPr>
        <w:spacing w:line="540"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6.档案整理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建立和落实档案管理制度，将项目相关资料存档，包括但不限于：评价项目基本情况和相关文件、评价实施方案、项目支付资料等相关档案。</w:t>
      </w:r>
    </w:p>
    <w:p w14:paraId="3C874C5E">
      <w:pPr>
        <w:spacing w:line="540" w:lineRule="exact"/>
        <w:ind w:firstLine="567"/>
        <w:rPr>
          <w:rFonts w:hint="eastAsia" w:ascii="黑体" w:hAnsi="黑体" w:eastAsia="黑体" w:cs="黑体"/>
          <w:b/>
          <w:bCs/>
          <w:sz w:val="32"/>
        </w:rPr>
      </w:pPr>
      <w:r>
        <w:rPr>
          <w:rFonts w:hint="eastAsia" w:ascii="黑体" w:hAnsi="黑体" w:eastAsia="黑体" w:cs="黑体"/>
          <w:b/>
          <w:bCs/>
          <w:sz w:val="32"/>
        </w:rPr>
        <w:t>三、综合评价情况及评价结论</w:t>
      </w:r>
    </w:p>
    <w:p w14:paraId="7C3932E2">
      <w:pPr>
        <w:spacing w:line="540" w:lineRule="exact"/>
        <w:ind w:firstLine="643" w:firstLineChars="200"/>
        <w:rPr>
          <w:rFonts w:hint="eastAsia" w:ascii="楷体" w:hAnsi="楷体" w:eastAsia="楷体" w:cs="楷体"/>
          <w:b/>
          <w:bCs/>
          <w:sz w:val="32"/>
        </w:rPr>
      </w:pPr>
      <w:r>
        <w:rPr>
          <w:rFonts w:hint="eastAsia" w:ascii="楷体" w:hAnsi="楷体" w:eastAsia="楷体" w:cs="楷体"/>
          <w:b/>
          <w:bCs/>
          <w:sz w:val="32"/>
        </w:rPr>
        <w:t>（一）综合评价情况</w:t>
      </w:r>
    </w:p>
    <w:p w14:paraId="7B36EEE9">
      <w:pPr>
        <w:spacing w:line="540"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经评价，本项目全部达成年初设立的绩效目标，在实施过程中取得了良好的成效，具体表现在以下三方面：</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一是：</w:t>
      </w:r>
      <w:r>
        <w:rPr>
          <w:rFonts w:hint="eastAsia" w:ascii="仿宋_GB2312" w:hAnsi="仿宋_GB2312" w:eastAsia="仿宋_GB2312" w:cs="Times New Roman"/>
          <w:sz w:val="32"/>
        </w:rPr>
        <w:t>落实政策，做好为民办实事工作，根据《关于深化为民办实事驻村工作的实施意见》（新党发〔2016〕56号），《自治区党委自治区人民政府关于深入开展为民办实事活动健全干部驻村工作长效机制的意见》（新党发〔2016〕17号）文件要求，做好用于访贫问苦，以为群众解决最关心最现实的利益问题为导向，以千方百计解决群众生产生活中的实际困难为目的，及时将党和政府的温暖送到各族群众的心坎中，有效解决当地群众的生活困难，有效保障了驻村工作的正常开展。</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二是：</w:t>
      </w:r>
      <w:r>
        <w:rPr>
          <w:rFonts w:hint="eastAsia" w:ascii="仿宋_GB2312" w:hAnsi="仿宋_GB2312" w:eastAsia="仿宋_GB2312" w:cs="Times New Roman"/>
          <w:sz w:val="32"/>
        </w:rPr>
        <w:t>精准识别，切实保障访贫问苦工作。以群众急难愁盼问题为导向，聚焦民生关切精准发力，通过建立困难群体动态帮扶机制、实施民生实事清单化管理、开展党员干部结对服务等举措，切实将惠民政策转化为暖心行动，为特殊困难家庭提供个性化救助方案，既送政策春风又解生活难题，让改革发展成果更多更公平惠及全体人民。将党和政府的温暖送到了各族群众的心坎上，为贫困群众解决困难，送温暖、送服务。</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三是：</w:t>
      </w:r>
      <w:r>
        <w:rPr>
          <w:rFonts w:hint="eastAsia" w:ascii="仿宋_GB2312" w:hAnsi="仿宋_GB2312" w:eastAsia="仿宋_GB2312" w:cs="Times New Roman"/>
          <w:sz w:val="32"/>
        </w:rPr>
        <w:t>认真审核，确保物品及时足额发放。对访贫问苦，为民办实事补贴对象信息进行核准排查，严格核实受益农户姓名、身份证号、手机号码、家庭住址等基础信息，动态调整实名制管理信息，确保补贴物品及时足额发放至困难农户手中，有效减轻和缓解了困难群众经济困难。</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楷体" w:hAnsi="楷体" w:eastAsia="楷体" w:cs="楷体"/>
          <w:b/>
          <w:bCs/>
          <w:sz w:val="32"/>
        </w:rPr>
        <w:t>（二）评价结论</w:t>
      </w:r>
      <w:r>
        <w:rPr>
          <w:rFonts w:hint="eastAsia" w:ascii="楷体" w:hAnsi="楷体" w:eastAsia="楷体" w:cs="楷体"/>
          <w:b/>
          <w:bCs/>
          <w:sz w:val="32"/>
        </w:rPr>
        <w:br w:type="textWrapping"/>
      </w:r>
      <w:r>
        <w:rPr>
          <w:rFonts w:hint="eastAsia" w:ascii="楷体" w:hAnsi="楷体" w:eastAsia="楷体" w:cs="楷体"/>
          <w:b/>
          <w:bCs/>
          <w:sz w:val="32"/>
          <w:lang w:val="en-US" w:eastAsia="zh-CN"/>
        </w:rPr>
        <w:t xml:space="preserve">     </w:t>
      </w:r>
      <w:r>
        <w:rPr>
          <w:rFonts w:hint="eastAsia" w:ascii="仿宋_GB2312" w:hAnsi="仿宋_GB2312" w:eastAsia="仿宋_GB2312" w:cs="Times New Roman"/>
          <w:sz w:val="32"/>
        </w:rPr>
        <w:t>此次绩效评价通过绩效评价小组论证的评价指标体系及评分标准，采用因素分析法和比较法对本项目绩效进行客观评价，最终评分结果：总分为96.46分，绩效评级为“优”。综合评价结论如下：本项目共设置三级指标数量20个，实现三级指标数量17个，总体完成率为96.46%。</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项目决策类指标共设置6个，满分指标6个，权重分21分，得分21分，得分率100%；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过程管理类指标共设置5个，满分指标4个，权重分19分，得分18.08分，得分率95.16%；</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项目产出类指标共设置7个，满分指标5个，权重分20分，得分17.38分，得分率86.9%；</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项目效益类指标共设置2个，满分指标2个，权重分40分，得分40分，得分率100%。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详细情况见“附件2：项目综合得分表”。</w:t>
      </w:r>
    </w:p>
    <w:p w14:paraId="0C84A358">
      <w:pPr>
        <w:spacing w:line="540" w:lineRule="exact"/>
        <w:ind w:firstLine="567"/>
        <w:rPr>
          <w:rFonts w:hint="eastAsia" w:ascii="黑体" w:hAnsi="黑体" w:eastAsia="黑体" w:cs="黑体"/>
          <w:sz w:val="32"/>
        </w:rPr>
      </w:pPr>
      <w:r>
        <w:rPr>
          <w:rFonts w:hint="eastAsia" w:ascii="黑体" w:hAnsi="黑体" w:eastAsia="黑体" w:cs="黑体"/>
          <w:sz w:val="32"/>
        </w:rPr>
        <w:t xml:space="preserve">四、绩效评价指标分析 </w:t>
      </w:r>
    </w:p>
    <w:p w14:paraId="0187EE7F">
      <w:pPr>
        <w:spacing w:line="540" w:lineRule="exact"/>
        <w:ind w:firstLine="567"/>
        <w:rPr>
          <w:rFonts w:hint="eastAsia" w:ascii="楷体" w:hAnsi="楷体" w:eastAsia="楷体" w:cs="楷体"/>
          <w:b/>
          <w:bCs/>
          <w:sz w:val="32"/>
        </w:rPr>
      </w:pPr>
      <w:r>
        <w:rPr>
          <w:rFonts w:hint="eastAsia" w:ascii="楷体" w:hAnsi="楷体" w:eastAsia="楷体" w:cs="楷体"/>
          <w:b/>
          <w:bCs/>
          <w:sz w:val="32"/>
        </w:rPr>
        <w:t>（一）项目决策情况</w:t>
      </w:r>
    </w:p>
    <w:p w14:paraId="0232F3F7">
      <w:pPr>
        <w:spacing w:line="540" w:lineRule="exact"/>
        <w:ind w:firstLine="567"/>
        <w:rPr>
          <w:rFonts w:hint="eastAsia" w:ascii="仿宋_GB2312" w:hAnsi="仿宋_GB2312" w:eastAsia="仿宋_GB2312" w:cs="Times New Roman"/>
          <w:sz w:val="32"/>
          <w:lang w:eastAsia="zh-CN"/>
        </w:rPr>
      </w:pPr>
      <w:r>
        <w:rPr>
          <w:rFonts w:hint="eastAsia" w:ascii="仿宋_GB2312" w:hAnsi="仿宋_GB2312" w:eastAsia="仿宋_GB2312" w:cs="Times New Roman"/>
          <w:sz w:val="32"/>
        </w:rPr>
        <w:t>项目决策类指标由3个二级指标和6个三级指标构成，权重分21分，实际得分21分。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1.项目立项情况分析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（1）立项依据充分性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项目立项符合《关于深化为民办实事驻村工作的实施意见》（新党发〔2016〕56号）的文件精神；本项目立项符合《自治区党委自治区人民政府关于深入开展为民办实事活动健全干部驻村工作长效机制的意见》（新党发〔2016〕17号）中“负责园区各类人才的培养和培训，组织开展专家咨询和学术交流，进行技术服务和指导等”相关内容，符合行业发展规划和政策要求；本项目立项符合《新疆和田国家农业科技园区管理委员会配置内设机构和人员编制规定》中职责范围中的“承担地委、行署交办的其他工作”，属于我单位履职所需；根据《财政资金直接支付申请书》，本项目资金性质为“公共财政预算”功能分类为“2299999其他支出”经济分类为“30299其他商品和服务支出”属于公共财政支持范围，符合中央、地方事权支出责任划分原则；经检查我单位财政应用平台指标，本项目不存在重复。</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综上所述，本指标满分为5分，根据评分标准得5分，本项目立项依据充分。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楷体" w:hAnsi="楷体" w:eastAsia="楷体" w:cs="楷体"/>
          <w:b/>
          <w:bCs/>
          <w:sz w:val="32"/>
        </w:rPr>
        <w:t>（2）立项程序规范性</w:t>
      </w:r>
      <w:r>
        <w:rPr>
          <w:rFonts w:hint="eastAsia" w:ascii="楷体" w:hAnsi="楷体" w:eastAsia="楷体" w:cs="楷体"/>
          <w:b/>
          <w:bCs/>
          <w:sz w:val="32"/>
        </w:rPr>
        <w:br w:type="textWrapping"/>
      </w:r>
      <w:r>
        <w:rPr>
          <w:rFonts w:hint="eastAsia" w:ascii="楷体" w:hAnsi="楷体" w:eastAsia="楷体" w:cs="楷体"/>
          <w:b/>
          <w:bCs/>
          <w:sz w:val="32"/>
          <w:lang w:val="en-US" w:eastAsia="zh-CN"/>
        </w:rPr>
        <w:t xml:space="preserve">    </w:t>
      </w:r>
      <w:r>
        <w:rPr>
          <w:rFonts w:hint="eastAsia" w:ascii="仿宋_GB2312" w:hAnsi="仿宋_GB2312" w:eastAsia="仿宋_GB2312" w:cs="Times New Roman"/>
          <w:sz w:val="32"/>
        </w:rPr>
        <w:t>本项目根据《关于深化为民办实事驻村工作的实施意见》（新党发〔2016〕56号），《自治区党委自治区人民政府关于深入开展为民办实事活动健全干部驻村工作长效机制的意见》（新党发〔2016〕17号）立项，项目立项过程中产生的文件均符合相关要求。本项目为特定目标类项目，属于经常性项目，项目预算金额为14.34万元，不涉及事前绩效评估和风险评估。</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综上所述，本指标满分为3分，根据评分标准得3分，本项目立项程序规范。</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2.绩效目标情况分析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（1）绩效目标合理性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本项目已设置年度绩效目标，具体内容为“</w:t>
      </w:r>
      <w:r>
        <w:rPr>
          <w:rFonts w:hint="eastAsia" w:ascii="仿宋_GB2312" w:hAnsi="仿宋_GB2312" w:eastAsia="仿宋_GB2312" w:cs="Times New Roman"/>
          <w:sz w:val="32"/>
          <w:lang w:eastAsia="zh-CN"/>
        </w:rPr>
        <w:t>驻村</w:t>
      </w:r>
      <w:r>
        <w:rPr>
          <w:rFonts w:hint="eastAsia" w:ascii="仿宋_GB2312" w:hAnsi="仿宋_GB2312" w:eastAsia="仿宋_GB2312" w:cs="Times New Roman"/>
          <w:sz w:val="32"/>
        </w:rPr>
        <w:t>工作队派出人数3人，为民办实事工作任务完成率不少于100.00%，为民办实事工作经费支出及时性达到100.00%，为民办实事工作队总体成本控制在14.34万元以内，驻村工作队所在村村民满意率在95.00%，进一步有效落实维护社会稳定，建强基层组织，做好群众工作，办好事实事”，实际完成工作为我园区派出1个工作队，3名工作队员（含1名第一书记、工作队队长），继续驻村开展驻村工作。为进一步扎实持久开展好驻村工作，充分发挥为民办实事工作经费在驻村工作中的重要作用，全面深入贯彻落实党中央确定的社会稳定和长治久安总目标，以解决群众最关心、最直接、最现实的利益问题为导向，以千方百计解决群众生产生活中的实际困难为目的，及时将党和政府的温暖送到了各族群众的心坎上，为群众解决困难，送温暖、送服务，确保2024年驻村工作队工作顺利开展。</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综上所述，本指标满分为4分，根据评分标准得4分，本项目绩效目标设置合理。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（2）绩效指标明确性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经检查我单位年初设置的《项目支出绩效目标表》，得出如下结论：本项目已将年度绩效目标进行细化为绩效指标体系，共设置一级指标4个，二级指标6个，三级指标9个，定量指标9个，定性指标0个，指标量化率为100%，量化率达70.00%以上。</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综上所述，本指标满分为3分，根据评分标准得3分，本项目所设置绩效指标明确。</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3.资金投入情况分析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（1）预算编制科学性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项目依据《关于深化为民办实事驻村工作的实施意见》（新党发〔2016〕56号），《自治区党委自治区人民政府关于深入开展为民办实事活动健全干部驻村工作长效机制的意见》（新党发〔2016〕17号）编制项目预算，计划申请为民办实事工作经费14.34万元，即预算编制较科学且经过论证</w:t>
      </w:r>
      <w:r>
        <w:rPr>
          <w:rFonts w:hint="eastAsia" w:ascii="仿宋_GB2312" w:hAnsi="仿宋_GB2312" w:eastAsia="仿宋_GB2312" w:cs="Times New Roman"/>
          <w:sz w:val="32"/>
          <w:lang w:eastAsia="zh-CN"/>
        </w:rPr>
        <w:t>。</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预算申请内容为新疆和田国家农业科技园区管理委员会为民办实事经费项目，项目实际内容为，2023年度下拨的新疆和田国家农业科技园区管理委员会为民办实事工作经费金额14.34万元，充分发挥为民办实事工作经费在驻村工作中的重要作用，全面深入贯彻落实党中央确定的社会稳定和长治久安总目标，以解决群众最关心、最直接、最现实的利益问题为导向，以千方百计解决群众生产生活中的实际困难为目的，及时将党和政府的温暖送到了各族群众的心坎上，确保2024年驻工作队工作顺利开展，预算申请与《新疆和田国家农业科技园区管理委员会为民办实事工作经费项目实施方案》中涉及的项目内容匹配</w:t>
      </w:r>
      <w:r>
        <w:rPr>
          <w:rFonts w:hint="eastAsia" w:ascii="仿宋_GB2312" w:hAnsi="仿宋_GB2312" w:eastAsia="仿宋_GB2312" w:cs="Times New Roman"/>
          <w:sz w:val="32"/>
          <w:lang w:eastAsia="zh-CN"/>
        </w:rPr>
        <w:t>。</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本项目预算申请资金14.34元，我单位在预算申请中严格按照单位标准和数量进行核算，本项目预算额度测算依据充分，严格按照标准编制，预算确定资金量与实际工作任务相匹配；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综上所述，本指标满分为4分，根据评分标准4分，本项目预算编制科学。</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（2）资金分配合理性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项目实际分配资金以《关于申请2024年为民办实事工作经费项目资金的请示》和《新疆和田国家农业科技园区管理委员会2024年为民办实事驻村工作专项经费项目实施方案》为依据进行资金分配，预算资金分配依据充分。根据和地财预〔2023〕16号文件显示，本项目实际到位资金14.34万元，实际分配资金与我单位提交申请的资金额度一致，资金分配额度合理，与我单位实际需求相适应</w:t>
      </w:r>
      <w:r>
        <w:rPr>
          <w:rFonts w:hint="eastAsia" w:ascii="仿宋_GB2312" w:hAnsi="仿宋_GB2312" w:eastAsia="仿宋_GB2312" w:cs="Times New Roman"/>
          <w:sz w:val="32"/>
          <w:lang w:eastAsia="zh-CN"/>
        </w:rPr>
        <w:t>。</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综上所述，本指标满分为2分，根据评分标准得2分，本项目资金分配合理。</w:t>
      </w:r>
      <w:r>
        <w:rPr>
          <w:rFonts w:hint="eastAsia" w:ascii="仿宋_GB2312" w:hAnsi="仿宋_GB2312" w:eastAsia="仿宋_GB2312" w:cs="Times New Roman"/>
          <w:sz w:val="32"/>
          <w:lang w:eastAsia="zh-CN"/>
        </w:rPr>
        <w:tab/>
      </w:r>
    </w:p>
    <w:p w14:paraId="7EC7E488">
      <w:pPr>
        <w:spacing w:line="540" w:lineRule="exact"/>
        <w:ind w:firstLine="567"/>
        <w:rPr>
          <w:rFonts w:hint="eastAsia" w:ascii="楷体" w:hAnsi="楷体" w:eastAsia="楷体" w:cs="楷体"/>
          <w:b/>
          <w:bCs/>
          <w:sz w:val="32"/>
        </w:rPr>
      </w:pPr>
      <w:r>
        <w:rPr>
          <w:rFonts w:hint="eastAsia" w:ascii="楷体" w:hAnsi="楷体" w:eastAsia="楷体" w:cs="楷体"/>
          <w:b/>
          <w:bCs/>
          <w:sz w:val="32"/>
        </w:rPr>
        <w:t>（</w:t>
      </w:r>
      <w:r>
        <w:rPr>
          <w:rFonts w:hint="eastAsia" w:ascii="楷体" w:hAnsi="楷体" w:eastAsia="楷体" w:cs="楷体"/>
          <w:b/>
          <w:bCs/>
          <w:sz w:val="32"/>
          <w:lang w:val="en-US" w:eastAsia="zh-CN"/>
        </w:rPr>
        <w:t>二</w:t>
      </w:r>
      <w:r>
        <w:rPr>
          <w:rFonts w:hint="eastAsia" w:ascii="楷体" w:hAnsi="楷体" w:eastAsia="楷体" w:cs="楷体"/>
          <w:b/>
          <w:bCs/>
          <w:sz w:val="32"/>
        </w:rPr>
        <w:t>）项目过程情况</w:t>
      </w:r>
    </w:p>
    <w:p w14:paraId="3348D30A">
      <w:pPr>
        <w:spacing w:line="540" w:lineRule="exact"/>
        <w:ind w:left="319" w:leftChars="152" w:firstLine="544" w:firstLineChars="170"/>
        <w:rPr>
          <w:rFonts w:hint="eastAsia" w:ascii="仿宋_GB2312" w:hAnsi="仿宋_GB2312" w:eastAsia="仿宋_GB2312" w:cs="Times New Roman"/>
          <w:b/>
          <w:bCs/>
          <w:sz w:val="32"/>
        </w:rPr>
      </w:pPr>
      <w:r>
        <w:rPr>
          <w:rFonts w:hint="eastAsia" w:ascii="仿宋_GB2312" w:hAnsi="仿宋_GB2312" w:eastAsia="仿宋_GB2312" w:cs="Times New Roman"/>
          <w:sz w:val="32"/>
        </w:rPr>
        <w:t>项目过程管理类指标由2个二级指标和5个三级指标构成，权重分19分，实际得分18.08分。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1.资金管理情况分析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（1）资金到位率</w:t>
      </w:r>
    </w:p>
    <w:p w14:paraId="06C2B2CC">
      <w:pPr>
        <w:spacing w:line="540" w:lineRule="exact"/>
        <w:ind w:left="319" w:leftChars="152" w:firstLine="864" w:firstLineChars="270"/>
        <w:rPr>
          <w:rFonts w:hint="eastAsia" w:ascii="仿宋_GB2312" w:hAnsi="仿宋_GB2312" w:eastAsia="仿宋_GB2312" w:cs="Times New Roman"/>
          <w:sz w:val="32"/>
        </w:rPr>
      </w:pPr>
      <w:r>
        <w:rPr>
          <w:rFonts w:hint="eastAsia" w:ascii="仿宋_GB2312" w:hAnsi="仿宋_GB2312" w:eastAsia="仿宋_GB2312" w:cs="Times New Roman"/>
          <w:sz w:val="32"/>
        </w:rPr>
        <w:t>本项目预算资金为14.34万元，其中：本级财政安排资金14.34万元，其他资金0万元，实际到位资金0万元，资金到位率=（实际到位资金/预算资金）×100%=（14.34/14.34）*100%=100%。得分=资金到位率*分值=100%*4=4分。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综上所述，本指标满分为4分，根据评分标准得4分，本项目资金分配合理。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（2）预算执行率</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本项目实际支出资金11.07万元，预算执行率=（实际支出资金/实际到位资金）×100%=（11.7/14.34）*100%=81.59%。得分=预算执行率*分值81.59%*5=4.08分。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综上所述，本指标满分为5分，根据评分标准得4.08分，本项目资金分配合理。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（3）资金使用合规性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通过检查本项目签订的合同、资金申请文件、发票等财务付款凭证，得出本项目资金支出符合国家财经法规、《政府会计制度》以及《新疆和田国家农业科技园区管理委员会资金管理办法》《新疆和田国家农业科技园区管理委员会专项资金管理办法》，资金的拨付有完整的审批程序和手续，资金实际使用方向与预算批复用途一致，不存在截留、挤占、挪用、虚列支出的情况。</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综上所述，本指标满分为4分，根据评分标准得4分，资金支出符合我单位财务管理制度规定。</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2.组织实施情况分析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（1）管理制度健全性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我单位已制定《新疆和田国家农业科技园区管理委员会资金管理办法》《新疆和田国家农业科技园区管理委员会收支业务管理制度》《新疆和田国家农业科技园区管理委员会政府采购业务管理制度》《新疆和田国家农业科技园区管理委员会合同管理制度》，上述已建立的制度均符合行政事业单位内控管理要求，财务和业务管理制度合法、合规、完整，本项目执行符合上述制度规定。</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综上所述，本指标满分为2分，根据评分标准得2分，项目制度建设健全。</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（2）制度执行有效性</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经对比分析本项目实际执行过程资料和已建立的项目管理制度和财务管理制度，得出本项目严格按照本单位已建立制度执行。项目资金支出严格按照自治区、地区及本单位资金管理办法执行，项目启动实施后，为了加快本项目的实施，成立了为民办实事工作经费项目工作领导小组，由纪工委书记邢文作任组长，负责项目的组织工作；吐尔地麦麦提·努尔任副组长，负责项目的实施工作；组员包括：瓦日斯江·如则托合提，主要负责项目监督管理、验收以及资金核拨等工作。</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综上所述，本指标满分为4分，根据评分标准得4分，本项目所建立制度执行有效。</w:t>
      </w:r>
    </w:p>
    <w:p w14:paraId="2B08C8D2">
      <w:pPr>
        <w:spacing w:line="540" w:lineRule="exact"/>
        <w:ind w:firstLine="567"/>
        <w:rPr>
          <w:rFonts w:hint="eastAsia" w:ascii="楷体" w:hAnsi="楷体" w:eastAsia="楷体" w:cs="楷体"/>
          <w:b/>
          <w:bCs/>
          <w:sz w:val="32"/>
        </w:rPr>
      </w:pPr>
      <w:r>
        <w:rPr>
          <w:rFonts w:hint="eastAsia" w:ascii="楷体" w:hAnsi="楷体" w:eastAsia="楷体" w:cs="楷体"/>
          <w:b/>
          <w:bCs/>
          <w:sz w:val="32"/>
        </w:rPr>
        <w:t>（</w:t>
      </w:r>
      <w:r>
        <w:rPr>
          <w:rFonts w:hint="eastAsia" w:ascii="楷体" w:hAnsi="楷体" w:eastAsia="楷体" w:cs="楷体"/>
          <w:b/>
          <w:bCs/>
          <w:sz w:val="32"/>
          <w:lang w:val="en-US" w:eastAsia="zh-CN"/>
        </w:rPr>
        <w:t>三</w:t>
      </w:r>
      <w:r>
        <w:rPr>
          <w:rFonts w:hint="eastAsia" w:ascii="楷体" w:hAnsi="楷体" w:eastAsia="楷体" w:cs="楷体"/>
          <w:b/>
          <w:bCs/>
          <w:sz w:val="32"/>
        </w:rPr>
        <w:t>）项目产出情况</w:t>
      </w:r>
    </w:p>
    <w:p w14:paraId="62338673">
      <w:pPr>
        <w:spacing w:line="540" w:lineRule="exact"/>
        <w:ind w:firstLine="567"/>
        <w:rPr>
          <w:rFonts w:ascii="仿宋_GB2312" w:hAnsi="仿宋_GB2312" w:eastAsia="仿宋_GB2312" w:cs="Times New Roman"/>
          <w:sz w:val="32"/>
        </w:rPr>
      </w:pPr>
      <w:r>
        <w:rPr>
          <w:rFonts w:hint="eastAsia" w:ascii="仿宋_GB2312" w:hAnsi="仿宋_GB2312" w:eastAsia="仿宋_GB2312" w:cs="Times New Roman"/>
          <w:sz w:val="32"/>
        </w:rPr>
        <w:t>项目产出类指标由4个二级指标和7个三级指标构成，权重分20分，实际得分17.38分。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1.数量指标完成情况分析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“保障工作队人员数量”指标：预期指标值为=3人，实际完成指标值为3人，指标完成率为100.00%。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“为民办实事数量”指标：预期指标值为≥6件，实际完成指标值为6个，指标完成率为100.00%。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2.质量指标完成情况分析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“工作队任务完成率指标”:预期指标值为=100.00%，实际完成值为100.00%,指标完成率为100.00%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“群众困难诉求满足率”指标:预期指标值为=100.00%，实际完成值为=100.00%,指标完成率为100.00%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3.时效指标完成情况分析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“资金支付及时率”指标：预期指标值为=100.00%，实际完成指标值为100.00%，指标完成率为100.00%。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4.成本指标完成情况分析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“访贫问苦及为民办实事支出”指标预期指标值为≤12.34万元，实际完成值为11.2万元,指标完成率为90.76%。</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村级组织工作经费及更新办公设施支出:预期指标值为≤2万元，实际完成值为0.5万元,指标完成率为25%。</w:t>
      </w:r>
    </w:p>
    <w:p w14:paraId="68FA289A">
      <w:pPr>
        <w:spacing w:line="540" w:lineRule="exact"/>
        <w:ind w:firstLine="567"/>
        <w:rPr>
          <w:rFonts w:hint="eastAsia" w:ascii="楷体" w:hAnsi="楷体" w:eastAsia="楷体" w:cs="楷体"/>
          <w:b/>
          <w:bCs/>
          <w:sz w:val="32"/>
        </w:rPr>
      </w:pPr>
      <w:r>
        <w:rPr>
          <w:rFonts w:hint="eastAsia" w:ascii="楷体" w:hAnsi="楷体" w:eastAsia="楷体" w:cs="楷体"/>
          <w:b/>
          <w:bCs/>
          <w:sz w:val="32"/>
        </w:rPr>
        <w:t>（</w:t>
      </w:r>
      <w:r>
        <w:rPr>
          <w:rFonts w:hint="eastAsia" w:ascii="楷体" w:hAnsi="楷体" w:eastAsia="楷体" w:cs="楷体"/>
          <w:b/>
          <w:bCs/>
          <w:sz w:val="32"/>
          <w:lang w:val="en-US" w:eastAsia="zh-CN"/>
        </w:rPr>
        <w:t>四</w:t>
      </w:r>
      <w:r>
        <w:rPr>
          <w:rFonts w:hint="eastAsia" w:ascii="楷体" w:hAnsi="楷体" w:eastAsia="楷体" w:cs="楷体"/>
          <w:b/>
          <w:bCs/>
          <w:sz w:val="32"/>
        </w:rPr>
        <w:t>）项目效益情况</w:t>
      </w:r>
    </w:p>
    <w:p w14:paraId="66A723F0">
      <w:pPr>
        <w:spacing w:line="540" w:lineRule="exact"/>
        <w:ind w:firstLine="567"/>
        <w:rPr>
          <w:rFonts w:hint="eastAsia" w:ascii="仿宋_GB2312" w:hAnsi="仿宋_GB2312" w:eastAsia="仿宋_GB2312" w:cs="Times New Roman"/>
          <w:sz w:val="32"/>
        </w:rPr>
      </w:pPr>
      <w:r>
        <w:rPr>
          <w:rFonts w:hint="eastAsia" w:ascii="仿宋_GB2312" w:hAnsi="仿宋_GB2312" w:eastAsia="仿宋_GB2312" w:cs="Times New Roman"/>
          <w:sz w:val="32"/>
        </w:rPr>
        <w:t>项目效益类指标由2个二级指标和2个三级指标构成，权重分40分，实际得分40分。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1.经济效益完成情况分析</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无。</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2.社会效益完成情况分析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“持续为公众提供公共服务能力”指标：预期指标值为=100.00%，实际完成指标值为100.00%，指标完成率为100.00%。</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3.生态效益完成情况分析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无。</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b/>
          <w:bCs/>
          <w:sz w:val="32"/>
        </w:rPr>
        <w:t>4.可持续影响完成情况分析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无。</w:t>
      </w:r>
      <w:r>
        <w:rPr>
          <w:rFonts w:hint="eastAsia" w:ascii="仿宋_GB2312" w:hAnsi="仿宋_GB2312" w:eastAsia="仿宋_GB2312" w:cs="Times New Roman"/>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b/>
          <w:bCs/>
          <w:sz w:val="32"/>
        </w:rPr>
        <w:t>5.满意度指标完成情况分析</w:t>
      </w:r>
      <w:r>
        <w:rPr>
          <w:rFonts w:hint="eastAsia" w:ascii="仿宋_GB2312" w:hAnsi="仿宋_GB2312" w:eastAsia="仿宋_GB2312" w:cs="Times New Roman"/>
          <w:b/>
          <w:bCs/>
          <w:sz w:val="32"/>
        </w:rPr>
        <w:br w:type="textWrapping"/>
      </w:r>
      <w:r>
        <w:rPr>
          <w:rFonts w:hint="eastAsia" w:ascii="仿宋_GB2312" w:hAnsi="仿宋_GB2312" w:eastAsia="仿宋_GB2312" w:cs="Times New Roman"/>
          <w:b/>
          <w:bCs/>
          <w:sz w:val="32"/>
          <w:lang w:val="en-US" w:eastAsia="zh-CN"/>
        </w:rPr>
        <w:t xml:space="preserve">   </w:t>
      </w:r>
      <w:r>
        <w:rPr>
          <w:rFonts w:hint="eastAsia" w:ascii="仿宋_GB2312" w:hAnsi="仿宋_GB2312" w:eastAsia="仿宋_GB2312" w:cs="Times New Roman"/>
          <w:sz w:val="32"/>
        </w:rPr>
        <w:t>“受益服务对象满意度”指标：预期指标值为≥95.00%，实际完成指标值为95%，指标完成率为100.00%。</w:t>
      </w:r>
    </w:p>
    <w:p w14:paraId="31AB5E20">
      <w:pPr>
        <w:spacing w:line="540" w:lineRule="exact"/>
        <w:ind w:firstLine="567"/>
        <w:rPr>
          <w:rFonts w:hint="eastAsia" w:ascii="黑体" w:hAnsi="黑体" w:eastAsia="黑体" w:cs="黑体"/>
          <w:b/>
          <w:bCs/>
          <w:sz w:val="32"/>
        </w:rPr>
      </w:pPr>
      <w:r>
        <w:rPr>
          <w:rFonts w:hint="eastAsia" w:ascii="黑体" w:hAnsi="黑体" w:eastAsia="黑体" w:cs="黑体"/>
          <w:b/>
          <w:bCs/>
          <w:sz w:val="32"/>
        </w:rPr>
        <w:t>五、预算执行进度与绩效指标偏差</w:t>
      </w:r>
    </w:p>
    <w:p w14:paraId="083685C4">
      <w:pPr>
        <w:spacing w:line="540" w:lineRule="exact"/>
        <w:ind w:firstLine="567"/>
        <w:rPr>
          <w:rFonts w:hint="eastAsia" w:ascii="仿宋_GB2312" w:hAnsi="仿宋_GB2312" w:eastAsia="仿宋_GB2312" w:cs="Times New Roman"/>
          <w:sz w:val="32"/>
        </w:rPr>
      </w:pPr>
      <w:r>
        <w:rPr>
          <w:rFonts w:hint="eastAsia" w:ascii="仿宋_GB2312" w:hAnsi="仿宋_GB2312" w:eastAsia="仿宋_GB2312" w:cs="Times New Roman"/>
          <w:sz w:val="32"/>
        </w:rPr>
        <w:t>本项目年初预算资金总额为14.34万元，全年预算数为14.34万元，全年执行数为11.07万元，预算执行率为81.59%。</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rPr>
        <w:t>本项目共设置三级指标数量9个，满分指标数量7个，扣分指标数2个，经分析计算所有三级指标完成率得出，本项目总体完成率为90.64%。</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综上所述本项目预算执行率与总体完成率之间的偏差为9.05%。</w:t>
      </w:r>
    </w:p>
    <w:p w14:paraId="0C5B5FAA">
      <w:pPr>
        <w:spacing w:line="540" w:lineRule="exact"/>
        <w:ind w:firstLine="567"/>
        <w:rPr>
          <w:rFonts w:hint="eastAsia" w:ascii="黑体" w:hAnsi="黑体" w:eastAsia="黑体" w:cs="黑体"/>
          <w:b/>
          <w:bCs/>
          <w:sz w:val="32"/>
        </w:rPr>
      </w:pPr>
      <w:r>
        <w:rPr>
          <w:rFonts w:hint="eastAsia" w:ascii="黑体" w:hAnsi="黑体" w:eastAsia="黑体" w:cs="黑体"/>
          <w:b/>
          <w:bCs/>
          <w:sz w:val="32"/>
        </w:rPr>
        <w:t>六、主要经验及做法、存在的问题及原因分析</w:t>
      </w:r>
    </w:p>
    <w:p w14:paraId="1ED673FE">
      <w:pPr>
        <w:spacing w:line="540" w:lineRule="exact"/>
        <w:ind w:firstLine="643" w:firstLineChars="200"/>
        <w:rPr>
          <w:rFonts w:hint="eastAsia" w:ascii="楷体" w:hAnsi="楷体" w:eastAsia="楷体" w:cs="楷体"/>
          <w:b/>
          <w:bCs/>
          <w:sz w:val="32"/>
        </w:rPr>
      </w:pPr>
      <w:r>
        <w:rPr>
          <w:rFonts w:hint="eastAsia" w:ascii="楷体" w:hAnsi="楷体" w:eastAsia="楷体" w:cs="楷体"/>
          <w:b/>
          <w:bCs/>
          <w:sz w:val="32"/>
        </w:rPr>
        <w:t>（一）主要经验及做法</w:t>
      </w:r>
    </w:p>
    <w:p w14:paraId="0E1B4D83">
      <w:pPr>
        <w:spacing w:line="540"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1.我单位通过此次绩效评价，提升自评质量，加强制度建设，强化评价结果应用，对发现的问题现场反馈并要求改进，加强评价结果与项目资金安排的衔接，健全绩效管理工作机制，明确职责分工，组织专题培训，提高单位绩效管理工作水平。</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2.本年度，我单位认真贯彻落实科学发展观，以积极参加上级部门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绩效评价工作科学发展。</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3.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楷体" w:hAnsi="楷体" w:eastAsia="楷体" w:cs="楷体"/>
          <w:b/>
          <w:bCs/>
          <w:sz w:val="32"/>
        </w:rPr>
        <w:t>（二）存在的问题及原因分析</w:t>
      </w:r>
      <w:r>
        <w:rPr>
          <w:rFonts w:hint="eastAsia" w:ascii="楷体" w:hAnsi="楷体" w:eastAsia="楷体" w:cs="楷体"/>
          <w:b/>
          <w:bCs/>
          <w:sz w:val="32"/>
        </w:rPr>
        <w:br w:type="textWrapping"/>
      </w:r>
      <w:r>
        <w:rPr>
          <w:rFonts w:hint="eastAsia" w:ascii="楷体" w:hAnsi="楷体" w:eastAsia="楷体" w:cs="楷体"/>
          <w:b/>
          <w:bCs/>
          <w:sz w:val="32"/>
          <w:lang w:val="en-US" w:eastAsia="zh-CN"/>
        </w:rPr>
        <w:t xml:space="preserve">   </w:t>
      </w:r>
      <w:r>
        <w:rPr>
          <w:rFonts w:hint="eastAsia" w:ascii="仿宋_GB2312" w:hAnsi="仿宋_GB2312" w:eastAsia="仿宋_GB2312" w:cs="Times New Roman"/>
          <w:sz w:val="32"/>
        </w:rPr>
        <w:t>1.对各项指标和指标值要进一步优化、完善，主要在细化、量化上改进；自评价工作还存在自我审定的局限性，会影响评价质量，容易造成问题的疏漏，在客观性和公正性上说服力不强，缺少带着问题去评价的意识。</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2.现场评价的工作量少，后续效益评价具体措施和方法较少；当前工作存在的问题：单位工作人员对绩效工作认识不足，部分干部的思想中，学题教育工作依然是“说起来重要，干起来次要，忙起来不要”全局性的认识不够，个别人员学习主动性不强，有的在学习上得过且过、不学习，没有真正认识到学习的重要性，没有树立起主动学习、终身学习的理念。对单位实际情况的变更，资金及时调整不到位，导致预算资金未能全部支出。</w:t>
      </w:r>
    </w:p>
    <w:p w14:paraId="53BB7C26">
      <w:pPr>
        <w:spacing w:line="540" w:lineRule="exact"/>
        <w:ind w:firstLine="567"/>
        <w:rPr>
          <w:rFonts w:hint="eastAsia" w:ascii="黑体" w:hAnsi="黑体" w:eastAsia="黑体" w:cs="黑体"/>
          <w:b/>
          <w:bCs/>
          <w:sz w:val="32"/>
        </w:rPr>
      </w:pPr>
      <w:r>
        <w:rPr>
          <w:rFonts w:hint="eastAsia" w:ascii="黑体" w:hAnsi="黑体" w:eastAsia="黑体" w:cs="黑体"/>
          <w:b/>
          <w:bCs/>
          <w:sz w:val="32"/>
          <w:lang w:val="en-US" w:eastAsia="zh-CN"/>
        </w:rPr>
        <w:t>七</w:t>
      </w:r>
      <w:r>
        <w:rPr>
          <w:rFonts w:hint="eastAsia" w:ascii="黑体" w:hAnsi="黑体" w:eastAsia="黑体" w:cs="黑体"/>
          <w:b/>
          <w:bCs/>
          <w:sz w:val="32"/>
        </w:rPr>
        <w:t>、有关建议</w:t>
      </w:r>
    </w:p>
    <w:p w14:paraId="1AF653ED">
      <w:pPr>
        <w:spacing w:line="540" w:lineRule="exact"/>
        <w:ind w:firstLine="567"/>
        <w:rPr>
          <w:rFonts w:hint="eastAsia" w:ascii="仿宋_GB2312" w:hAnsi="仿宋_GB2312" w:eastAsia="仿宋_GB2312" w:cs="Times New Roman"/>
          <w:sz w:val="32"/>
        </w:rPr>
      </w:pPr>
      <w:r>
        <w:rPr>
          <w:rFonts w:hint="eastAsia" w:ascii="仿宋_GB2312" w:hAnsi="仿宋_GB2312" w:eastAsia="仿宋_GB2312" w:cs="Times New Roman"/>
          <w:sz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二）构建“全周期绩效智能评价体系”，开发集成现场快评模块与长效追踪功能的绩效管理信息系统，设置季度效益动态评估指标库，运用大数据建模自动生成效益趋势分析报告；推行“学习积分制+红黄牌考核”</w:t>
      </w:r>
      <w:bookmarkStart w:id="0" w:name="_GoBack"/>
      <w:bookmarkEnd w:id="0"/>
      <w:r>
        <w:rPr>
          <w:rFonts w:hint="eastAsia" w:ascii="仿宋_GB2312" w:hAnsi="仿宋_GB2312" w:eastAsia="仿宋_GB2312" w:cs="Times New Roman"/>
          <w:sz w:val="32"/>
        </w:rPr>
        <w:t>，建立覆盖全员的学习教育积分管理系统，将绩效知识掌握度与岗位晋升、评优评先直接挂钩，对连续两季度考核未达标人员启动“回炉培训”机制并扣减部门年度绩效分值。</w:t>
      </w:r>
    </w:p>
    <w:p w14:paraId="6793D8F3">
      <w:pPr>
        <w:spacing w:line="540" w:lineRule="exact"/>
        <w:ind w:firstLine="567"/>
        <w:rPr>
          <w:rFonts w:hint="eastAsia" w:ascii="黑体" w:hAnsi="黑体" w:eastAsia="黑体" w:cs="黑体"/>
          <w:b/>
          <w:bCs/>
          <w:sz w:val="32"/>
        </w:rPr>
      </w:pPr>
      <w:r>
        <w:rPr>
          <w:rFonts w:hint="eastAsia" w:ascii="黑体" w:hAnsi="黑体" w:eastAsia="黑体" w:cs="黑体"/>
          <w:b/>
          <w:bCs/>
          <w:sz w:val="32"/>
          <w:lang w:val="en-US" w:eastAsia="zh-CN"/>
        </w:rPr>
        <w:t>八</w:t>
      </w:r>
      <w:r>
        <w:rPr>
          <w:rFonts w:hint="eastAsia" w:ascii="黑体" w:hAnsi="黑体" w:eastAsia="黑体" w:cs="黑体"/>
          <w:b/>
          <w:bCs/>
          <w:sz w:val="32"/>
        </w:rPr>
        <w:t>、其他需要说明的问题</w:t>
      </w:r>
    </w:p>
    <w:p w14:paraId="4F9D8EDA">
      <w:pPr>
        <w:spacing w:line="540" w:lineRule="exact"/>
        <w:ind w:firstLine="567"/>
        <w:rPr>
          <w:rStyle w:val="20"/>
          <w:rFonts w:ascii="仿宋" w:hAnsi="仿宋" w:eastAsia="仿宋"/>
          <w:b w:val="0"/>
          <w:spacing w:val="-4"/>
          <w:sz w:val="32"/>
          <w:szCs w:val="32"/>
        </w:rPr>
      </w:pPr>
      <w:r>
        <w:rPr>
          <w:rFonts w:hint="eastAsia" w:ascii="仿宋_GB2312" w:hAnsi="仿宋_GB2312" w:eastAsia="仿宋_GB2312" w:cs="Times New Roman"/>
          <w:sz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（三）评价结果分别编入政府决算和部门预算，报送本级人民代表大会常务委员会，并依法予以公开。</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Times New Roman"/>
          <w:sz w:val="32"/>
        </w:rPr>
        <w:br w:type="textWrapping"/>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cs="Times New Roman"/>
          <w:sz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8AACE2E">
      <w:pPr>
        <w:spacing w:line="540" w:lineRule="exact"/>
        <w:ind w:firstLine="567"/>
        <w:rPr>
          <w:rStyle w:val="20"/>
          <w:rFonts w:ascii="仿宋" w:hAnsi="仿宋" w:eastAsia="仿宋"/>
          <w:b w:val="0"/>
          <w:spacing w:val="-4"/>
          <w:sz w:val="32"/>
          <w:szCs w:val="32"/>
        </w:rPr>
      </w:pPr>
    </w:p>
    <w:p w14:paraId="50889B39">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8DEEAD8">
        <w:pPr>
          <w:pStyle w:val="12"/>
          <w:jc w:val="center"/>
        </w:pPr>
        <w:r>
          <w:fldChar w:fldCharType="begin"/>
        </w:r>
        <w:r>
          <w:instrText xml:space="preserve">PAGE   \* MERGEFORMAT</w:instrText>
        </w:r>
        <w:r>
          <w:fldChar w:fldCharType="separate"/>
        </w:r>
        <w:r>
          <w:rPr>
            <w:lang w:val="zh-CN"/>
          </w:rPr>
          <w:t>1</w:t>
        </w:r>
        <w:r>
          <w:fldChar w:fldCharType="end"/>
        </w:r>
      </w:p>
    </w:sdtContent>
  </w:sdt>
  <w:p w14:paraId="1977350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72C1D"/>
    <w:rsid w:val="55D35780"/>
    <w:rsid w:val="BF7FF68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7"/>
    <w:semiHidden/>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toc 1"/>
    <w:basedOn w:val="1"/>
    <w:next w:val="1"/>
    <w:qFormat/>
    <w:uiPriority w:val="0"/>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qFormat/>
    <w:uiPriority w:val="9"/>
    <w:rPr>
      <w:b/>
      <w:bCs/>
      <w:sz w:val="28"/>
      <w:szCs w:val="28"/>
    </w:rPr>
  </w:style>
  <w:style w:type="character" w:customStyle="1" w:styleId="26">
    <w:name w:val="标题 5 字符"/>
    <w:basedOn w:val="19"/>
    <w:link w:val="6"/>
    <w:semiHidden/>
    <w:qFormat/>
    <w:uiPriority w:val="9"/>
    <w:rPr>
      <w:b/>
      <w:bCs/>
      <w:i/>
      <w:iCs/>
      <w:sz w:val="26"/>
      <w:szCs w:val="26"/>
    </w:rPr>
  </w:style>
  <w:style w:type="character" w:customStyle="1" w:styleId="27">
    <w:name w:val="标题 6 字符"/>
    <w:basedOn w:val="19"/>
    <w:link w:val="7"/>
    <w:semiHidden/>
    <w:qFormat/>
    <w:uiPriority w:val="9"/>
    <w:rPr>
      <w:b/>
      <w:bCs/>
    </w:rPr>
  </w:style>
  <w:style w:type="character" w:customStyle="1" w:styleId="28">
    <w:name w:val="标题 7 字符"/>
    <w:basedOn w:val="19"/>
    <w:link w:val="8"/>
    <w:semiHidden/>
    <w:qFormat/>
    <w:uiPriority w:val="9"/>
    <w:rPr>
      <w:sz w:val="24"/>
      <w:szCs w:val="24"/>
    </w:rPr>
  </w:style>
  <w:style w:type="character" w:customStyle="1" w:styleId="29">
    <w:name w:val="标题 8 字符"/>
    <w:basedOn w:val="19"/>
    <w:link w:val="9"/>
    <w:semiHidden/>
    <w:qFormat/>
    <w:uiPriority w:val="9"/>
    <w:rPr>
      <w:i/>
      <w:iCs/>
      <w:sz w:val="24"/>
      <w:szCs w:val="24"/>
    </w:rPr>
  </w:style>
  <w:style w:type="character" w:customStyle="1" w:styleId="30">
    <w:name w:val="标题 9 字符"/>
    <w:basedOn w:val="19"/>
    <w:link w:val="10"/>
    <w:semiHidden/>
    <w:qFormat/>
    <w:uiPriority w:val="9"/>
    <w:rPr>
      <w:rFonts w:asciiTheme="majorHAnsi" w:hAnsiTheme="majorHAnsi" w:eastAsiaTheme="majorEastAsia"/>
    </w:rPr>
  </w:style>
  <w:style w:type="character" w:customStyle="1" w:styleId="31">
    <w:name w:val="标题 字符"/>
    <w:basedOn w:val="19"/>
    <w:link w:val="16"/>
    <w:qFormat/>
    <w:uiPriority w:val="10"/>
    <w:rPr>
      <w:rFonts w:asciiTheme="majorHAnsi" w:hAnsiTheme="majorHAnsi" w:eastAsiaTheme="majorEastAsia"/>
      <w:b/>
      <w:bCs/>
      <w:kern w:val="28"/>
      <w:sz w:val="32"/>
      <w:szCs w:val="32"/>
    </w:rPr>
  </w:style>
  <w:style w:type="character" w:customStyle="1" w:styleId="32">
    <w:name w:val="副标题 字符"/>
    <w:basedOn w:val="19"/>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9"/>
    <w:link w:val="13"/>
    <w:qFormat/>
    <w:uiPriority w:val="99"/>
    <w:rPr>
      <w:rFonts w:ascii="Calibri" w:hAnsi="Calibri" w:eastAsia="宋体"/>
      <w:kern w:val="2"/>
      <w:sz w:val="18"/>
      <w:szCs w:val="18"/>
    </w:rPr>
  </w:style>
  <w:style w:type="character" w:customStyle="1" w:styleId="46">
    <w:name w:val="页脚 字符"/>
    <w:basedOn w:val="19"/>
    <w:link w:val="12"/>
    <w:qFormat/>
    <w:uiPriority w:val="99"/>
    <w:rPr>
      <w:rFonts w:ascii="Calibri" w:hAnsi="Calibri" w:eastAsia="宋体"/>
      <w:kern w:val="2"/>
      <w:sz w:val="18"/>
      <w:szCs w:val="18"/>
    </w:rPr>
  </w:style>
  <w:style w:type="character" w:customStyle="1" w:styleId="47">
    <w:name w:val="批注框文本 字符"/>
    <w:basedOn w:val="19"/>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2052-11.1.0.11365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a30820bb-69b2-4bc4-8944-76ab8290c22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11556</Words>
  <Characters>12190</Characters>
  <Lines>5</Lines>
  <Paragraphs>1</Paragraphs>
  <TotalTime>9</TotalTime>
  <ScaleCrop>false</ScaleCrop>
  <LinksUpToDate>false</LinksUpToDate>
  <CharactersWithSpaces>12204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2025-09-28T16:52:29Z</cp:lastPrinted>
  <dcterms:modified xsi:type="dcterms:W3CDTF">2025-09-28T16:52:40Z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eyJoZGlkIjoiYjc2OWIwYWEwODAyMWYzZDQ3MWM3NTI0ZDMwN2MzZTAiLCJ1c2VySWQiOiIyNTk4NTcxMjUifQ==</vt:lpwstr>
  </property>
</Properties>
</file>