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BC9938">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20A945E4">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36345AF">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C7ECA05">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680132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EC5BF0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和田地区住房和城乡建设局2024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6D0EA5D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5B9ED037">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52492C2F">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1BDB89E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4A7D48B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73AB4D0">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5B5235E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64A8E60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3613D4F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BC3BEE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4D75029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431EC838">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3639D817">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15EDC723">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61085FD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5BB8547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7A6238C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709A17F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F3CE3C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0760DA5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78734E5F">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09916F4C">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7A4255A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4E41D6B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06D9E96D">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8EF693A">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70F2EB5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6A9C6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6F2115E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4166C8E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546353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573DD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608417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3A9C149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E08CF7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450F23E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E71A191">
      <w:r>
        <w:br w:type="page"/>
      </w:r>
    </w:p>
    <w:p w14:paraId="40819FCB">
      <w:pPr>
        <w:spacing w:line="640" w:lineRule="exact"/>
        <w:jc w:val="center"/>
        <w:outlineLvl w:val="1"/>
      </w:pPr>
      <w:r>
        <w:rPr>
          <w:rFonts w:ascii="黑体" w:hAnsi="黑体" w:eastAsia="黑体"/>
          <w:sz w:val="32"/>
        </w:rPr>
        <w:t>第一部分 单位概况</w:t>
      </w:r>
    </w:p>
    <w:p w14:paraId="1BBDFCE9">
      <w:pPr>
        <w:spacing w:line="640" w:lineRule="exact"/>
        <w:ind w:firstLine="640"/>
        <w:jc w:val="both"/>
        <w:outlineLvl w:val="2"/>
      </w:pPr>
      <w:r>
        <w:rPr>
          <w:rFonts w:ascii="黑体" w:hAnsi="黑体" w:eastAsia="黑体"/>
          <w:sz w:val="32"/>
        </w:rPr>
        <w:t>一、主要职能</w:t>
      </w:r>
    </w:p>
    <w:p w14:paraId="668B0399">
      <w:pPr>
        <w:spacing w:line="580" w:lineRule="exact"/>
        <w:ind w:firstLine="640"/>
        <w:jc w:val="both"/>
      </w:pPr>
      <w:r>
        <w:rPr>
          <w:rFonts w:ascii="仿宋_GB2312" w:hAnsi="仿宋_GB2312" w:eastAsia="仿宋_GB2312"/>
          <w:sz w:val="32"/>
        </w:rPr>
        <w:t>（1）承担全地区保障城镇低收入家庭住房的责任；推进全地区住房制度改革的责任；规范全地区住房和城乡建设管理秩序的责任。</w:t>
      </w:r>
    </w:p>
    <w:p w14:paraId="27FB4022">
      <w:pPr>
        <w:spacing w:line="580" w:lineRule="exact"/>
        <w:ind w:firstLine="640"/>
        <w:jc w:val="both"/>
      </w:pPr>
      <w:r>
        <w:rPr>
          <w:rFonts w:ascii="仿宋_GB2312" w:hAnsi="仿宋_GB2312" w:eastAsia="仿宋_GB2312"/>
          <w:sz w:val="32"/>
        </w:rPr>
        <w:t>（2）监督实施全地区工程建设标准的责任；规范全地区房地产市场秩序、监督管理全地区房地产市场的责任；监督管理全地区建筑市场，规范各方主体行为；监督执行全地区城市建设的政策、拟定全地区城市建设规划并指导实施。</w:t>
      </w:r>
    </w:p>
    <w:p w14:paraId="5FA2EE22">
      <w:pPr>
        <w:spacing w:line="580" w:lineRule="exact"/>
        <w:ind w:firstLine="640"/>
        <w:jc w:val="both"/>
      </w:pPr>
      <w:r>
        <w:rPr>
          <w:rFonts w:ascii="仿宋_GB2312" w:hAnsi="仿宋_GB2312" w:eastAsia="仿宋_GB2312"/>
          <w:sz w:val="32"/>
        </w:rPr>
        <w:t>（3）规范和指导全地区村镇建设的责任；指导和管理全地区建设行业的职工培训和继续教育工作；负责全地区住房公积金监督管理。</w:t>
      </w:r>
    </w:p>
    <w:p w14:paraId="366059FA">
      <w:pPr>
        <w:spacing w:line="640" w:lineRule="exact"/>
        <w:ind w:firstLine="640"/>
        <w:jc w:val="both"/>
        <w:outlineLvl w:val="2"/>
      </w:pPr>
      <w:r>
        <w:rPr>
          <w:rFonts w:ascii="黑体" w:hAnsi="黑体" w:eastAsia="黑体"/>
          <w:sz w:val="32"/>
        </w:rPr>
        <w:t>二、机构设置及人员情况</w:t>
      </w:r>
    </w:p>
    <w:p w14:paraId="59D81293">
      <w:pPr>
        <w:spacing w:line="580" w:lineRule="exact"/>
        <w:ind w:firstLine="640"/>
        <w:jc w:val="both"/>
      </w:pPr>
      <w:r>
        <w:rPr>
          <w:rFonts w:ascii="仿宋_GB2312" w:hAnsi="仿宋_GB2312" w:eastAsia="仿宋_GB2312"/>
          <w:sz w:val="32"/>
        </w:rPr>
        <w:t>和田地区住房和城乡建设局2024年度，实有人数44人，其中：在职人员24人，减少3人；离休人员1人，增加0人；退休人员19人,增加2人。</w:t>
      </w:r>
    </w:p>
    <w:p w14:paraId="42BAD10B">
      <w:pPr>
        <w:spacing w:line="580" w:lineRule="exact"/>
        <w:ind w:firstLine="640"/>
        <w:jc w:val="both"/>
      </w:pPr>
      <w:r>
        <w:rPr>
          <w:rFonts w:ascii="仿宋_GB2312" w:hAnsi="仿宋_GB2312" w:eastAsia="仿宋_GB2312"/>
          <w:sz w:val="32"/>
        </w:rPr>
        <w:t>和田地区住房和城乡建设局无下属预算单位，下设7个科室，分别是：办公室、质量安全监管科、住房保障和房地产科、建筑业市场管理科、城市建设科、村镇建设科、执法科。</w:t>
      </w:r>
    </w:p>
    <w:p w14:paraId="58B28BE2">
      <w:r>
        <w:br w:type="page"/>
      </w:r>
    </w:p>
    <w:p w14:paraId="3CC6390A">
      <w:pPr>
        <w:spacing w:line="240" w:lineRule="auto"/>
        <w:jc w:val="center"/>
        <w:outlineLvl w:val="1"/>
      </w:pPr>
      <w:r>
        <w:rPr>
          <w:rFonts w:ascii="黑体" w:hAnsi="黑体" w:eastAsia="黑体"/>
          <w:sz w:val="32"/>
        </w:rPr>
        <w:t>第二部分 部门决算情况说明</w:t>
      </w:r>
    </w:p>
    <w:p w14:paraId="3045E6EE">
      <w:pPr>
        <w:spacing w:line="640" w:lineRule="exact"/>
        <w:ind w:firstLine="640"/>
        <w:jc w:val="both"/>
        <w:outlineLvl w:val="2"/>
      </w:pPr>
      <w:r>
        <w:rPr>
          <w:rFonts w:ascii="黑体" w:hAnsi="黑体" w:eastAsia="黑体"/>
          <w:sz w:val="32"/>
        </w:rPr>
        <w:t>一、收入支出决算总体情况说明</w:t>
      </w:r>
    </w:p>
    <w:p w14:paraId="4610F534">
      <w:pPr>
        <w:spacing w:line="580" w:lineRule="exact"/>
        <w:ind w:firstLine="640"/>
        <w:jc w:val="both"/>
      </w:pPr>
      <w:r>
        <w:rPr>
          <w:rFonts w:ascii="仿宋_GB2312" w:hAnsi="仿宋_GB2312" w:eastAsia="仿宋_GB2312"/>
          <w:b/>
          <w:sz w:val="32"/>
        </w:rPr>
        <w:t>2024年度收入总计1,629.95万元，</w:t>
      </w:r>
      <w:r>
        <w:rPr>
          <w:rFonts w:ascii="仿宋_GB2312" w:hAnsi="仿宋_GB2312" w:eastAsia="仿宋_GB2312"/>
          <w:b w:val="0"/>
          <w:sz w:val="32"/>
        </w:rPr>
        <w:t>其中：本年收入合计1,629.95万元，使用非财政拨款结余（含专用结余）0.00万元，年初结转和结余0.00万元。</w:t>
      </w:r>
    </w:p>
    <w:p w14:paraId="77C586C6">
      <w:pPr>
        <w:spacing w:line="580" w:lineRule="exact"/>
        <w:ind w:firstLine="640"/>
        <w:jc w:val="both"/>
      </w:pPr>
      <w:r>
        <w:rPr>
          <w:rFonts w:ascii="仿宋_GB2312" w:hAnsi="仿宋_GB2312" w:eastAsia="仿宋_GB2312"/>
          <w:b/>
          <w:sz w:val="32"/>
        </w:rPr>
        <w:t>2024年度支出总计1,629.95万元，</w:t>
      </w:r>
      <w:r>
        <w:rPr>
          <w:rFonts w:ascii="仿宋_GB2312" w:hAnsi="仿宋_GB2312" w:eastAsia="仿宋_GB2312"/>
          <w:b w:val="0"/>
          <w:sz w:val="32"/>
        </w:rPr>
        <w:t>其中：本年支出合计1,621.07万元，结余分配0.00万元，年末结转和结余8.89万元。</w:t>
      </w:r>
    </w:p>
    <w:p w14:paraId="35C33656">
      <w:pPr>
        <w:spacing w:line="580" w:lineRule="exact"/>
        <w:ind w:firstLine="640"/>
        <w:jc w:val="both"/>
      </w:pPr>
      <w:r>
        <w:rPr>
          <w:rFonts w:ascii="仿宋_GB2312" w:hAnsi="仿宋_GB2312" w:eastAsia="仿宋_GB2312"/>
          <w:b w:val="0"/>
          <w:sz w:val="32"/>
        </w:rPr>
        <w:t>收入支出总体与上年相比，增加607.91万元，增长59.48%，主要原因是：本年增加退还企业保证金项目、和田热电联产集中供热专项规划项目、新设县前期规划编制费项目、和田地区新设县前期筹备运转工作经费项目。</w:t>
      </w:r>
    </w:p>
    <w:p w14:paraId="75D78EF0">
      <w:pPr>
        <w:spacing w:line="640" w:lineRule="exact"/>
        <w:ind w:firstLine="640"/>
        <w:jc w:val="both"/>
        <w:outlineLvl w:val="2"/>
      </w:pPr>
      <w:r>
        <w:rPr>
          <w:rFonts w:ascii="黑体" w:hAnsi="黑体" w:eastAsia="黑体"/>
          <w:sz w:val="32"/>
        </w:rPr>
        <w:t>二、收入决算情况说明</w:t>
      </w:r>
    </w:p>
    <w:p w14:paraId="2CC8A267">
      <w:pPr>
        <w:spacing w:line="580" w:lineRule="exact"/>
        <w:ind w:firstLine="640"/>
        <w:jc w:val="both"/>
      </w:pPr>
      <w:r>
        <w:rPr>
          <w:rFonts w:ascii="仿宋_GB2312" w:hAnsi="仿宋_GB2312" w:eastAsia="仿宋_GB2312"/>
          <w:b/>
          <w:sz w:val="32"/>
        </w:rPr>
        <w:t>本年收入1,629.95万元，</w:t>
      </w:r>
      <w:r>
        <w:rPr>
          <w:rFonts w:ascii="仿宋_GB2312" w:hAnsi="仿宋_GB2312" w:eastAsia="仿宋_GB2312"/>
          <w:b w:val="0"/>
          <w:sz w:val="32"/>
        </w:rPr>
        <w:t>其中：财政拨款收入1,574.95万元，占96.63%；上级补助收入0.00万元，占0.00%；事业收入0.00万元，占0.00%；经营收入0.00万元，占0.00%；附属单位上缴收入0.00万元，占0.00%；其他收入55.00万元，占3.37%。</w:t>
      </w:r>
    </w:p>
    <w:p w14:paraId="3CCB0B18">
      <w:pPr>
        <w:spacing w:line="640" w:lineRule="exact"/>
        <w:ind w:firstLine="640"/>
        <w:jc w:val="both"/>
        <w:outlineLvl w:val="2"/>
      </w:pPr>
      <w:r>
        <w:rPr>
          <w:rFonts w:ascii="黑体" w:hAnsi="黑体" w:eastAsia="黑体"/>
          <w:sz w:val="32"/>
        </w:rPr>
        <w:t>三、支出决算情况说明</w:t>
      </w:r>
    </w:p>
    <w:p w14:paraId="424FC2B7">
      <w:pPr>
        <w:spacing w:line="580" w:lineRule="exact"/>
        <w:ind w:firstLine="640"/>
        <w:jc w:val="both"/>
      </w:pPr>
      <w:r>
        <w:rPr>
          <w:rFonts w:ascii="仿宋_GB2312" w:hAnsi="仿宋_GB2312" w:eastAsia="仿宋_GB2312"/>
          <w:b/>
          <w:sz w:val="32"/>
        </w:rPr>
        <w:t>本年支出1,621.07万元，</w:t>
      </w:r>
      <w:r>
        <w:rPr>
          <w:rFonts w:ascii="仿宋_GB2312" w:hAnsi="仿宋_GB2312" w:eastAsia="仿宋_GB2312"/>
          <w:b w:val="0"/>
          <w:sz w:val="32"/>
        </w:rPr>
        <w:t>其中：基本支出692.92万元，占42.74%；项目支出928.14万元，占57.25%；上缴上级支出0.00万元，占0.00%；经营支出0.00万元，占0.00%；对附属单位补助支出0.00万元，占0.00%。</w:t>
      </w:r>
    </w:p>
    <w:p w14:paraId="2D8DC1EE">
      <w:pPr>
        <w:spacing w:line="640" w:lineRule="exact"/>
        <w:ind w:firstLine="640"/>
        <w:jc w:val="both"/>
        <w:outlineLvl w:val="2"/>
      </w:pPr>
      <w:r>
        <w:rPr>
          <w:rFonts w:ascii="黑体" w:hAnsi="黑体" w:eastAsia="黑体"/>
          <w:sz w:val="32"/>
        </w:rPr>
        <w:t>四、财政拨款收入支出决算总体情况说明</w:t>
      </w:r>
    </w:p>
    <w:p w14:paraId="7AF1C05E">
      <w:pPr>
        <w:spacing w:line="580" w:lineRule="exact"/>
        <w:ind w:firstLine="640"/>
        <w:jc w:val="both"/>
      </w:pPr>
      <w:r>
        <w:rPr>
          <w:rFonts w:ascii="仿宋_GB2312" w:hAnsi="仿宋_GB2312" w:eastAsia="仿宋_GB2312"/>
          <w:b/>
          <w:sz w:val="32"/>
        </w:rPr>
        <w:t>2024年度财政拨款收入总计1,574.95万元，</w:t>
      </w:r>
      <w:r>
        <w:rPr>
          <w:rFonts w:ascii="仿宋_GB2312" w:hAnsi="仿宋_GB2312" w:eastAsia="仿宋_GB2312"/>
          <w:b w:val="0"/>
          <w:sz w:val="32"/>
        </w:rPr>
        <w:t>其中：年初财政拨款结转和结余0.00万元，本年财政拨款收入1,574.95万元。</w:t>
      </w:r>
      <w:r>
        <w:rPr>
          <w:rFonts w:ascii="仿宋_GB2312" w:hAnsi="仿宋_GB2312" w:eastAsia="仿宋_GB2312"/>
          <w:b/>
          <w:sz w:val="32"/>
        </w:rPr>
        <w:t>财政拨款支出总计1,574.95万元，</w:t>
      </w:r>
      <w:r>
        <w:rPr>
          <w:rFonts w:ascii="仿宋_GB2312" w:hAnsi="仿宋_GB2312" w:eastAsia="仿宋_GB2312"/>
          <w:b w:val="0"/>
          <w:sz w:val="32"/>
        </w:rPr>
        <w:t>其中：年末财政拨款结转和结余0.00万元，本年财政拨款支出1,574.95万元。</w:t>
      </w:r>
    </w:p>
    <w:p w14:paraId="5B4705E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增加684.91万元，增长76.95%，主要原因是：本年增加退还企业履约保证金项目、和田热电联产集中供热专项规划项目、前期规划编制费项目、前期筹备运转工作经费项目。</w:t>
      </w:r>
      <w:r>
        <w:rPr>
          <w:rFonts w:ascii="仿宋_GB2312" w:hAnsi="仿宋_GB2312" w:eastAsia="仿宋_GB2312"/>
          <w:b/>
          <w:sz w:val="32"/>
        </w:rPr>
        <w:t>与年初预算相比，</w:t>
      </w:r>
      <w:r>
        <w:rPr>
          <w:rFonts w:ascii="仿宋_GB2312" w:hAnsi="仿宋_GB2312" w:eastAsia="仿宋_GB2312"/>
          <w:b w:val="0"/>
          <w:sz w:val="32"/>
        </w:rPr>
        <w:t>年初预算数890.71万元，决算数1,574.95万元，预决算差异率76.82%，主要原因是：年中追加退还企业履约保证金项目、和田热电联产集中供热专项规划项目、前期规划编制费项目、前期筹备运转工作经费项目，导致预决算存在差异。</w:t>
      </w:r>
    </w:p>
    <w:p w14:paraId="24C87AE9">
      <w:pPr>
        <w:spacing w:line="640" w:lineRule="exact"/>
        <w:ind w:firstLine="640"/>
        <w:jc w:val="both"/>
        <w:outlineLvl w:val="2"/>
      </w:pPr>
      <w:r>
        <w:rPr>
          <w:rFonts w:ascii="黑体" w:hAnsi="黑体" w:eastAsia="黑体"/>
          <w:sz w:val="32"/>
        </w:rPr>
        <w:t>五、一般公共预算财政拨款支出决算情况说明</w:t>
      </w:r>
    </w:p>
    <w:p w14:paraId="74F98495">
      <w:pPr>
        <w:spacing w:line="640" w:lineRule="exact"/>
        <w:ind w:firstLine="640"/>
        <w:jc w:val="both"/>
        <w:outlineLvl w:val="3"/>
      </w:pPr>
      <w:r>
        <w:rPr>
          <w:rFonts w:ascii="楷体_GB2312" w:hAnsi="楷体_GB2312" w:eastAsia="楷体_GB2312"/>
          <w:b/>
          <w:sz w:val="32"/>
        </w:rPr>
        <w:t>（一）一般公共预算财政拨款支出决算总体情况</w:t>
      </w:r>
    </w:p>
    <w:p w14:paraId="65B4A4AF">
      <w:pPr>
        <w:spacing w:line="580" w:lineRule="exact"/>
        <w:ind w:firstLine="640"/>
        <w:jc w:val="both"/>
      </w:pPr>
      <w:r>
        <w:rPr>
          <w:rFonts w:ascii="仿宋_GB2312" w:hAnsi="仿宋_GB2312" w:eastAsia="仿宋_GB2312"/>
          <w:b/>
          <w:sz w:val="32"/>
        </w:rPr>
        <w:t>2024年度一般公共预算财政拨款支出1,574.95万元，</w:t>
      </w:r>
      <w:r>
        <w:rPr>
          <w:rFonts w:ascii="仿宋_GB2312" w:hAnsi="仿宋_GB2312" w:eastAsia="仿宋_GB2312"/>
          <w:b w:val="0"/>
          <w:sz w:val="32"/>
        </w:rPr>
        <w:t>占本年支出合计的97.15%。</w:t>
      </w:r>
      <w:r>
        <w:rPr>
          <w:rFonts w:ascii="仿宋_GB2312" w:hAnsi="仿宋_GB2312" w:eastAsia="仿宋_GB2312"/>
          <w:b/>
          <w:sz w:val="32"/>
        </w:rPr>
        <w:t>与上年相比，</w:t>
      </w:r>
      <w:r>
        <w:rPr>
          <w:rFonts w:ascii="仿宋_GB2312" w:hAnsi="仿宋_GB2312" w:eastAsia="仿宋_GB2312"/>
          <w:b w:val="0"/>
          <w:sz w:val="32"/>
        </w:rPr>
        <w:t>增加684.91万元，增长76.95%，主要原因是：本年增加退还企业履约保证金项目、和田热电联产集中供热专项规划项目、前期规划编制费项目、前期筹备运转工作经费项目。</w:t>
      </w:r>
      <w:r>
        <w:rPr>
          <w:rFonts w:ascii="仿宋_GB2312" w:hAnsi="仿宋_GB2312" w:eastAsia="仿宋_GB2312"/>
          <w:b/>
          <w:sz w:val="32"/>
        </w:rPr>
        <w:t>与年初预算相比,</w:t>
      </w:r>
      <w:r>
        <w:rPr>
          <w:rFonts w:ascii="仿宋_GB2312" w:hAnsi="仿宋_GB2312" w:eastAsia="仿宋_GB2312"/>
          <w:b w:val="0"/>
          <w:sz w:val="32"/>
        </w:rPr>
        <w:t>年初预算数890.71万元，决算数1,574.95万元，预决算差异率76.82%，主要原因是：年中追加退还企业履约保证金项目、和田热电联产集中供热专项规划项目、前期规划编制费项目、前期筹备运转工作经费项目，导致预决算存在差异。</w:t>
      </w:r>
    </w:p>
    <w:p w14:paraId="3FAE5577">
      <w:pPr>
        <w:spacing w:line="640" w:lineRule="exact"/>
        <w:ind w:firstLine="640"/>
        <w:jc w:val="both"/>
        <w:outlineLvl w:val="3"/>
      </w:pPr>
      <w:r>
        <w:rPr>
          <w:rFonts w:ascii="楷体_GB2312" w:hAnsi="楷体_GB2312" w:eastAsia="楷体_GB2312"/>
          <w:b/>
          <w:sz w:val="32"/>
        </w:rPr>
        <w:t>（二）一般公共预算财政拨款支出决算结构情况</w:t>
      </w:r>
    </w:p>
    <w:p w14:paraId="26D1BA59">
      <w:pPr>
        <w:spacing w:line="580" w:lineRule="exact"/>
        <w:ind w:firstLine="640"/>
        <w:jc w:val="both"/>
      </w:pPr>
      <w:r>
        <w:rPr>
          <w:rFonts w:ascii="仿宋_GB2312" w:hAnsi="仿宋_GB2312" w:eastAsia="仿宋_GB2312"/>
          <w:b w:val="0"/>
          <w:sz w:val="32"/>
        </w:rPr>
        <w:t>1.社会保障和就业支出(类)132.99万元,占8.44%。</w:t>
      </w:r>
    </w:p>
    <w:p w14:paraId="7CD98580">
      <w:pPr>
        <w:spacing w:line="580" w:lineRule="exact"/>
        <w:ind w:firstLine="640"/>
        <w:jc w:val="both"/>
      </w:pPr>
      <w:r>
        <w:rPr>
          <w:rFonts w:ascii="仿宋_GB2312" w:hAnsi="仿宋_GB2312" w:eastAsia="仿宋_GB2312"/>
          <w:b w:val="0"/>
          <w:sz w:val="32"/>
        </w:rPr>
        <w:t>2.卫生健康支出(类)33.75万元,占2.14%。</w:t>
      </w:r>
    </w:p>
    <w:p w14:paraId="2D918692">
      <w:pPr>
        <w:spacing w:line="580" w:lineRule="exact"/>
        <w:ind w:firstLine="640"/>
        <w:jc w:val="both"/>
      </w:pPr>
      <w:r>
        <w:rPr>
          <w:rFonts w:ascii="仿宋_GB2312" w:hAnsi="仿宋_GB2312" w:eastAsia="仿宋_GB2312"/>
          <w:b w:val="0"/>
          <w:sz w:val="32"/>
        </w:rPr>
        <w:t>3.城乡社区支出(类)1,309.57万元,占83.15%。</w:t>
      </w:r>
    </w:p>
    <w:p w14:paraId="4751AD1B">
      <w:pPr>
        <w:spacing w:line="580" w:lineRule="exact"/>
        <w:ind w:firstLine="640"/>
        <w:jc w:val="both"/>
      </w:pPr>
      <w:r>
        <w:rPr>
          <w:rFonts w:ascii="仿宋_GB2312" w:hAnsi="仿宋_GB2312" w:eastAsia="仿宋_GB2312"/>
          <w:b w:val="0"/>
          <w:sz w:val="32"/>
        </w:rPr>
        <w:t>4.住房保障支出(类)45.59万元,占2.89%。</w:t>
      </w:r>
    </w:p>
    <w:p w14:paraId="00C1DDA6">
      <w:pPr>
        <w:spacing w:line="580" w:lineRule="exact"/>
        <w:ind w:firstLine="640"/>
        <w:jc w:val="both"/>
      </w:pPr>
      <w:r>
        <w:rPr>
          <w:rFonts w:ascii="仿宋_GB2312" w:hAnsi="仿宋_GB2312" w:eastAsia="仿宋_GB2312"/>
          <w:b w:val="0"/>
          <w:sz w:val="32"/>
        </w:rPr>
        <w:t>5.其他支出(类)53.05万元,占3.37%。</w:t>
      </w:r>
    </w:p>
    <w:p w14:paraId="4BCA39EE">
      <w:pPr>
        <w:spacing w:line="640" w:lineRule="exact"/>
        <w:ind w:firstLine="640"/>
        <w:jc w:val="both"/>
        <w:outlineLvl w:val="3"/>
      </w:pPr>
      <w:r>
        <w:rPr>
          <w:rFonts w:ascii="楷体_GB2312" w:hAnsi="楷体_GB2312" w:eastAsia="楷体_GB2312"/>
          <w:b/>
          <w:sz w:val="32"/>
        </w:rPr>
        <w:t>（三）一般公共预算财政拨款支出决算具体情况</w:t>
      </w:r>
    </w:p>
    <w:p w14:paraId="1FA2881E">
      <w:pPr>
        <w:spacing w:line="580" w:lineRule="exact"/>
        <w:ind w:firstLine="640"/>
        <w:jc w:val="both"/>
      </w:pPr>
      <w:r>
        <w:rPr>
          <w:rFonts w:ascii="仿宋_GB2312" w:hAnsi="仿宋_GB2312" w:eastAsia="仿宋_GB2312"/>
          <w:b w:val="0"/>
          <w:sz w:val="32"/>
        </w:rPr>
        <w:t>1.一般公共服务支出(类)组织事务(款)其他组织事务支出(项):支出决算数为0.00万元，比上年决算减少3.19万元，下降100.00%,主要原因是：本年科目调整，援疆干部生活补助资金由其他组织事务支出科目调整至其他支出科目支出，导致经费较上年减少。</w:t>
      </w:r>
    </w:p>
    <w:p w14:paraId="5B62B2A6">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54.23万元，比上年决算增加54.23万元，增长100.00%,主要原因是：本年功能科目调整，行政单位离退休上年度在主科目列支，本年单独列支，导致经费较上年增加。</w:t>
      </w:r>
    </w:p>
    <w:p w14:paraId="6BF2BB04">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59.31万元，比上年决算增加3.08万元，增长5.48%,主要原因是：本年在职人员工资基数调增，养老缴费基数上涨，相应支出增加。</w:t>
      </w:r>
    </w:p>
    <w:p w14:paraId="18719F28">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4.社会保障和就业支出(类)行政事业单位养老支出(款)机关事业单位职业年金缴费支出(项):支出决算数为19.45万元，比上年决算增加6.44万元，增长49.50%,主要原因是：本年新增退休人员，职业年金缴费支出增加。</w:t>
      </w:r>
    </w:p>
    <w:p w14:paraId="2DA1BC3F">
      <w:pPr>
        <w:spacing w:line="580" w:lineRule="exact"/>
        <w:ind w:firstLine="640"/>
        <w:jc w:val="both"/>
      </w:pPr>
      <w:r>
        <w:rPr>
          <w:rFonts w:ascii="仿宋_GB2312" w:hAnsi="仿宋_GB2312" w:eastAsia="仿宋_GB2312"/>
          <w:b w:val="0"/>
          <w:sz w:val="32"/>
        </w:rPr>
        <w:t>5.卫生健康支出(类)行政事业单位医疗(款)行政单位医疗(项):支出决算数为25.44万元，比上年决算增加25.44万元，增长100.00%,主要原因是：本年功能科目调整，行政单位医疗支出上年度在主科目列支，本年单独列支，导致经费较上年增加。</w:t>
      </w:r>
    </w:p>
    <w:p w14:paraId="3CB0FD44">
      <w:pPr>
        <w:spacing w:line="580" w:lineRule="exact"/>
        <w:ind w:firstLine="640"/>
        <w:jc w:val="both"/>
      </w:pPr>
      <w:r>
        <w:rPr>
          <w:rFonts w:ascii="仿宋_GB2312" w:hAnsi="仿宋_GB2312" w:eastAsia="仿宋_GB2312"/>
          <w:b w:val="0"/>
          <w:sz w:val="32"/>
        </w:rPr>
        <w:t>6.卫生健康支出(类)行政事业单位医疗(款)公务员医疗补助(项):支出决算数为8.31万元，比上年决算增加8.31万元，增长100.00%,主要原因是：本年功能科目调整，公务员医疗补助上年度在主科目列支，本年单独列支，导致经费较上年增加。</w:t>
      </w:r>
    </w:p>
    <w:p w14:paraId="64821988">
      <w:pPr>
        <w:spacing w:line="580" w:lineRule="exact"/>
        <w:ind w:firstLine="640"/>
        <w:jc w:val="both"/>
      </w:pPr>
      <w:r>
        <w:rPr>
          <w:rFonts w:ascii="仿宋_GB2312" w:hAnsi="仿宋_GB2312" w:eastAsia="仿宋_GB2312"/>
          <w:b w:val="0"/>
          <w:sz w:val="32"/>
        </w:rPr>
        <w:t>7.城乡社区支出(类)城乡社区管理事务(款)行政运行(项):支出决算数为480.60万元，比上年决算减少197.22万元，下降29.10%,主要原因是：本年功能科目调整，公务员医疗补助、行政单位离退休、住房公积金、行政单位医疗上年度在此科目列支，导致经费较上年减少。</w:t>
      </w:r>
    </w:p>
    <w:p w14:paraId="5837BEA8">
      <w:pPr>
        <w:spacing w:line="580" w:lineRule="exact"/>
        <w:ind w:firstLine="640"/>
        <w:jc w:val="both"/>
      </w:pPr>
      <w:r>
        <w:rPr>
          <w:rFonts w:ascii="仿宋_GB2312" w:hAnsi="仿宋_GB2312" w:eastAsia="仿宋_GB2312"/>
          <w:b w:val="0"/>
          <w:sz w:val="32"/>
        </w:rPr>
        <w:t>8.城乡社区支出(类)城乡社区管理事务(款)其他城乡社区管理事务支出(项):支出决算数为828.97万元，比上年决算增加742.12万元，增长854.48%,主要原因是：本年增加退还企业履约保证金项目、单位运行保障工作经费项目、和田热电联产集中供热专项规划项目、工程建设审批管理系统项目、前期规划编制费项目。</w:t>
      </w:r>
    </w:p>
    <w:p w14:paraId="47AFA0BF">
      <w:pPr>
        <w:spacing w:line="580" w:lineRule="exact"/>
        <w:ind w:firstLine="640"/>
        <w:jc w:val="both"/>
      </w:pPr>
      <w:r>
        <w:rPr>
          <w:rFonts w:ascii="仿宋_GB2312" w:hAnsi="仿宋_GB2312" w:eastAsia="仿宋_GB2312"/>
          <w:b w:val="0"/>
          <w:sz w:val="32"/>
        </w:rPr>
        <w:t>9.住房保障支出(类)住房改革支出(款)住房公积金(项):支出决算数为45.59万元，比上年决算增加45.59万元，增长100.00%,主要原因是：本年功能科目调整，住房公积金上年度在主科目列支，本年单独列支，导致经费较上年增加。</w:t>
      </w:r>
    </w:p>
    <w:p w14:paraId="786870F8">
      <w:pPr>
        <w:spacing w:line="580" w:lineRule="exact"/>
        <w:ind w:firstLine="640"/>
        <w:jc w:val="both"/>
      </w:pPr>
      <w:r>
        <w:rPr>
          <w:rFonts w:ascii="仿宋_GB2312" w:hAnsi="仿宋_GB2312" w:eastAsia="仿宋_GB2312"/>
          <w:b w:val="0"/>
          <w:sz w:val="32"/>
        </w:rPr>
        <w:t>10.灾害防治及应急管理支出(类)应急管理事务(款)灾害风险防治(项):支出决算数为0.00万元，比上年决算减少5.16万元，下降100.00%,主要原因是：本年未安排风险普查项目。</w:t>
      </w:r>
    </w:p>
    <w:p w14:paraId="55C51624">
      <w:pPr>
        <w:spacing w:line="580" w:lineRule="exact"/>
        <w:ind w:firstLine="640"/>
        <w:jc w:val="both"/>
      </w:pPr>
      <w:r>
        <w:rPr>
          <w:rFonts w:ascii="仿宋_GB2312" w:hAnsi="仿宋_GB2312" w:eastAsia="仿宋_GB2312"/>
          <w:b w:val="0"/>
          <w:sz w:val="32"/>
        </w:rPr>
        <w:t>11.其他支出(类)其他支出(款)其他支出(项):支出决算数为53.05万元，比上年决算增加5.28万元，增长11.05%,主要原因是：本年增加</w:t>
      </w:r>
      <w:bookmarkStart w:id="0" w:name="_GoBack"/>
      <w:bookmarkEnd w:id="0"/>
      <w:r>
        <w:rPr>
          <w:rFonts w:ascii="仿宋_GB2312" w:hAnsi="仿宋_GB2312" w:eastAsia="仿宋_GB2312"/>
          <w:b w:val="0"/>
          <w:sz w:val="32"/>
        </w:rPr>
        <w:t>前期筹备运转工作经费项目；本年科目调整，援疆干部生活补助资金由其他组织事务支出科目调整至其他支出科目支出，导致经费较上年增加。</w:t>
      </w:r>
    </w:p>
    <w:p w14:paraId="5636632C">
      <w:pPr>
        <w:spacing w:line="640" w:lineRule="exact"/>
        <w:ind w:firstLine="640"/>
        <w:jc w:val="both"/>
        <w:outlineLvl w:val="2"/>
      </w:pPr>
      <w:r>
        <w:rPr>
          <w:rFonts w:ascii="黑体" w:hAnsi="黑体" w:eastAsia="黑体"/>
          <w:sz w:val="32"/>
        </w:rPr>
        <w:t>六、一般公共预算财政拨款基本支出决算情况说明</w:t>
      </w:r>
    </w:p>
    <w:p w14:paraId="7BC241DC">
      <w:pPr>
        <w:spacing w:line="580" w:lineRule="exact"/>
        <w:ind w:firstLine="640"/>
        <w:jc w:val="both"/>
      </w:pPr>
      <w:r>
        <w:rPr>
          <w:rFonts w:ascii="仿宋_GB2312" w:hAnsi="仿宋_GB2312" w:eastAsia="仿宋_GB2312"/>
          <w:b w:val="0"/>
          <w:sz w:val="32"/>
        </w:rPr>
        <w:t>2024年度一般公共预算财政拨款基本支出692.92万元，其中：</w:t>
      </w:r>
      <w:r>
        <w:rPr>
          <w:rFonts w:ascii="仿宋_GB2312" w:hAnsi="仿宋_GB2312" w:eastAsia="仿宋_GB2312"/>
          <w:b/>
          <w:sz w:val="32"/>
        </w:rPr>
        <w:t>人员经费662.52万元，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包括：基本工资、津贴补贴、奖金、机关事业单位基本养老保险缴费、职业年金缴费、职工基本医疗保险缴费、公务员医疗补助缴费、其他社会保障缴费、住房公积金、离休费、退休费、生活补助。</w:t>
      </w:r>
    </w:p>
    <w:p w14:paraId="4DA4F358">
      <w:pPr>
        <w:spacing w:line="580" w:lineRule="exact"/>
        <w:ind w:firstLine="640"/>
        <w:jc w:val="both"/>
      </w:pPr>
      <w:r>
        <w:rPr>
          <w:rFonts w:ascii="仿宋_GB2312" w:hAnsi="仿宋_GB2312" w:eastAsia="仿宋_GB2312"/>
          <w:b/>
          <w:sz w:val="32"/>
        </w:rPr>
        <w:t>公用经费30.41万元，</w:t>
      </w:r>
      <w:r>
        <w:rPr>
          <w:rFonts w:ascii="仿宋_GB2312" w:hAnsi="仿宋_GB2312" w:eastAsia="仿宋_GB2312"/>
          <w:b w:val="0"/>
          <w:sz w:val="32"/>
        </w:rPr>
        <w:t>包括：办公费、水费、电费、取暖费、差旅费、工会经费、福利费、公务用车运行维护费、其他商品和服务支出。</w:t>
      </w:r>
    </w:p>
    <w:p w14:paraId="7AC42D5D">
      <w:pPr>
        <w:spacing w:line="640" w:lineRule="exact"/>
        <w:ind w:firstLine="640"/>
        <w:jc w:val="both"/>
        <w:outlineLvl w:val="2"/>
      </w:pPr>
      <w:r>
        <w:rPr>
          <w:rFonts w:ascii="黑体" w:hAnsi="黑体" w:eastAsia="黑体"/>
          <w:sz w:val="32"/>
        </w:rPr>
        <w:t>七、政府性基金预算财政拨款收入支出决算情况说明</w:t>
      </w:r>
    </w:p>
    <w:p w14:paraId="2824A2F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2B51225">
      <w:pPr>
        <w:spacing w:line="640" w:lineRule="exact"/>
        <w:ind w:firstLine="640"/>
        <w:jc w:val="both"/>
        <w:outlineLvl w:val="2"/>
      </w:pPr>
      <w:r>
        <w:rPr>
          <w:rFonts w:ascii="黑体" w:hAnsi="黑体" w:eastAsia="黑体"/>
          <w:sz w:val="32"/>
        </w:rPr>
        <w:t>八、国有资本经营预算财政拨款收入支出决算情况说明</w:t>
      </w:r>
    </w:p>
    <w:p w14:paraId="720DCB8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DD79E16">
      <w:pPr>
        <w:spacing w:line="640" w:lineRule="exact"/>
        <w:ind w:firstLine="640"/>
        <w:jc w:val="both"/>
        <w:outlineLvl w:val="2"/>
      </w:pPr>
      <w:r>
        <w:rPr>
          <w:rFonts w:ascii="黑体" w:hAnsi="黑体" w:eastAsia="黑体"/>
          <w:sz w:val="32"/>
        </w:rPr>
        <w:t>九、财政拨款“三公”经费支出决算情况说明</w:t>
      </w:r>
    </w:p>
    <w:p w14:paraId="2A40F58F">
      <w:pPr>
        <w:spacing w:line="580" w:lineRule="exact"/>
        <w:ind w:firstLine="640"/>
        <w:jc w:val="both"/>
      </w:pPr>
      <w:r>
        <w:rPr>
          <w:rFonts w:ascii="仿宋_GB2312" w:hAnsi="仿宋_GB2312" w:eastAsia="仿宋_GB2312"/>
          <w:b/>
          <w:sz w:val="32"/>
        </w:rPr>
        <w:t>2024年度财政拨款“三公”经费支出3.00万元，</w:t>
      </w:r>
      <w:r>
        <w:rPr>
          <w:rFonts w:ascii="仿宋_GB2312" w:hAnsi="仿宋_GB2312" w:eastAsia="仿宋_GB2312"/>
          <w:b w:val="0"/>
          <w:sz w:val="32"/>
        </w:rPr>
        <w:t>比上年增加1.00万元，增长50.00%，主要原因是：本年增加1辆公务用车，导致公务用车运行维护费较上年增加。其中：因公出国（境）费支出0.00万元，占0.00%，比上年增加0.00万元，增长0.00%，主要原因是：2023年与2024年均未安排因公出国（境）费支出。公务用车购置及运行维护费支出3.00万元，占100.00%，比上年增加1.00万元，增长50.00%，主要原因是：本年增加1辆公务用车，导致公务用车运行维护费较上年增加。公务接待费支出0.00万元，占0.00%，比上年增加0.00万元，增长0.00%，主要原因是：2023年与2024年均未安排公务接待费支出。</w:t>
      </w:r>
    </w:p>
    <w:p w14:paraId="0ECF850B">
      <w:pPr>
        <w:spacing w:line="580" w:lineRule="exact"/>
        <w:ind w:firstLine="640"/>
        <w:jc w:val="both"/>
      </w:pPr>
      <w:r>
        <w:rPr>
          <w:rFonts w:ascii="仿宋_GB2312" w:hAnsi="仿宋_GB2312" w:eastAsia="仿宋_GB2312"/>
          <w:b/>
          <w:sz w:val="32"/>
        </w:rPr>
        <w:t>具体情况如下：</w:t>
      </w:r>
    </w:p>
    <w:p w14:paraId="3EE5993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32C2C36">
      <w:pPr>
        <w:spacing w:line="580" w:lineRule="exact"/>
        <w:ind w:firstLine="640"/>
        <w:jc w:val="both"/>
      </w:pPr>
      <w:r>
        <w:rPr>
          <w:rFonts w:ascii="仿宋_GB2312" w:hAnsi="仿宋_GB2312" w:eastAsia="仿宋_GB2312"/>
          <w:b w:val="0"/>
          <w:sz w:val="32"/>
        </w:rPr>
        <w:t>公务用车购置及运行维护费3.00万元，其中：公务用车购置费0.00万元，公务用车运行维护费3.00万元。公务用车运行维护费开支内容包括车辆加油费、维修费、保险费、审车费、过路费。公务用车购置数0辆，公务用车保有量2辆。国有资产占用情况中固定资产车辆7辆，与公务用车保有量差异原因是：由于机构改革，原劳保统筹站撤销合并，</w:t>
      </w:r>
      <w:r>
        <w:rPr>
          <w:rFonts w:hint="eastAsia" w:ascii="仿宋_GB2312" w:hAnsi="仿宋_GB2312" w:eastAsia="仿宋_GB2312"/>
          <w:b w:val="0"/>
          <w:sz w:val="32"/>
          <w:lang w:val="en-US" w:eastAsia="zh-CN"/>
        </w:rPr>
        <w:t>固定</w:t>
      </w:r>
      <w:r>
        <w:rPr>
          <w:rFonts w:ascii="仿宋_GB2312" w:hAnsi="仿宋_GB2312" w:eastAsia="仿宋_GB2312"/>
          <w:b w:val="0"/>
          <w:sz w:val="32"/>
        </w:rPr>
        <w:t>资产车辆转入</w:t>
      </w:r>
      <w:r>
        <w:rPr>
          <w:rFonts w:hint="eastAsia" w:ascii="仿宋_GB2312" w:hAnsi="仿宋_GB2312" w:eastAsia="仿宋_GB2312"/>
          <w:b w:val="0"/>
          <w:sz w:val="32"/>
          <w:lang w:eastAsia="zh-CN"/>
        </w:rPr>
        <w:t>本单位</w:t>
      </w:r>
      <w:r>
        <w:rPr>
          <w:rFonts w:ascii="仿宋_GB2312" w:hAnsi="仿宋_GB2312" w:eastAsia="仿宋_GB2312"/>
          <w:b w:val="0"/>
          <w:sz w:val="32"/>
        </w:rPr>
        <w:t>，未使用公务用车运行维护费。</w:t>
      </w:r>
    </w:p>
    <w:p w14:paraId="753199F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3EC296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3.00万元，决算数3.00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3.00万元，决算数3.00万元，预决算差异率0.00%，主要原因是：严格按照预算执行，预决算无差异。公务接待费全年预算数0.00万元，决算数0.00万元，预决算差异率0.00%，主要原因是：本单位无公务接待费。</w:t>
      </w:r>
    </w:p>
    <w:p w14:paraId="7647700A">
      <w:pPr>
        <w:spacing w:line="640" w:lineRule="exact"/>
        <w:ind w:firstLine="640"/>
        <w:jc w:val="both"/>
        <w:outlineLvl w:val="2"/>
      </w:pPr>
      <w:r>
        <w:rPr>
          <w:rFonts w:ascii="黑体" w:hAnsi="黑体" w:eastAsia="黑体"/>
          <w:sz w:val="32"/>
        </w:rPr>
        <w:t>十、其他重要事项的情况说明</w:t>
      </w:r>
    </w:p>
    <w:p w14:paraId="3A0A5BD4">
      <w:pPr>
        <w:spacing w:line="640" w:lineRule="exact"/>
        <w:ind w:firstLine="640"/>
        <w:jc w:val="both"/>
        <w:outlineLvl w:val="3"/>
      </w:pPr>
      <w:r>
        <w:rPr>
          <w:rFonts w:ascii="楷体_GB2312" w:hAnsi="楷体_GB2312" w:eastAsia="楷体_GB2312"/>
          <w:b/>
          <w:sz w:val="32"/>
        </w:rPr>
        <w:t>（一）机关运行经费及公用经费支出情况</w:t>
      </w:r>
    </w:p>
    <w:p w14:paraId="345CCBD7">
      <w:pPr>
        <w:spacing w:line="580" w:lineRule="exact"/>
        <w:ind w:firstLine="640"/>
        <w:jc w:val="both"/>
      </w:pPr>
      <w:r>
        <w:rPr>
          <w:rFonts w:ascii="仿宋_GB2312" w:hAnsi="仿宋_GB2312" w:eastAsia="仿宋_GB2312"/>
          <w:b w:val="0"/>
          <w:sz w:val="32"/>
        </w:rPr>
        <w:t>2024年度和田地区住房和城乡建设局（行政单位和参照公务员法管理事业单位）机关运行经费支出30.41万元，比上年减少20.62万元，下降40.41%，主要原因是：本年办公费、差旅费、水费、电费均减少，导致机关运行经费减少。</w:t>
      </w:r>
    </w:p>
    <w:p w14:paraId="2B9AA669">
      <w:pPr>
        <w:spacing w:line="640" w:lineRule="exact"/>
        <w:ind w:firstLine="640"/>
        <w:jc w:val="both"/>
        <w:outlineLvl w:val="3"/>
      </w:pPr>
      <w:r>
        <w:rPr>
          <w:rFonts w:ascii="楷体_GB2312" w:hAnsi="楷体_GB2312" w:eastAsia="楷体_GB2312"/>
          <w:b/>
          <w:sz w:val="32"/>
        </w:rPr>
        <w:t>（二）政府采购情况</w:t>
      </w:r>
    </w:p>
    <w:p w14:paraId="54236A4F">
      <w:pPr>
        <w:spacing w:line="580" w:lineRule="exact"/>
        <w:ind w:firstLine="640"/>
        <w:jc w:val="both"/>
      </w:pPr>
      <w:r>
        <w:rPr>
          <w:rFonts w:ascii="仿宋_GB2312" w:hAnsi="仿宋_GB2312" w:eastAsia="仿宋_GB2312"/>
          <w:b w:val="0"/>
          <w:sz w:val="32"/>
        </w:rPr>
        <w:t>2024年度政府采购支出总额259.64万元，其中：政府采购货物支出35.55万元、政府采购工程支出0.00万元、政府采购服务支出224.09万元。</w:t>
      </w:r>
    </w:p>
    <w:p w14:paraId="1CD925ED">
      <w:pPr>
        <w:spacing w:line="580" w:lineRule="exact"/>
        <w:ind w:firstLine="640"/>
        <w:jc w:val="both"/>
      </w:pPr>
      <w:r>
        <w:rPr>
          <w:rFonts w:ascii="仿宋_GB2312" w:hAnsi="仿宋_GB2312" w:eastAsia="仿宋_GB2312"/>
          <w:b w:val="0"/>
          <w:sz w:val="32"/>
        </w:rPr>
        <w:t>授予中小企业合同金额259.64万元，占政府采购支出总额的100.00%，其中：授予小微企业合同金额259.64万元，占政府采购支出总额的100.00%。</w:t>
      </w:r>
    </w:p>
    <w:p w14:paraId="4B08029C">
      <w:pPr>
        <w:spacing w:line="640" w:lineRule="exact"/>
        <w:ind w:firstLine="640"/>
        <w:jc w:val="both"/>
        <w:outlineLvl w:val="3"/>
      </w:pPr>
      <w:r>
        <w:rPr>
          <w:rFonts w:ascii="楷体_GB2312" w:hAnsi="楷体_GB2312" w:eastAsia="楷体_GB2312"/>
          <w:b/>
          <w:sz w:val="32"/>
        </w:rPr>
        <w:t>（三）国有资产占用情况说明</w:t>
      </w:r>
    </w:p>
    <w:p w14:paraId="22F41B39">
      <w:pPr>
        <w:spacing w:line="580" w:lineRule="exact"/>
        <w:ind w:firstLine="640"/>
        <w:jc w:val="both"/>
      </w:pPr>
      <w:r>
        <w:rPr>
          <w:rFonts w:ascii="仿宋_GB2312" w:hAnsi="仿宋_GB2312" w:eastAsia="仿宋_GB2312"/>
          <w:b w:val="0"/>
          <w:sz w:val="32"/>
        </w:rPr>
        <w:t>截至2024年12月31日，房屋2,400.00平方米，价值250.38万元。车辆7辆，价值98.92万元，其中：副部（省）级及以上领导用车0辆、主要负责人用车0辆、机要通信用车0辆、应急保障用车0辆、执法执勤用车0辆、特种专业技术用车0辆、离退休干部服务用车0辆、其他用车7辆，其他用车主要是：一般公务用车</w:t>
      </w:r>
      <w:r>
        <w:rPr>
          <w:rFonts w:hint="eastAsia" w:ascii="仿宋_GB2312" w:hAnsi="仿宋_GB2312" w:eastAsia="仿宋_GB2312"/>
          <w:b w:val="0"/>
          <w:sz w:val="32"/>
          <w:lang w:val="en-US" w:eastAsia="zh-CN"/>
        </w:rPr>
        <w:t>及一般业务用车</w:t>
      </w:r>
      <w:r>
        <w:rPr>
          <w:rFonts w:ascii="仿宋_GB2312" w:hAnsi="仿宋_GB2312" w:eastAsia="仿宋_GB2312"/>
          <w:b w:val="0"/>
          <w:sz w:val="32"/>
        </w:rPr>
        <w:t>。单价100万元（含）以上设备（不含车辆）0台（套）。</w:t>
      </w:r>
    </w:p>
    <w:p w14:paraId="2521FE74">
      <w:pPr>
        <w:spacing w:line="640" w:lineRule="exact"/>
        <w:ind w:firstLine="640"/>
        <w:jc w:val="both"/>
        <w:outlineLvl w:val="2"/>
      </w:pPr>
      <w:r>
        <w:rPr>
          <w:rFonts w:ascii="黑体" w:hAnsi="黑体" w:eastAsia="黑体"/>
          <w:sz w:val="32"/>
        </w:rPr>
        <w:t>十一、预算绩效的情况说明</w:t>
      </w:r>
    </w:p>
    <w:p w14:paraId="0959AD74">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根据预算绩效管理要求，本单位2024年度预算绩效管理形成整体支出绩效自评表1个，全年预算总额1,629.95万元，实际执行总额1,621.06万元；预算绩效评价项目6个，全年预算数329.13万元，全年执行数328.22万元。</w:t>
      </w:r>
    </w:p>
    <w:p w14:paraId="4F81A07E">
      <w:pPr>
        <w:spacing w:line="580" w:lineRule="exact"/>
        <w:ind w:firstLine="640"/>
        <w:jc w:val="both"/>
        <w:rPr>
          <w:rFonts w:ascii="仿宋_GB2312" w:hAnsi="仿宋_GB2312" w:eastAsia="仿宋_GB2312"/>
          <w:b w:val="0"/>
          <w:sz w:val="32"/>
        </w:rPr>
      </w:pPr>
      <w:r>
        <w:rPr>
          <w:rFonts w:ascii="仿宋_GB2312" w:hAnsi="仿宋_GB2312" w:eastAsia="仿宋_GB2312"/>
          <w:b/>
          <w:bCs/>
          <w:sz w:val="32"/>
        </w:rPr>
        <w:t>预算绩效管理取得的成效：一是</w:t>
      </w:r>
      <w:r>
        <w:rPr>
          <w:rFonts w:ascii="仿宋_GB2312" w:hAnsi="仿宋_GB2312" w:eastAsia="仿宋_GB2312"/>
          <w:b w:val="0"/>
          <w:sz w:val="32"/>
        </w:rPr>
        <w:t>安全生产和应急管理规范运行。持续做好建设工程质量安全监管。</w:t>
      </w:r>
      <w:r>
        <w:rPr>
          <w:rFonts w:ascii="仿宋_GB2312" w:hAnsi="仿宋_GB2312" w:eastAsia="仿宋_GB2312"/>
          <w:b/>
          <w:bCs/>
          <w:sz w:val="32"/>
        </w:rPr>
        <w:t>二是</w:t>
      </w:r>
      <w:r>
        <w:rPr>
          <w:rFonts w:ascii="仿宋_GB2312" w:hAnsi="仿宋_GB2312" w:eastAsia="仿宋_GB2312"/>
          <w:b w:val="0"/>
          <w:sz w:val="32"/>
        </w:rPr>
        <w:t>严格抓好市政设施安全生产。持续开展城市体检工作，印发了《和田地区城镇燃气安全生产大排查工作实施方案》等，开展城镇燃气安全专项整治，排查各类安全隐患，所有安全隐患闭环整改；严格城镇供水规范化管理和二次供水管理，强化水质检测。</w:t>
      </w:r>
      <w:r>
        <w:rPr>
          <w:rFonts w:ascii="仿宋_GB2312" w:hAnsi="仿宋_GB2312" w:eastAsia="仿宋_GB2312"/>
          <w:b/>
          <w:bCs/>
          <w:sz w:val="32"/>
        </w:rPr>
        <w:t>三是</w:t>
      </w:r>
      <w:r>
        <w:rPr>
          <w:rFonts w:ascii="仿宋_GB2312" w:hAnsi="仿宋_GB2312" w:eastAsia="仿宋_GB2312"/>
          <w:b w:val="0"/>
          <w:sz w:val="32"/>
        </w:rPr>
        <w:t>进一步优化消防设计审查验收。利用和田地区工程建设项目审批系统和新疆工程建设消防云平台实现在线申报、不见面审批、无纸化审批、限时办结等。</w:t>
      </w:r>
    </w:p>
    <w:p w14:paraId="48B6C17C">
      <w:pPr>
        <w:spacing w:line="580" w:lineRule="exact"/>
        <w:ind w:firstLine="640"/>
        <w:jc w:val="both"/>
      </w:pPr>
      <w:r>
        <w:rPr>
          <w:rFonts w:ascii="仿宋_GB2312" w:hAnsi="仿宋_GB2312" w:eastAsia="仿宋_GB2312"/>
          <w:b/>
          <w:bCs/>
          <w:sz w:val="32"/>
        </w:rPr>
        <w:t>发现的问题及原因：一是</w:t>
      </w:r>
      <w:r>
        <w:rPr>
          <w:rFonts w:ascii="仿宋_GB2312" w:hAnsi="仿宋_GB2312" w:eastAsia="仿宋_GB2312"/>
          <w:b w:val="0"/>
          <w:sz w:val="32"/>
        </w:rPr>
        <w:t>落实全面从严治党存在差距，行业管理和制度约束存在漏洞，住建行业腐败案件多发频发。</w:t>
      </w:r>
      <w:r>
        <w:rPr>
          <w:rFonts w:ascii="仿宋_GB2312" w:hAnsi="仿宋_GB2312" w:eastAsia="仿宋_GB2312"/>
          <w:b/>
          <w:bCs/>
          <w:sz w:val="32"/>
        </w:rPr>
        <w:t>二是</w:t>
      </w:r>
      <w:r>
        <w:rPr>
          <w:rFonts w:ascii="仿宋_GB2312" w:hAnsi="仿宋_GB2312" w:eastAsia="仿宋_GB2312"/>
          <w:b w:val="0"/>
          <w:sz w:val="32"/>
        </w:rPr>
        <w:t>行业高素质、专业化人才队伍匮乏，住建人才队伍教育、培养、建设、管理机制不健全，干部综合素质、业务水平参差不齐，有的干部思想僵化，抓工作不注重改革创新，不学习先进经验，有的干部为民服务意识树得不牢、心里没有真正装着老百姓，没有时刻把群众安危冷暖放在心上，干部队伍工作能力亟待提升。</w:t>
      </w:r>
      <w:r>
        <w:rPr>
          <w:rFonts w:ascii="仿宋_GB2312" w:hAnsi="仿宋_GB2312" w:eastAsia="仿宋_GB2312"/>
          <w:b/>
          <w:bCs/>
          <w:sz w:val="32"/>
        </w:rPr>
        <w:t>三是</w:t>
      </w:r>
      <w:r>
        <w:rPr>
          <w:rFonts w:ascii="仿宋_GB2312" w:hAnsi="仿宋_GB2312" w:eastAsia="仿宋_GB2312"/>
          <w:b w:val="0"/>
          <w:sz w:val="32"/>
        </w:rPr>
        <w:t>重点项目建设有待加强</w:t>
      </w:r>
      <w:r>
        <w:rPr>
          <w:rFonts w:hint="eastAsia" w:ascii="仿宋_GB2312" w:hAnsi="仿宋_GB2312" w:eastAsia="仿宋_GB2312"/>
          <w:b w:val="0"/>
          <w:sz w:val="32"/>
          <w:lang w:val="en-US" w:eastAsia="zh-CN"/>
        </w:rPr>
        <w:t>,</w:t>
      </w:r>
      <w:r>
        <w:rPr>
          <w:rFonts w:ascii="仿宋_GB2312" w:hAnsi="仿宋_GB2312" w:eastAsia="仿宋_GB2312"/>
          <w:b w:val="0"/>
          <w:sz w:val="32"/>
        </w:rPr>
        <w:t>固投项目推进迟缓</w:t>
      </w:r>
      <w:r>
        <w:rPr>
          <w:rFonts w:hint="eastAsia" w:ascii="仿宋_GB2312" w:hAnsi="仿宋_GB2312" w:eastAsia="仿宋_GB2312"/>
          <w:b w:val="0"/>
          <w:sz w:val="32"/>
          <w:lang w:val="en-US" w:eastAsia="zh-CN"/>
        </w:rPr>
        <w:t>,</w:t>
      </w:r>
      <w:r>
        <w:rPr>
          <w:rFonts w:ascii="仿宋_GB2312" w:hAnsi="仿宋_GB2312" w:eastAsia="仿宋_GB2312"/>
          <w:b w:val="0"/>
          <w:sz w:val="32"/>
        </w:rPr>
        <w:t>项目统筹谋划不到位，变更频繁，土地供应不足，前期手续办理缓慢，致使保障性住房建设项目、城乡基础设施建设项目等重点项目推进迟缓。</w:t>
      </w:r>
    </w:p>
    <w:p w14:paraId="78ABA20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3F25291">
        <w:tblPrEx>
          <w:tblCellMar>
            <w:top w:w="0" w:type="dxa"/>
            <w:left w:w="108" w:type="dxa"/>
            <w:bottom w:w="0" w:type="dxa"/>
            <w:right w:w="108" w:type="dxa"/>
          </w:tblCellMar>
        </w:tblPrEx>
        <w:tc>
          <w:tcPr>
            <w:tcW w:w="8847" w:type="dxa"/>
            <w:gridSpan w:val="9"/>
            <w:vAlign w:val="center"/>
          </w:tcPr>
          <w:p w14:paraId="1A0C7BEE">
            <w:pPr>
              <w:jc w:val="center"/>
            </w:pPr>
            <w:r>
              <w:rPr>
                <w:rFonts w:ascii="宋体" w:hAnsi="宋体" w:eastAsia="宋体"/>
                <w:sz w:val="24"/>
              </w:rPr>
              <w:t>单位整体支出绩效自评表</w:t>
            </w:r>
          </w:p>
        </w:tc>
      </w:tr>
      <w:tr w14:paraId="57611826">
        <w:tblPrEx>
          <w:tblCellMar>
            <w:top w:w="0" w:type="dxa"/>
            <w:left w:w="108" w:type="dxa"/>
            <w:bottom w:w="0" w:type="dxa"/>
            <w:right w:w="108" w:type="dxa"/>
          </w:tblCellMar>
        </w:tblPrEx>
        <w:tc>
          <w:tcPr>
            <w:tcW w:w="8847" w:type="dxa"/>
            <w:gridSpan w:val="9"/>
            <w:vAlign w:val="center"/>
          </w:tcPr>
          <w:p w14:paraId="14F349BC">
            <w:pPr>
              <w:jc w:val="center"/>
            </w:pPr>
            <w:r>
              <w:rPr>
                <w:rFonts w:ascii="宋体" w:hAnsi="宋体" w:eastAsia="宋体"/>
                <w:sz w:val="24"/>
              </w:rPr>
              <w:t>（2024年度）</w:t>
            </w:r>
          </w:p>
        </w:tc>
      </w:tr>
      <w:tr w14:paraId="2EC4EF4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559F7">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1F21B87">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和田地区住房和城乡建设局</w:t>
            </w:r>
          </w:p>
        </w:tc>
      </w:tr>
      <w:tr w14:paraId="19A404F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99A13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DE85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8FB7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CE96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6BC3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8F2B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E55E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D642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r>
      <w:tr w14:paraId="28EAAF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089308">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1070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9646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892.44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AA59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1,629.95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42CD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1,621.06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615E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A57B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99.45%</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3385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9.95</w:t>
            </w:r>
          </w:p>
        </w:tc>
      </w:tr>
      <w:tr w14:paraId="3B0C0B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39960C">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235B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CCAC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E630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599.22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0EC0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599.22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9C1B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6F4A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5704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46188B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C7B50">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BCF0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7A6F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835.71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8567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975.73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A75D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975.72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E2C4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8E14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2092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3969F5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EC8B28">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DAB8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7BA6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72ED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4244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46.12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63FD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302B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78EA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0148B09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C508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3E5DF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D26F4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实际完成目标</w:t>
            </w:r>
          </w:p>
        </w:tc>
      </w:tr>
      <w:tr w14:paraId="125187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24F9F2">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2868D8">
            <w:pPr>
              <w:keepNext w:val="0"/>
              <w:keepLines w:val="0"/>
              <w:pageBreakBefore w:val="0"/>
              <w:widowControl w:val="0"/>
              <w:kinsoku/>
              <w:wordWrap/>
              <w:overflowPunct/>
              <w:topLinePunct w:val="0"/>
              <w:autoSpaceDE/>
              <w:autoSpaceDN/>
              <w:bidi w:val="0"/>
              <w:adjustRightInd/>
              <w:snapToGrid/>
              <w:spacing w:line="200" w:lineRule="exact"/>
              <w:jc w:val="both"/>
              <w:textAlignment w:val="auto"/>
            </w:pPr>
            <w:r>
              <w:rPr>
                <w:rFonts w:ascii="宋体" w:hAnsi="宋体" w:eastAsia="宋体"/>
                <w:sz w:val="16"/>
              </w:rPr>
              <w:t>2024年实现农房抗震防灾工程建设38套，实施推进住建领域行政权力事项实现线上审批制度，消防设施等安全隐患排查整治工作，有效实现“三公”经费控制率达100%，固定资产有效利用，规范单位采购业务，实现政府采购不少于90%，安全有效地使用资金，预算资金在2.0系统实现收入和支出，100%规范了资金的使用方式，通过2024年的努力，有效持续推进农村人居环境治理，提升人居环境整治水平，</w:t>
            </w:r>
            <w:r>
              <w:rPr>
                <w:rFonts w:hint="eastAsia" w:ascii="宋体" w:hAnsi="宋体"/>
                <w:sz w:val="16"/>
                <w:lang w:eastAsia="zh-CN"/>
              </w:rPr>
              <w:t>优化营商环境</w:t>
            </w:r>
            <w:r>
              <w:rPr>
                <w:rFonts w:ascii="宋体" w:hAnsi="宋体" w:eastAsia="宋体"/>
                <w:sz w:val="16"/>
              </w:rPr>
              <w:t>，提升企业活力，摸清了行业底数，解决行业合理诉求，推进了工程质量。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6514DE">
            <w:pPr>
              <w:keepNext w:val="0"/>
              <w:keepLines w:val="0"/>
              <w:pageBreakBefore w:val="0"/>
              <w:widowControl w:val="0"/>
              <w:kinsoku/>
              <w:wordWrap/>
              <w:overflowPunct/>
              <w:topLinePunct w:val="0"/>
              <w:autoSpaceDE/>
              <w:autoSpaceDN/>
              <w:bidi w:val="0"/>
              <w:adjustRightInd/>
              <w:snapToGrid/>
              <w:spacing w:line="200" w:lineRule="exact"/>
              <w:jc w:val="both"/>
              <w:textAlignment w:val="auto"/>
            </w:pPr>
            <w:r>
              <w:rPr>
                <w:rFonts w:hint="eastAsia" w:ascii="宋体" w:hAnsi="宋体"/>
                <w:sz w:val="16"/>
                <w:lang w:eastAsia="zh-CN"/>
              </w:rPr>
              <w:t>截至2024</w:t>
            </w:r>
            <w:r>
              <w:rPr>
                <w:rFonts w:ascii="宋体" w:hAnsi="宋体" w:eastAsia="宋体"/>
                <w:sz w:val="16"/>
              </w:rPr>
              <w:t>年12月31日，本单位实际完“三公”经费控制率100%，固定资产利用率店铺90%，政府采购规范率达100%，资金使用规范率达100%，推进住建领域行政权力事项实现线上审批率达90%，消防设施等安全隐患排查整治率达90%，完成农房抗震防灾工程建设135套，公众对部门履职效果满意度达95%，实际形成支出1621.06万元，通过完成以上工作，实现了持续推进美丽乡村建设行动，提升人居环境整治水平，规范公租房运行管理，房地产开发建设销售趋于平缓，党建引领物业高质量发展，强化建筑市场监管，持续优化营商环境。深化工程建设项目审批制度改革等效益。</w:t>
            </w:r>
          </w:p>
        </w:tc>
      </w:tr>
      <w:tr w14:paraId="2D188D4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1965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BA93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2D38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5244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CD95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87E9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AE06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ADA2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6F1B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r>
      <w:tr w14:paraId="0A09F07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7EDC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8722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94DE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hint="eastAsia" w:ascii="宋体" w:hAnsi="宋体"/>
                <w:sz w:val="16"/>
                <w:lang w:eastAsia="zh-CN"/>
              </w:rPr>
              <w:t>“三公”经费</w:t>
            </w:r>
            <w:r>
              <w:rPr>
                <w:rFonts w:ascii="宋体" w:hAnsi="宋体" w:eastAsia="宋体"/>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10DA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BB11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中央文件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0336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0A7C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4FA4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97C9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r>
      <w:tr w14:paraId="55532C6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C843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DDD088">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4291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固定资产利用率（%）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67A4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7EF0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关于印发《2024年和田住房城乡建设工作要点》的通知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3932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39BA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2AD7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7807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r>
      <w:tr w14:paraId="0B79A7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5ECCE7">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79D13B">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6E78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政府采购规范率(%）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5135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47D4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年初资金预算管理相关文件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8DF2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F22E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D1CC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2001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r>
      <w:tr w14:paraId="101E0C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2626F9">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4CA4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1ED4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资金使用规范率（%）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1EA4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5862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年初资金预算管理相关文件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0E47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D2CF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5898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3872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r>
      <w:tr w14:paraId="10F9F0B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E4FF6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940F29">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900F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农房抗震防灾工程建设套数(套）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C6E4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≥38套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CDFE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关于印发《2024年和田住房城乡建设工作要点》的通知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1ABB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2D47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135套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5A21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DCEF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15</w:t>
            </w:r>
          </w:p>
        </w:tc>
      </w:tr>
      <w:tr w14:paraId="079A6A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57A586">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B85171">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CA05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推进住建领域行政权力事项实现线上审批率（%）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A4DA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318E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关于印发《2024年和田住房城乡建设工作要点》的通知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8C3A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3843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8ED6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12C8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r>
      <w:tr w14:paraId="0449FD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1D4031">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A7636A">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4D00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消防设施等安全隐患排查整治率（%)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3CDF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8240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关于印发《2024年和田住房城乡建设工作要点》的通知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D340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720C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B7A6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DC45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15</w:t>
            </w:r>
          </w:p>
        </w:tc>
      </w:tr>
      <w:tr w14:paraId="7C81804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F931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B92D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057F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9FA3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0922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关于印发《2024年和田住房城乡建设工作要点》的通知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320F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58C1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01F8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95D3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r>
    </w:tbl>
    <w:p w14:paraId="0776C88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8C56974">
        <w:tblPrEx>
          <w:tblCellMar>
            <w:top w:w="0" w:type="dxa"/>
            <w:left w:w="108" w:type="dxa"/>
            <w:bottom w:w="0" w:type="dxa"/>
            <w:right w:w="108" w:type="dxa"/>
          </w:tblCellMar>
        </w:tblPrEx>
        <w:tc>
          <w:tcPr>
            <w:tcW w:w="8847" w:type="dxa"/>
            <w:gridSpan w:val="9"/>
            <w:vAlign w:val="center"/>
          </w:tcPr>
          <w:p w14:paraId="5455FD6B">
            <w:pPr>
              <w:jc w:val="center"/>
            </w:pPr>
            <w:r>
              <w:rPr>
                <w:rFonts w:ascii="宋体" w:hAnsi="宋体" w:eastAsia="宋体"/>
                <w:sz w:val="24"/>
              </w:rPr>
              <w:t>项目支出绩效自评表</w:t>
            </w:r>
          </w:p>
        </w:tc>
      </w:tr>
      <w:tr w14:paraId="48BC319C">
        <w:tblPrEx>
          <w:tblCellMar>
            <w:top w:w="0" w:type="dxa"/>
            <w:left w:w="108" w:type="dxa"/>
            <w:bottom w:w="0" w:type="dxa"/>
            <w:right w:w="108" w:type="dxa"/>
          </w:tblCellMar>
        </w:tblPrEx>
        <w:tc>
          <w:tcPr>
            <w:tcW w:w="8847" w:type="dxa"/>
            <w:gridSpan w:val="9"/>
            <w:vAlign w:val="center"/>
          </w:tcPr>
          <w:p w14:paraId="11301AAE">
            <w:pPr>
              <w:jc w:val="center"/>
            </w:pPr>
            <w:r>
              <w:rPr>
                <w:rFonts w:ascii="宋体" w:hAnsi="宋体" w:eastAsia="宋体"/>
                <w:sz w:val="24"/>
              </w:rPr>
              <w:t>(2024年度)</w:t>
            </w:r>
          </w:p>
        </w:tc>
      </w:tr>
      <w:tr w14:paraId="5687BEA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0CECF">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FCFA2A9">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2024年援疆干部人才南疆工作补贴项目</w:t>
            </w:r>
          </w:p>
        </w:tc>
      </w:tr>
      <w:tr w14:paraId="4373F9B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F72ED">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F7DA26">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和田地区住房和城乡建设局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42429">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E8AF49">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和田地区住房和城乡建设局</w:t>
            </w:r>
          </w:p>
        </w:tc>
      </w:tr>
      <w:tr w14:paraId="256D7F4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05CB4">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2CB74">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D8397">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C16C0">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83D45">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C5BE8">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36CC0">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D8D3A">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得分</w:t>
            </w:r>
          </w:p>
        </w:tc>
      </w:tr>
      <w:tr w14:paraId="19DF77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946ECD">
            <w:pPr>
              <w:keepNext w:val="0"/>
              <w:keepLines w:val="0"/>
              <w:pageBreakBefore w:val="0"/>
              <w:widowControl w:val="0"/>
              <w:kinsoku/>
              <w:wordWrap/>
              <w:overflowPunct/>
              <w:topLinePunct w:val="0"/>
              <w:autoSpaceDE/>
              <w:autoSpaceDN/>
              <w:bidi w:val="0"/>
              <w:adjustRightInd/>
              <w:snapToGrid/>
              <w:spacing w:line="3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80179">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B9EC0">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2.23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87ED3">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2.23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ACAE9">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2.23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73168">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16DA0">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3C366">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10.00分</w:t>
            </w:r>
          </w:p>
        </w:tc>
      </w:tr>
      <w:tr w14:paraId="6050F3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FBDC55">
            <w:pPr>
              <w:keepNext w:val="0"/>
              <w:keepLines w:val="0"/>
              <w:pageBreakBefore w:val="0"/>
              <w:widowControl w:val="0"/>
              <w:kinsoku/>
              <w:wordWrap/>
              <w:overflowPunct/>
              <w:topLinePunct w:val="0"/>
              <w:autoSpaceDE/>
              <w:autoSpaceDN/>
              <w:bidi w:val="0"/>
              <w:adjustRightInd/>
              <w:snapToGrid/>
              <w:spacing w:line="3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75608">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90B6F">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2.23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4E297">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2.23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B3255">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2.23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0D0FA">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9C9FA">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A7BE6">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w:t>
            </w:r>
          </w:p>
        </w:tc>
      </w:tr>
      <w:tr w14:paraId="0F4292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291ADF">
            <w:pPr>
              <w:keepNext w:val="0"/>
              <w:keepLines w:val="0"/>
              <w:pageBreakBefore w:val="0"/>
              <w:widowControl w:val="0"/>
              <w:kinsoku/>
              <w:wordWrap/>
              <w:overflowPunct/>
              <w:topLinePunct w:val="0"/>
              <w:autoSpaceDE/>
              <w:autoSpaceDN/>
              <w:bidi w:val="0"/>
              <w:adjustRightInd/>
              <w:snapToGrid/>
              <w:spacing w:line="3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21042">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B812D">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1F486">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3A053">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C08AD">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EA68C">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963E1">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w:t>
            </w:r>
          </w:p>
        </w:tc>
      </w:tr>
      <w:tr w14:paraId="6AF931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F08740">
            <w:pPr>
              <w:keepNext w:val="0"/>
              <w:keepLines w:val="0"/>
              <w:pageBreakBefore w:val="0"/>
              <w:widowControl w:val="0"/>
              <w:kinsoku/>
              <w:wordWrap/>
              <w:overflowPunct/>
              <w:topLinePunct w:val="0"/>
              <w:autoSpaceDE/>
              <w:autoSpaceDN/>
              <w:bidi w:val="0"/>
              <w:adjustRightInd/>
              <w:snapToGrid/>
              <w:spacing w:line="3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C1BC6">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13254">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5871D">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9807F">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67157">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7435F">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289C0">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w:t>
            </w:r>
          </w:p>
        </w:tc>
      </w:tr>
      <w:tr w14:paraId="08A058E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C61C7">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CEC773">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9989F4">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r>
              <w:rPr>
                <w:rFonts w:ascii="宋体" w:hAnsi="宋体" w:eastAsia="宋体"/>
                <w:sz w:val="16"/>
              </w:rPr>
              <w:t>实际完成情况</w:t>
            </w:r>
          </w:p>
        </w:tc>
      </w:tr>
      <w:tr w14:paraId="6E7BCF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C2991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A3F92D">
            <w:pPr>
              <w:keepNext w:val="0"/>
              <w:keepLines w:val="0"/>
              <w:pageBreakBefore w:val="0"/>
              <w:widowControl w:val="0"/>
              <w:kinsoku/>
              <w:wordWrap/>
              <w:overflowPunct/>
              <w:topLinePunct w:val="0"/>
              <w:autoSpaceDE/>
              <w:autoSpaceDN/>
              <w:bidi w:val="0"/>
              <w:adjustRightInd/>
              <w:snapToGrid/>
              <w:spacing w:line="240" w:lineRule="exact"/>
              <w:jc w:val="both"/>
              <w:textAlignment w:val="auto"/>
            </w:pPr>
            <w:r>
              <w:rPr>
                <w:rFonts w:ascii="宋体" w:hAnsi="宋体" w:eastAsia="宋体"/>
                <w:sz w:val="16"/>
              </w:rPr>
              <w:t>本项目主要实施内容为：援疆</w:t>
            </w:r>
            <w:r>
              <w:rPr>
                <w:rFonts w:hint="eastAsia" w:ascii="宋体" w:hAnsi="宋体"/>
                <w:sz w:val="16"/>
                <w:lang w:eastAsia="zh-CN"/>
              </w:rPr>
              <w:t>干部</w:t>
            </w:r>
            <w:r>
              <w:rPr>
                <w:rFonts w:ascii="宋体" w:hAnsi="宋体" w:eastAsia="宋体"/>
                <w:sz w:val="16"/>
              </w:rPr>
              <w:t>2人，发放援疆干部南疆工作补贴12月,项目总投资为2.23万元，项目计划于2024年12月完成。通过本项目的实施，可有效指导和田地区建筑行业规范运行，待项目实施完成，争取使受益人群满意度不低于95%。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D4EC9D">
            <w:pPr>
              <w:keepNext w:val="0"/>
              <w:keepLines w:val="0"/>
              <w:pageBreakBefore w:val="0"/>
              <w:widowControl w:val="0"/>
              <w:kinsoku/>
              <w:wordWrap/>
              <w:overflowPunct/>
              <w:topLinePunct w:val="0"/>
              <w:autoSpaceDE/>
              <w:autoSpaceDN/>
              <w:bidi w:val="0"/>
              <w:adjustRightInd/>
              <w:snapToGrid/>
              <w:spacing w:line="240" w:lineRule="exact"/>
              <w:jc w:val="both"/>
              <w:textAlignment w:val="auto"/>
            </w:pPr>
            <w:r>
              <w:rPr>
                <w:rFonts w:hint="eastAsia" w:ascii="宋体" w:hAnsi="宋体"/>
                <w:sz w:val="16"/>
                <w:lang w:eastAsia="zh-CN"/>
              </w:rPr>
              <w:t>截至</w:t>
            </w:r>
            <w:r>
              <w:rPr>
                <w:rFonts w:ascii="宋体" w:hAnsi="宋体" w:eastAsia="宋体"/>
                <w:sz w:val="16"/>
              </w:rPr>
              <w:t>2024年12月31日，本项目实际形成支出2.23万元，已完成发放援疆工作补贴2人1年12个月全覆盖目标，达到了指导和田地区建筑行业规范运行效益，受益援疆干部</w:t>
            </w:r>
            <w:r>
              <w:rPr>
                <w:rFonts w:hint="eastAsia" w:ascii="宋体" w:hAnsi="宋体"/>
                <w:sz w:val="16"/>
                <w:lang w:eastAsia="zh-CN"/>
              </w:rPr>
              <w:t>满意度</w:t>
            </w:r>
            <w:r>
              <w:rPr>
                <w:rFonts w:ascii="宋体" w:hAnsi="宋体" w:eastAsia="宋体"/>
                <w:sz w:val="16"/>
              </w:rPr>
              <w:t>达到95%。</w:t>
            </w:r>
            <w:r>
              <w:rPr>
                <w:rFonts w:ascii="宋体" w:hAnsi="宋体" w:eastAsia="宋体"/>
                <w:sz w:val="16"/>
              </w:rPr>
              <w:br w:type="textWrapping"/>
            </w:r>
          </w:p>
        </w:tc>
      </w:tr>
      <w:tr w14:paraId="1CD39F7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2BBC127">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EC2A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F6ED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808B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D49B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FF88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90CB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9410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C494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偏差原因分析及改进措施</w:t>
            </w:r>
          </w:p>
        </w:tc>
      </w:tr>
      <w:tr w14:paraId="64D3DD7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E8B5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CE37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6215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417A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发放援疆工作补贴人数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7C73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4F83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067F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CE4F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EABF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4E93B3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648936">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E56397">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AC1000">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D84A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发放援疆干部南疆工作补贴月数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2A9A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B811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EE50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6D24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9D23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02020F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3A1A3D">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431B35">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C40A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278C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南疆人作补贴发放覆盖率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4C3F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A84A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7FA7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CBA7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E8C4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45D15E4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4213C1">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50B123">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DCE8D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FC01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1CE0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E2C4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5824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2EB9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B1DB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71334F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06B1C9">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17F6CF">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F37344">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4F9A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资金支付及时性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AA70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6F82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8049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43A1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85A0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24FAFD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CB27D5">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FF91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1644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FE44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援疆干部人才南疆工作补贴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E74A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hint="eastAsia" w:ascii="宋体" w:hAnsi="宋体" w:eastAsia="宋体" w:cs="宋体"/>
                <w:sz w:val="16"/>
              </w:rPr>
              <w:t>≤</w:t>
            </w:r>
            <w:r>
              <w:rPr>
                <w:rFonts w:ascii="宋体" w:hAnsi="宋体" w:eastAsia="宋体"/>
                <w:sz w:val="16"/>
              </w:rPr>
              <w:t>2.23万元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8580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0BD7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7D06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7E5F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70EADE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54FFDD">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F18B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1BE2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525F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指导和田地区建筑行业规范运行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8C89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3FAC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A4DB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F923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05AA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08A57A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D9C0AD">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C20C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4D3E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A3AB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受益援疆干部满意度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B234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E8F4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31F4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3C33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D720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74392F58">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B0EC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7CE57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F27E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5D845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100分</w:t>
            </w:r>
          </w:p>
        </w:tc>
      </w:tr>
    </w:tbl>
    <w:p w14:paraId="745DF9F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E86C20D">
        <w:tblPrEx>
          <w:tblCellMar>
            <w:top w:w="0" w:type="dxa"/>
            <w:left w:w="108" w:type="dxa"/>
            <w:bottom w:w="0" w:type="dxa"/>
            <w:right w:w="108" w:type="dxa"/>
          </w:tblCellMar>
        </w:tblPrEx>
        <w:tc>
          <w:tcPr>
            <w:tcW w:w="8847" w:type="dxa"/>
            <w:gridSpan w:val="9"/>
            <w:vAlign w:val="center"/>
          </w:tcPr>
          <w:p w14:paraId="5F5D31C2">
            <w:pPr>
              <w:jc w:val="center"/>
            </w:pPr>
            <w:r>
              <w:rPr>
                <w:rFonts w:ascii="宋体" w:hAnsi="宋体" w:eastAsia="宋体"/>
                <w:sz w:val="24"/>
              </w:rPr>
              <w:t>项目支出绩效自评表</w:t>
            </w:r>
          </w:p>
        </w:tc>
      </w:tr>
      <w:tr w14:paraId="30686410">
        <w:tblPrEx>
          <w:tblCellMar>
            <w:top w:w="0" w:type="dxa"/>
            <w:left w:w="108" w:type="dxa"/>
            <w:bottom w:w="0" w:type="dxa"/>
            <w:right w:w="108" w:type="dxa"/>
          </w:tblCellMar>
        </w:tblPrEx>
        <w:tc>
          <w:tcPr>
            <w:tcW w:w="8847" w:type="dxa"/>
            <w:gridSpan w:val="9"/>
            <w:vAlign w:val="center"/>
          </w:tcPr>
          <w:p w14:paraId="5A759503">
            <w:pPr>
              <w:jc w:val="center"/>
            </w:pPr>
            <w:r>
              <w:rPr>
                <w:rFonts w:ascii="宋体" w:hAnsi="宋体" w:eastAsia="宋体"/>
                <w:sz w:val="24"/>
              </w:rPr>
              <w:t>(2024年度)</w:t>
            </w:r>
          </w:p>
        </w:tc>
      </w:tr>
      <w:tr w14:paraId="1E8598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B1DD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C78A03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2024年自治区驻村工作专项经费项目</w:t>
            </w:r>
          </w:p>
        </w:tc>
      </w:tr>
      <w:tr w14:paraId="6A330ED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A4AF4">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6A1E2F">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和田地区住房和城乡建设局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44DFF">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23305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和田地区住房和城乡建设局</w:t>
            </w:r>
          </w:p>
        </w:tc>
      </w:tr>
      <w:tr w14:paraId="3163F9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7693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CDF4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1BD1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8776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1BFC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9CC7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18E1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3A04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r>
      <w:tr w14:paraId="5F26A1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4B59D5">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AE9C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7AB9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49.73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80E3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49.73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A4EF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48.82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AD9E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2327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 xml:space="preserve">98.17%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D556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9.54分</w:t>
            </w:r>
          </w:p>
        </w:tc>
      </w:tr>
      <w:tr w14:paraId="5043FD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CCDBDC">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E74E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AA1A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3C88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69D0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47.09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FC57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F892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8E63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493997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76A938">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F2E5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44C2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7AA2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6B23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4AA7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24CF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393D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784909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012BEA">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AB48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0FBF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A9EE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808B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1AD5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08AB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4706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31674DA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8B4D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8FB95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84D49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实际完成情况</w:t>
            </w:r>
          </w:p>
        </w:tc>
      </w:tr>
      <w:tr w14:paraId="40CE91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B3F599">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C88979">
            <w:pPr>
              <w:keepNext w:val="0"/>
              <w:keepLines w:val="0"/>
              <w:pageBreakBefore w:val="0"/>
              <w:widowControl w:val="0"/>
              <w:kinsoku/>
              <w:wordWrap/>
              <w:overflowPunct/>
              <w:topLinePunct w:val="0"/>
              <w:autoSpaceDE/>
              <w:autoSpaceDN/>
              <w:bidi w:val="0"/>
              <w:adjustRightInd/>
              <w:snapToGrid/>
              <w:spacing w:line="200" w:lineRule="exact"/>
              <w:jc w:val="both"/>
              <w:textAlignment w:val="auto"/>
            </w:pPr>
            <w:r>
              <w:rPr>
                <w:rFonts w:ascii="宋体" w:hAnsi="宋体" w:eastAsia="宋体"/>
                <w:sz w:val="16"/>
              </w:rPr>
              <w:t>本项目主要实施内容为：保障驻村工作点4个，</w:t>
            </w:r>
            <w:r>
              <w:rPr>
                <w:rFonts w:hint="eastAsia" w:ascii="宋体" w:hAnsi="宋体"/>
                <w:sz w:val="16"/>
                <w:lang w:eastAsia="zh-CN"/>
              </w:rPr>
              <w:t>配驻村干部</w:t>
            </w:r>
            <w:r>
              <w:rPr>
                <w:rFonts w:ascii="宋体" w:hAnsi="宋体" w:eastAsia="宋体"/>
                <w:sz w:val="16"/>
              </w:rPr>
              <w:t>24人,项目总投资为49.73万元，项目计划于2024年12月完成。通过本项目的实施，可有效</w:t>
            </w:r>
            <w:r>
              <w:rPr>
                <w:rFonts w:hint="eastAsia" w:ascii="宋体" w:hAnsi="宋体"/>
                <w:sz w:val="16"/>
                <w:lang w:eastAsia="zh-CN"/>
              </w:rPr>
              <w:t>加强基层组织建设</w:t>
            </w:r>
            <w:r>
              <w:rPr>
                <w:rFonts w:ascii="宋体" w:hAnsi="宋体" w:eastAsia="宋体"/>
                <w:sz w:val="16"/>
              </w:rPr>
              <w:t>，</w:t>
            </w:r>
            <w:r>
              <w:rPr>
                <w:rFonts w:hint="eastAsia" w:ascii="宋体" w:hAnsi="宋体"/>
                <w:sz w:val="16"/>
                <w:lang w:eastAsia="zh-CN"/>
              </w:rPr>
              <w:t>帮助村民解决生活、就业、就医等困难，</w:t>
            </w:r>
            <w:r>
              <w:rPr>
                <w:rFonts w:ascii="宋体" w:hAnsi="宋体" w:eastAsia="宋体"/>
                <w:sz w:val="16"/>
              </w:rPr>
              <w:t>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ECC5F1">
            <w:pPr>
              <w:keepNext w:val="0"/>
              <w:keepLines w:val="0"/>
              <w:pageBreakBefore w:val="0"/>
              <w:widowControl w:val="0"/>
              <w:kinsoku/>
              <w:wordWrap/>
              <w:overflowPunct/>
              <w:topLinePunct w:val="0"/>
              <w:autoSpaceDE/>
              <w:autoSpaceDN/>
              <w:bidi w:val="0"/>
              <w:adjustRightInd/>
              <w:snapToGrid/>
              <w:spacing w:line="200" w:lineRule="exact"/>
              <w:jc w:val="both"/>
              <w:textAlignment w:val="auto"/>
            </w:pPr>
            <w:r>
              <w:rPr>
                <w:rFonts w:hint="eastAsia" w:ascii="宋体" w:hAnsi="宋体"/>
                <w:sz w:val="16"/>
                <w:lang w:eastAsia="zh-CN"/>
              </w:rPr>
              <w:t>截至</w:t>
            </w:r>
            <w:r>
              <w:rPr>
                <w:rFonts w:ascii="宋体" w:hAnsi="宋体" w:eastAsia="宋体"/>
                <w:sz w:val="16"/>
              </w:rPr>
              <w:t>2024年12月31日，本项目实际形成支出48.82万元，已经完成对4个村24人工作队员的派遣工作的任务，有效</w:t>
            </w:r>
            <w:r>
              <w:rPr>
                <w:rFonts w:hint="eastAsia" w:ascii="宋体" w:hAnsi="宋体"/>
                <w:sz w:val="16"/>
                <w:lang w:eastAsia="zh-CN"/>
              </w:rPr>
              <w:t>加强基层组织建设</w:t>
            </w:r>
            <w:r>
              <w:rPr>
                <w:rFonts w:ascii="宋体" w:hAnsi="宋体" w:eastAsia="宋体"/>
                <w:sz w:val="16"/>
              </w:rPr>
              <w:t>，</w:t>
            </w:r>
            <w:r>
              <w:rPr>
                <w:rFonts w:hint="eastAsia" w:ascii="宋体" w:hAnsi="宋体"/>
                <w:sz w:val="16"/>
                <w:lang w:eastAsia="zh-CN"/>
              </w:rPr>
              <w:t>帮助村民解决生活、就业、就医等困难，</w:t>
            </w:r>
            <w:r>
              <w:rPr>
                <w:rFonts w:ascii="宋体" w:hAnsi="宋体" w:eastAsia="宋体"/>
                <w:sz w:val="16"/>
              </w:rPr>
              <w:t>加深</w:t>
            </w:r>
            <w:r>
              <w:rPr>
                <w:rFonts w:hint="eastAsia" w:ascii="宋体" w:hAnsi="宋体"/>
                <w:sz w:val="16"/>
                <w:lang w:eastAsia="zh-CN"/>
              </w:rPr>
              <w:t>村民</w:t>
            </w:r>
            <w:r>
              <w:rPr>
                <w:rFonts w:ascii="宋体" w:hAnsi="宋体" w:eastAsia="宋体"/>
                <w:sz w:val="16"/>
              </w:rPr>
              <w:t>对党的</w:t>
            </w:r>
            <w:r>
              <w:rPr>
                <w:rFonts w:hint="eastAsia" w:ascii="宋体" w:hAnsi="宋体"/>
                <w:sz w:val="16"/>
                <w:lang w:eastAsia="zh-CN"/>
              </w:rPr>
              <w:t>惠民</w:t>
            </w:r>
            <w:r>
              <w:rPr>
                <w:rFonts w:ascii="宋体" w:hAnsi="宋体" w:eastAsia="宋体"/>
                <w:sz w:val="16"/>
              </w:rPr>
              <w:t>政策的理解、</w:t>
            </w:r>
            <w:r>
              <w:rPr>
                <w:rFonts w:hint="eastAsia" w:ascii="宋体" w:hAnsi="宋体"/>
                <w:sz w:val="16"/>
                <w:lang w:eastAsia="zh-CN"/>
              </w:rPr>
              <w:t>提高村民生活热情，促进了村集体经济良性增长</w:t>
            </w:r>
            <w:r>
              <w:rPr>
                <w:rFonts w:ascii="宋体" w:hAnsi="宋体" w:eastAsia="宋体"/>
                <w:sz w:val="16"/>
              </w:rPr>
              <w:t>，村民对驻村工作队满意度达到95%。</w:t>
            </w:r>
          </w:p>
        </w:tc>
      </w:tr>
      <w:tr w14:paraId="4DE0FF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834EA9C">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3520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A0D0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F8DC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5F77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3648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7409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5B42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7FC2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偏差原因分析及改进措施</w:t>
            </w:r>
          </w:p>
        </w:tc>
      </w:tr>
      <w:tr w14:paraId="1BE852E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1034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EE90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79D9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2A93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保障驻村工作点数量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6471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5FFD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D88B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F42E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0537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560ED84B">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76F483">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974587">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97AC81">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FB14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驻村工作队</w:t>
            </w:r>
            <w:r>
              <w:rPr>
                <w:rFonts w:hint="eastAsia" w:ascii="宋体" w:hAnsi="宋体"/>
                <w:sz w:val="16"/>
                <w:lang w:eastAsia="zh-CN"/>
              </w:rPr>
              <w:t>派驻</w:t>
            </w:r>
            <w:r>
              <w:rPr>
                <w:rFonts w:ascii="宋体" w:hAnsi="宋体" w:eastAsia="宋体"/>
                <w:sz w:val="16"/>
              </w:rPr>
              <w:t>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022F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D542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EED2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6088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B488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332623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3823E5">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2FCE99">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7309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5BE9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DD5F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0841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B78B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5430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D76A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79374E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292236">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0C3085">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800E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8779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6A0E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2024年12月31日前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54C7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6E46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C569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A7ED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57D89D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3461EC">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1DDDCD">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591DA4">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49D3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2F45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C298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B921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5B44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2376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100951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A02333">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814D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A974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2C01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为民办实事经费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EDE1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≤49.73万元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9A7D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=48.82万元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F799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1F64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19.09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2368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偏差原因：单据没有按时取得，资金没有支付完毕。改进措施：加快支付进度。</w:t>
            </w:r>
          </w:p>
        </w:tc>
      </w:tr>
      <w:tr w14:paraId="488AB0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BABA79">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6A47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E9E8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8543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工作队解决群众急难愁盼问题率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ABF6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77AE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89F3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F857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3B17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45A7BE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827A0E">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F6E4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855B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5E4E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村民对驻村工作队满意度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80B3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E951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FA13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864E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DAFB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587DC2A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441E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8F90A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4D03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5E214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98.63分</w:t>
            </w:r>
          </w:p>
        </w:tc>
      </w:tr>
    </w:tbl>
    <w:p w14:paraId="35980F3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953F82A">
        <w:tblPrEx>
          <w:tblCellMar>
            <w:top w:w="0" w:type="dxa"/>
            <w:left w:w="108" w:type="dxa"/>
            <w:bottom w:w="0" w:type="dxa"/>
            <w:right w:w="108" w:type="dxa"/>
          </w:tblCellMar>
        </w:tblPrEx>
        <w:tc>
          <w:tcPr>
            <w:tcW w:w="8847" w:type="dxa"/>
            <w:gridSpan w:val="9"/>
            <w:vAlign w:val="center"/>
          </w:tcPr>
          <w:p w14:paraId="2BD25B40">
            <w:pPr>
              <w:jc w:val="center"/>
            </w:pPr>
            <w:r>
              <w:rPr>
                <w:rFonts w:ascii="宋体" w:hAnsi="宋体" w:eastAsia="宋体"/>
                <w:sz w:val="24"/>
              </w:rPr>
              <w:t>项目支出绩效自评表</w:t>
            </w:r>
          </w:p>
        </w:tc>
      </w:tr>
      <w:tr w14:paraId="11BD9D3A">
        <w:tblPrEx>
          <w:tblCellMar>
            <w:top w:w="0" w:type="dxa"/>
            <w:left w:w="108" w:type="dxa"/>
            <w:bottom w:w="0" w:type="dxa"/>
            <w:right w:w="108" w:type="dxa"/>
          </w:tblCellMar>
        </w:tblPrEx>
        <w:tc>
          <w:tcPr>
            <w:tcW w:w="8847" w:type="dxa"/>
            <w:gridSpan w:val="9"/>
            <w:vAlign w:val="center"/>
          </w:tcPr>
          <w:p w14:paraId="64775332">
            <w:pPr>
              <w:jc w:val="center"/>
            </w:pPr>
            <w:r>
              <w:rPr>
                <w:rFonts w:ascii="宋体" w:hAnsi="宋体" w:eastAsia="宋体"/>
                <w:sz w:val="24"/>
              </w:rPr>
              <w:t>(2024年度)</w:t>
            </w:r>
          </w:p>
        </w:tc>
      </w:tr>
      <w:tr w14:paraId="4A40D5C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D0FE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5B659B7">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2024年运转保障经费</w:t>
            </w:r>
          </w:p>
        </w:tc>
      </w:tr>
      <w:tr w14:paraId="5BF2CF1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D6FE3">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D4BC9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和田地区住房和城乡建设局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269C7">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6E1585">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和田地区住房和城乡建设局</w:t>
            </w:r>
          </w:p>
        </w:tc>
      </w:tr>
      <w:tr w14:paraId="7E40DB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F457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581F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A486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0522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94A1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3D6E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AB42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2C55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r>
      <w:tr w14:paraId="611E6D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4E837F">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8D01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FE2F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35.93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91F0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35.93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06D1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35.93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C784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0106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5CFA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10.00分</w:t>
            </w:r>
          </w:p>
        </w:tc>
      </w:tr>
      <w:tr w14:paraId="360CB4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15D05F">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F560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B779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35.93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8EE8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35.93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4E1A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35.93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1397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0D69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ACD5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58CCCA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46F44C">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83A9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3D11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BAE7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258A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2BF0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3CE7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DC04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6197C2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2E58C0">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C645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BCD1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9D62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71D7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9F19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4E2D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DD79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1EB0D19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B4E8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6E980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CE1DF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实际完成情况</w:t>
            </w:r>
          </w:p>
        </w:tc>
      </w:tr>
      <w:tr w14:paraId="78A687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AAA568">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4717E9">
            <w:pPr>
              <w:keepNext w:val="0"/>
              <w:keepLines w:val="0"/>
              <w:pageBreakBefore w:val="0"/>
              <w:widowControl w:val="0"/>
              <w:kinsoku/>
              <w:wordWrap/>
              <w:overflowPunct/>
              <w:topLinePunct w:val="0"/>
              <w:autoSpaceDE/>
              <w:autoSpaceDN/>
              <w:bidi w:val="0"/>
              <w:adjustRightInd/>
              <w:snapToGrid/>
              <w:spacing w:line="200" w:lineRule="exact"/>
              <w:jc w:val="both"/>
              <w:textAlignment w:val="auto"/>
            </w:pPr>
            <w:r>
              <w:rPr>
                <w:rFonts w:ascii="宋体" w:hAnsi="宋体" w:eastAsia="宋体"/>
                <w:sz w:val="16"/>
              </w:rPr>
              <w:t>运行保障经费的合理使用，保障</w:t>
            </w:r>
            <w:r>
              <w:rPr>
                <w:rFonts w:hint="eastAsia" w:ascii="宋体" w:hAnsi="宋体"/>
                <w:sz w:val="16"/>
                <w:lang w:eastAsia="zh-CN"/>
              </w:rPr>
              <w:t>本单位</w:t>
            </w:r>
            <w:r>
              <w:rPr>
                <w:rFonts w:ascii="宋体" w:hAnsi="宋体" w:eastAsia="宋体"/>
                <w:sz w:val="16"/>
              </w:rPr>
              <w:t>出差次数</w:t>
            </w:r>
            <w:r>
              <w:rPr>
                <w:rFonts w:hint="eastAsia" w:ascii="宋体" w:hAnsi="宋体"/>
                <w:sz w:val="16"/>
                <w:lang w:eastAsia="zh-CN"/>
              </w:rPr>
              <w:t>不少</w:t>
            </w:r>
            <w:r>
              <w:rPr>
                <w:rFonts w:ascii="宋体" w:hAnsi="宋体" w:eastAsia="宋体"/>
                <w:sz w:val="16"/>
              </w:rPr>
              <w:t>于30次，</w:t>
            </w:r>
            <w:r>
              <w:rPr>
                <w:rFonts w:hint="eastAsia" w:ascii="宋体" w:hAnsi="宋体"/>
                <w:sz w:val="16"/>
                <w:lang w:eastAsia="zh-CN"/>
              </w:rPr>
              <w:t>采购</w:t>
            </w:r>
            <w:r>
              <w:rPr>
                <w:rFonts w:ascii="宋体" w:hAnsi="宋体" w:eastAsia="宋体"/>
                <w:sz w:val="16"/>
              </w:rPr>
              <w:t>办公用品不少于6次，</w:t>
            </w:r>
            <w:r>
              <w:rPr>
                <w:rFonts w:hint="eastAsia" w:ascii="宋体" w:hAnsi="宋体"/>
                <w:sz w:val="16"/>
                <w:lang w:eastAsia="zh-CN"/>
              </w:rPr>
              <w:t>及时结清</w:t>
            </w:r>
            <w:r>
              <w:rPr>
                <w:rFonts w:ascii="宋体" w:hAnsi="宋体" w:eastAsia="宋体"/>
                <w:sz w:val="16"/>
              </w:rPr>
              <w:t>差旅费和办公</w:t>
            </w:r>
            <w:r>
              <w:rPr>
                <w:rFonts w:hint="eastAsia" w:ascii="宋体" w:hAnsi="宋体"/>
                <w:sz w:val="16"/>
                <w:lang w:eastAsia="zh-CN"/>
              </w:rPr>
              <w:t>费</w:t>
            </w:r>
            <w:r>
              <w:rPr>
                <w:rFonts w:ascii="宋体" w:hAnsi="宋体" w:eastAsia="宋体"/>
                <w:sz w:val="16"/>
              </w:rPr>
              <w:t>有利于保障</w:t>
            </w:r>
            <w:r>
              <w:rPr>
                <w:rFonts w:hint="eastAsia" w:ascii="宋体" w:hAnsi="宋体"/>
                <w:sz w:val="16"/>
                <w:lang w:eastAsia="zh-CN"/>
              </w:rPr>
              <w:t>业务工作</w:t>
            </w:r>
            <w:r>
              <w:rPr>
                <w:rFonts w:ascii="宋体" w:hAnsi="宋体" w:eastAsia="宋体"/>
                <w:sz w:val="16"/>
              </w:rPr>
              <w:t>正常运行，促进安全生产的大检查工作</w:t>
            </w:r>
            <w:r>
              <w:rPr>
                <w:rFonts w:hint="eastAsia" w:ascii="宋体" w:hAnsi="宋体"/>
                <w:sz w:val="16"/>
                <w:lang w:eastAsia="zh-CN"/>
              </w:rPr>
              <w:t>高效执行</w:t>
            </w:r>
            <w:r>
              <w:rPr>
                <w:rFonts w:ascii="宋体" w:hAnsi="宋体" w:eastAsia="宋体"/>
                <w:sz w:val="16"/>
              </w:rPr>
              <w:t>，对和田地区</w:t>
            </w:r>
            <w:r>
              <w:rPr>
                <w:rFonts w:hint="eastAsia" w:ascii="宋体" w:hAnsi="宋体"/>
                <w:sz w:val="16"/>
                <w:lang w:eastAsia="zh-CN"/>
              </w:rPr>
              <w:t>住建领域执法规范提供助力</w:t>
            </w:r>
            <w:r>
              <w:rPr>
                <w:rFonts w:ascii="宋体" w:hAnsi="宋体" w:eastAsia="宋体"/>
                <w:sz w:val="16"/>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CD0CB9">
            <w:pPr>
              <w:keepNext w:val="0"/>
              <w:keepLines w:val="0"/>
              <w:pageBreakBefore w:val="0"/>
              <w:widowControl w:val="0"/>
              <w:kinsoku/>
              <w:wordWrap/>
              <w:overflowPunct/>
              <w:topLinePunct w:val="0"/>
              <w:autoSpaceDE/>
              <w:autoSpaceDN/>
              <w:bidi w:val="0"/>
              <w:adjustRightInd/>
              <w:snapToGrid/>
              <w:spacing w:line="200" w:lineRule="exact"/>
              <w:jc w:val="both"/>
              <w:textAlignment w:val="auto"/>
            </w:pPr>
            <w:r>
              <w:rPr>
                <w:rFonts w:hint="eastAsia" w:ascii="宋体" w:hAnsi="宋体"/>
                <w:sz w:val="16"/>
                <w:lang w:eastAsia="zh-CN"/>
              </w:rPr>
              <w:t>截至</w:t>
            </w:r>
            <w:r>
              <w:rPr>
                <w:rFonts w:ascii="宋体" w:hAnsi="宋体" w:eastAsia="宋体"/>
                <w:sz w:val="16"/>
              </w:rPr>
              <w:t>2024年12月31日，本项目实际形成支出35.93万元，已完成保障出差30次，办公费结算6次，办公用品采购合格率100%的任务，达到了保障安全生产事故减少100%，有序</w:t>
            </w:r>
            <w:r>
              <w:rPr>
                <w:rFonts w:hint="eastAsia" w:ascii="宋体" w:hAnsi="宋体"/>
                <w:sz w:val="16"/>
                <w:lang w:eastAsia="zh-CN"/>
              </w:rPr>
              <w:t>服务指导</w:t>
            </w:r>
            <w:r>
              <w:rPr>
                <w:rFonts w:ascii="宋体" w:hAnsi="宋体" w:eastAsia="宋体"/>
                <w:sz w:val="16"/>
              </w:rPr>
              <w:t>和田地区</w:t>
            </w:r>
            <w:r>
              <w:rPr>
                <w:rFonts w:hint="eastAsia" w:ascii="宋体" w:hAnsi="宋体"/>
                <w:sz w:val="16"/>
                <w:lang w:eastAsia="zh-CN"/>
              </w:rPr>
              <w:t>住建行业</w:t>
            </w:r>
            <w:r>
              <w:rPr>
                <w:rFonts w:ascii="宋体" w:hAnsi="宋体" w:eastAsia="宋体"/>
                <w:sz w:val="16"/>
              </w:rPr>
              <w:t>健康发展率90%的效益，服务对象满意度达到100%。</w:t>
            </w:r>
          </w:p>
        </w:tc>
      </w:tr>
      <w:tr w14:paraId="173DBAD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14B5A64">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79A4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5696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71F1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77D2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5ADB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7F6C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ED5D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135F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偏差原因分析及改进措施</w:t>
            </w:r>
          </w:p>
        </w:tc>
      </w:tr>
      <w:tr w14:paraId="362C4B2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1E95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2301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A7FD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B526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保障出差次数（次）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7BAB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≥30次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3BD1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=30次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7EC1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CD21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043F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679F32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3D8255">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0ADB17">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2C3E4C">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B5F0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办公费结算次数（次）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ACF6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A00B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BE92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15EB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EB04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04D1B0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6F2DA7">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F9B15E">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6863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6A30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办公用品采购合格率（%）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F3AD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B60C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47B7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9A44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8276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09EDB8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7347B6">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4D4AF3">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5847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1D35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A31C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454D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515B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51EE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81EC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2B5FFB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72CC68">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6EF8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7255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4610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办公用品购置费用（万元）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DB2B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≤29.94万元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ACDA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=29.94万元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C4EC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390D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23A6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23A336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02837A">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BF4FA">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1F2899">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B796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差旅费用（万元）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12EC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≤5.99万元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D4E0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=5.99万元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A0B6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42EB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0560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1C5D8C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857FC8">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CD47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D08E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BF26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保障安全生产事故减少率（%)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3555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5DB5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3EB2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24AE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E0F7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03F92F6B">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8D896">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6592FB">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0DE7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BACB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有序指导和田地区建筑工程健康发展率（%）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1885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93B6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F008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0797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E92D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6A908B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97F14D">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EEC5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8768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0BF7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9F59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2EBA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DC7C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94D5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8F35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3CDFBA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16C4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66E25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7220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EE00C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100分</w:t>
            </w:r>
          </w:p>
        </w:tc>
      </w:tr>
    </w:tbl>
    <w:p w14:paraId="1967EFC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059053A">
        <w:tblPrEx>
          <w:tblCellMar>
            <w:top w:w="0" w:type="dxa"/>
            <w:left w:w="108" w:type="dxa"/>
            <w:bottom w:w="0" w:type="dxa"/>
            <w:right w:w="108" w:type="dxa"/>
          </w:tblCellMar>
        </w:tblPrEx>
        <w:tc>
          <w:tcPr>
            <w:tcW w:w="8847" w:type="dxa"/>
            <w:gridSpan w:val="9"/>
            <w:vAlign w:val="center"/>
          </w:tcPr>
          <w:p w14:paraId="2BF3D21D">
            <w:pPr>
              <w:jc w:val="center"/>
            </w:pPr>
            <w:r>
              <w:rPr>
                <w:rFonts w:ascii="宋体" w:hAnsi="宋体" w:eastAsia="宋体"/>
                <w:sz w:val="24"/>
              </w:rPr>
              <w:t>项目支出绩效自评表</w:t>
            </w:r>
          </w:p>
        </w:tc>
      </w:tr>
      <w:tr w14:paraId="7F2B4501">
        <w:tblPrEx>
          <w:tblCellMar>
            <w:top w:w="0" w:type="dxa"/>
            <w:left w:w="108" w:type="dxa"/>
            <w:bottom w:w="0" w:type="dxa"/>
            <w:right w:w="108" w:type="dxa"/>
          </w:tblCellMar>
        </w:tblPrEx>
        <w:tc>
          <w:tcPr>
            <w:tcW w:w="8847" w:type="dxa"/>
            <w:gridSpan w:val="9"/>
            <w:vAlign w:val="center"/>
          </w:tcPr>
          <w:p w14:paraId="658A8DC1">
            <w:pPr>
              <w:jc w:val="center"/>
            </w:pPr>
            <w:r>
              <w:rPr>
                <w:rFonts w:ascii="宋体" w:hAnsi="宋体" w:eastAsia="宋体"/>
                <w:sz w:val="24"/>
              </w:rPr>
              <w:t>(2024年度)</w:t>
            </w:r>
          </w:p>
        </w:tc>
      </w:tr>
      <w:tr w14:paraId="65ECCD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1E50D">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4852D75">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和田2×350MW热电联产集中供热专项规划</w:t>
            </w:r>
          </w:p>
        </w:tc>
      </w:tr>
      <w:tr w14:paraId="0D38EB4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641CF">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A2013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和田地区住房和城乡建设局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567BB">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4EB571">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和田地区住房和城乡建设局</w:t>
            </w:r>
          </w:p>
        </w:tc>
      </w:tr>
      <w:tr w14:paraId="2E57A1B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703D7">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A764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8578A">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B29BF">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853D0">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48445">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5DDA1">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F8362">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得分</w:t>
            </w:r>
          </w:p>
        </w:tc>
      </w:tr>
      <w:tr w14:paraId="789FC2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269CCB">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0C1CD">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9456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48.00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DA071">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48.00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1F3C4">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48.00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AE40F">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E5ECB">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06583">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10.00分</w:t>
            </w:r>
          </w:p>
        </w:tc>
      </w:tr>
      <w:tr w14:paraId="13BFC4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FD3B6C">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2AF5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99BE5">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48.00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CC170">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48.00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89E6D">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48.00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523F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40013">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FC4ED">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r>
      <w:tr w14:paraId="66F077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D3096">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2FE82">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A122B">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FE1C7">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2CBDB">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D728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650EA">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C3733">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r>
      <w:tr w14:paraId="34C92F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4E3E5A">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D662D">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06D8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46E37">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00EAA">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90EB7">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57C1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96C8B">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r>
      <w:tr w14:paraId="6168C5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0C41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3156B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D8F9D4">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实际完成情况</w:t>
            </w:r>
          </w:p>
        </w:tc>
      </w:tr>
      <w:tr w14:paraId="55678B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B72A19">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B0AF0E">
            <w:pPr>
              <w:keepNext w:val="0"/>
              <w:keepLines w:val="0"/>
              <w:pageBreakBefore w:val="0"/>
              <w:widowControl w:val="0"/>
              <w:kinsoku/>
              <w:wordWrap/>
              <w:overflowPunct/>
              <w:topLinePunct w:val="0"/>
              <w:autoSpaceDE/>
              <w:autoSpaceDN/>
              <w:bidi w:val="0"/>
              <w:adjustRightInd/>
              <w:snapToGrid/>
              <w:spacing w:line="240" w:lineRule="exact"/>
              <w:jc w:val="both"/>
              <w:textAlignment w:val="auto"/>
            </w:pPr>
            <w:r>
              <w:rPr>
                <w:rFonts w:ascii="宋体" w:hAnsi="宋体" w:eastAsia="宋体"/>
                <w:sz w:val="16"/>
              </w:rPr>
              <w:t>项目总投资48万元，通过</w:t>
            </w:r>
            <w:r>
              <w:rPr>
                <w:rFonts w:hint="eastAsia" w:ascii="宋体" w:hAnsi="宋体"/>
                <w:sz w:val="16"/>
                <w:lang w:eastAsia="zh-CN"/>
              </w:rPr>
              <w:t>设计</w:t>
            </w:r>
            <w:r>
              <w:rPr>
                <w:rFonts w:ascii="宋体" w:hAnsi="宋体" w:eastAsia="宋体"/>
                <w:sz w:val="16"/>
              </w:rPr>
              <w:t>方提交4份合格规划报告，按照报告内容实施项目后，有利于提高和田市、和田县、洛浦县城市供热保障水平、有利于增强</w:t>
            </w:r>
            <w:r>
              <w:rPr>
                <w:rFonts w:hint="eastAsia" w:ascii="宋体" w:hAnsi="宋体"/>
                <w:sz w:val="16"/>
                <w:lang w:eastAsia="zh-CN"/>
              </w:rPr>
              <w:t>地区</w:t>
            </w:r>
            <w:r>
              <w:rPr>
                <w:rFonts w:ascii="宋体" w:hAnsi="宋体" w:eastAsia="宋体"/>
                <w:sz w:val="16"/>
              </w:rPr>
              <w:t>企业用能保障能力，有利于增进全地区各族民众福祉、促进经济高质量发展，必须加快集中供热专项规划相关工作。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DECA30">
            <w:pPr>
              <w:keepNext w:val="0"/>
              <w:keepLines w:val="0"/>
              <w:pageBreakBefore w:val="0"/>
              <w:widowControl w:val="0"/>
              <w:kinsoku/>
              <w:wordWrap/>
              <w:overflowPunct/>
              <w:topLinePunct w:val="0"/>
              <w:autoSpaceDE/>
              <w:autoSpaceDN/>
              <w:bidi w:val="0"/>
              <w:adjustRightInd/>
              <w:snapToGrid/>
              <w:spacing w:line="240" w:lineRule="exact"/>
              <w:jc w:val="both"/>
              <w:textAlignment w:val="auto"/>
            </w:pPr>
            <w:r>
              <w:rPr>
                <w:rFonts w:hint="eastAsia" w:ascii="宋体" w:hAnsi="宋体"/>
                <w:sz w:val="16"/>
                <w:lang w:eastAsia="zh-CN"/>
              </w:rPr>
              <w:t>截至</w:t>
            </w:r>
            <w:r>
              <w:rPr>
                <w:rFonts w:ascii="宋体" w:hAnsi="宋体" w:eastAsia="宋体"/>
                <w:sz w:val="16"/>
              </w:rPr>
              <w:t>2024年12月31日，本项目实际形成支出48万元，已经完成根据合同在规定的时间内及时提交了4份报告资料的任务，达到了促进经济高质量发展的效益，报告使用人满意度达到95%。</w:t>
            </w:r>
          </w:p>
        </w:tc>
      </w:tr>
      <w:tr w14:paraId="18CC0E1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9CEFFEA">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F081B">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6112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618C2">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5EC75">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579AF">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84A5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DEA7B">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B96A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偏差原因分析及改进措施</w:t>
            </w:r>
          </w:p>
        </w:tc>
      </w:tr>
      <w:tr w14:paraId="3C9ADD8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4CA90">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4340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4BC90">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C61AD">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编制报告份数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63125">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≥4份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4D77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=4份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6F6A2">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78AAB">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5410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14:paraId="01766D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71D153">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1FF96D">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A7A55">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F6EF5">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报告编制合格率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EDE01">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557F4">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6E1BF">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528C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1AB92">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14:paraId="58FEA7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D0F8F0">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53EE38">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C6D7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34A2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项目完成时限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A5B5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99B3D">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4D54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8EC3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B470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14:paraId="238510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2CEA5B">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90E0E1">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625BA6">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7DB87">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DFC7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09959">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8737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E8C2A">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53F29">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14:paraId="120586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5E6912">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272EF">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4D36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EDF2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报告编制费用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C29CF">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≤48万元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BF2EA">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=48万元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601E4">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5BAE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C857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14:paraId="231039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501935">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8FFE5">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7641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20E0A">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大力提高了城市供热保障水平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8C48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BDE0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230C0">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00223">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FCA92">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14:paraId="063F85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E90135">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48C4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80905">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E0B24">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报告使用人满意度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BBBB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DE770">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83070">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01ABD">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39050">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14:paraId="2F804F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137D7">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2FE61F">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A002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F9AB95">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100分</w:t>
            </w:r>
          </w:p>
        </w:tc>
      </w:tr>
    </w:tbl>
    <w:p w14:paraId="18236E1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21DA0EA">
        <w:tblPrEx>
          <w:tblCellMar>
            <w:top w:w="0" w:type="dxa"/>
            <w:left w:w="108" w:type="dxa"/>
            <w:bottom w:w="0" w:type="dxa"/>
            <w:right w:w="108" w:type="dxa"/>
          </w:tblCellMar>
        </w:tblPrEx>
        <w:tc>
          <w:tcPr>
            <w:tcW w:w="8847" w:type="dxa"/>
            <w:gridSpan w:val="9"/>
            <w:vAlign w:val="center"/>
          </w:tcPr>
          <w:p w14:paraId="00A3D446">
            <w:pPr>
              <w:jc w:val="center"/>
            </w:pPr>
            <w:r>
              <w:rPr>
                <w:rFonts w:ascii="宋体" w:hAnsi="宋体" w:eastAsia="宋体"/>
                <w:sz w:val="24"/>
              </w:rPr>
              <w:t>项目支出绩效自评表</w:t>
            </w:r>
          </w:p>
        </w:tc>
      </w:tr>
      <w:tr w14:paraId="24211A2F">
        <w:tblPrEx>
          <w:tblCellMar>
            <w:top w:w="0" w:type="dxa"/>
            <w:left w:w="108" w:type="dxa"/>
            <w:bottom w:w="0" w:type="dxa"/>
            <w:right w:w="108" w:type="dxa"/>
          </w:tblCellMar>
        </w:tblPrEx>
        <w:tc>
          <w:tcPr>
            <w:tcW w:w="8847" w:type="dxa"/>
            <w:gridSpan w:val="9"/>
            <w:vAlign w:val="center"/>
          </w:tcPr>
          <w:p w14:paraId="12D8BB42">
            <w:pPr>
              <w:jc w:val="center"/>
            </w:pPr>
            <w:r>
              <w:rPr>
                <w:rFonts w:ascii="宋体" w:hAnsi="宋体" w:eastAsia="宋体"/>
                <w:sz w:val="24"/>
              </w:rPr>
              <w:t>(2024年度)</w:t>
            </w:r>
          </w:p>
        </w:tc>
      </w:tr>
      <w:tr w14:paraId="705C432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545E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70472B3">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工程建设审批管理系统项目</w:t>
            </w:r>
          </w:p>
        </w:tc>
      </w:tr>
      <w:tr w14:paraId="3D3CEE2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913FD">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1A65A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和田地区住房和城乡建设局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FC38A">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80B8D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和田地区住房和城乡建设局</w:t>
            </w:r>
          </w:p>
        </w:tc>
      </w:tr>
      <w:tr w14:paraId="78822C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FC883">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BBB8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A42FB">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FC1F0">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743C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2D971">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3E60D">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7558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得分</w:t>
            </w:r>
          </w:p>
        </w:tc>
      </w:tr>
      <w:tr w14:paraId="704140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CDC676">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0732F">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6EB99">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29.82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366F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29.82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F8C54">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29.82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B0A77">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C96E2">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92F44">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10.00分</w:t>
            </w:r>
          </w:p>
        </w:tc>
      </w:tr>
      <w:tr w14:paraId="1E514A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FD0B2F">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10591">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43ECF">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29.82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3A313">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29.82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1920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29.82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FB46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9965F">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4BBF9">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r>
      <w:tr w14:paraId="1B2B843E">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49E334">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14B70">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70C33">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D85EF">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7BBBA">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E1D3D">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670D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00189">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r>
      <w:tr w14:paraId="7CB035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D238F1">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6202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05CDA">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3F08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3CCA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76592">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EE3E4">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000DF">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r>
      <w:tr w14:paraId="3136376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1FAF7">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6BA6E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9653C4">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实际完成情况</w:t>
            </w:r>
          </w:p>
        </w:tc>
      </w:tr>
      <w:tr w14:paraId="02FF9C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F49761">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413C12">
            <w:pPr>
              <w:keepNext w:val="0"/>
              <w:keepLines w:val="0"/>
              <w:pageBreakBefore w:val="0"/>
              <w:widowControl w:val="0"/>
              <w:kinsoku/>
              <w:wordWrap/>
              <w:overflowPunct/>
              <w:topLinePunct w:val="0"/>
              <w:autoSpaceDE/>
              <w:autoSpaceDN/>
              <w:bidi w:val="0"/>
              <w:adjustRightInd/>
              <w:snapToGrid/>
              <w:spacing w:line="240" w:lineRule="exact"/>
              <w:jc w:val="both"/>
              <w:textAlignment w:val="auto"/>
            </w:pPr>
            <w:r>
              <w:rPr>
                <w:rFonts w:ascii="宋体" w:hAnsi="宋体" w:eastAsia="宋体"/>
                <w:sz w:val="16"/>
              </w:rPr>
              <w:t>通过支付系统服务器租赁费，保障</w:t>
            </w:r>
            <w:r>
              <w:rPr>
                <w:rFonts w:hint="eastAsia" w:ascii="宋体" w:hAnsi="宋体"/>
                <w:sz w:val="16"/>
                <w:lang w:eastAsia="zh-CN"/>
              </w:rPr>
              <w:t>工改</w:t>
            </w:r>
            <w:r>
              <w:rPr>
                <w:rFonts w:ascii="宋体" w:hAnsi="宋体" w:eastAsia="宋体"/>
                <w:sz w:val="16"/>
              </w:rPr>
              <w:t>系统正常</w:t>
            </w:r>
            <w:r>
              <w:rPr>
                <w:rFonts w:hint="eastAsia" w:ascii="宋体" w:hAnsi="宋体"/>
                <w:sz w:val="16"/>
                <w:lang w:eastAsia="zh-CN"/>
              </w:rPr>
              <w:t>运行</w:t>
            </w:r>
            <w:r>
              <w:rPr>
                <w:rFonts w:ascii="宋体" w:hAnsi="宋体" w:eastAsia="宋体"/>
                <w:sz w:val="16"/>
              </w:rPr>
              <w:t>，</w:t>
            </w:r>
            <w:r>
              <w:rPr>
                <w:rFonts w:hint="eastAsia" w:ascii="宋体" w:hAnsi="宋体"/>
                <w:sz w:val="16"/>
                <w:lang w:eastAsia="zh-CN"/>
              </w:rPr>
              <w:t>增加了</w:t>
            </w:r>
            <w:r>
              <w:rPr>
                <w:rFonts w:ascii="宋体" w:hAnsi="宋体" w:eastAsia="宋体"/>
                <w:sz w:val="16"/>
              </w:rPr>
              <w:t>企业</w:t>
            </w:r>
            <w:r>
              <w:rPr>
                <w:rFonts w:hint="eastAsia" w:ascii="宋体" w:hAnsi="宋体"/>
                <w:sz w:val="16"/>
                <w:lang w:eastAsia="zh-CN"/>
              </w:rPr>
              <w:t>项目审批的便利</w:t>
            </w:r>
            <w:r>
              <w:rPr>
                <w:rFonts w:ascii="宋体" w:hAnsi="宋体" w:eastAsia="宋体"/>
                <w:sz w:val="16"/>
              </w:rPr>
              <w:t>，减轻企业负担，同时加强事中事后监管力度，深化招标投标制度改革，重拳整治了招标投标违法违规行为，对</w:t>
            </w:r>
            <w:r>
              <w:rPr>
                <w:rFonts w:hint="eastAsia" w:ascii="宋体" w:hAnsi="宋体"/>
                <w:sz w:val="16"/>
                <w:lang w:eastAsia="zh-CN"/>
              </w:rPr>
              <w:t>促进和田地区住建行业健康发展</w:t>
            </w:r>
            <w:r>
              <w:rPr>
                <w:rFonts w:ascii="宋体" w:hAnsi="宋体" w:eastAsia="宋体"/>
                <w:sz w:val="16"/>
              </w:rPr>
              <w:t>提供了</w:t>
            </w:r>
            <w:r>
              <w:rPr>
                <w:rFonts w:hint="eastAsia" w:ascii="宋体" w:hAnsi="宋体"/>
                <w:sz w:val="16"/>
                <w:lang w:eastAsia="zh-CN"/>
              </w:rPr>
              <w:t>扎实</w:t>
            </w:r>
            <w:r>
              <w:rPr>
                <w:rFonts w:ascii="宋体" w:hAnsi="宋体" w:eastAsia="宋体"/>
                <w:sz w:val="16"/>
              </w:rPr>
              <w:t>基础。</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734E13">
            <w:pPr>
              <w:keepNext w:val="0"/>
              <w:keepLines w:val="0"/>
              <w:pageBreakBefore w:val="0"/>
              <w:widowControl w:val="0"/>
              <w:kinsoku/>
              <w:wordWrap/>
              <w:overflowPunct/>
              <w:topLinePunct w:val="0"/>
              <w:autoSpaceDE/>
              <w:autoSpaceDN/>
              <w:bidi w:val="0"/>
              <w:adjustRightInd/>
              <w:snapToGrid/>
              <w:spacing w:line="240" w:lineRule="exact"/>
              <w:jc w:val="both"/>
              <w:textAlignment w:val="auto"/>
            </w:pPr>
            <w:r>
              <w:rPr>
                <w:rFonts w:hint="eastAsia" w:ascii="宋体" w:hAnsi="宋体"/>
                <w:sz w:val="16"/>
                <w:lang w:eastAsia="zh-CN"/>
              </w:rPr>
              <w:t>截至</w:t>
            </w:r>
            <w:r>
              <w:rPr>
                <w:rFonts w:ascii="宋体" w:hAnsi="宋体" w:eastAsia="宋体"/>
                <w:sz w:val="16"/>
              </w:rPr>
              <w:t>2024年12月31日，本项目实际形成支出29.82万元，已完成保障服务器电脑1台</w:t>
            </w:r>
            <w:r>
              <w:rPr>
                <w:rFonts w:hint="eastAsia" w:ascii="宋体" w:hAnsi="宋体"/>
                <w:sz w:val="16"/>
                <w:lang w:eastAsia="zh-CN"/>
              </w:rPr>
              <w:t>，电信云服务器</w:t>
            </w:r>
            <w:r>
              <w:rPr>
                <w:rFonts w:ascii="宋体" w:hAnsi="宋体" w:eastAsia="宋体"/>
                <w:sz w:val="16"/>
              </w:rPr>
              <w:t>租赁费按时支付，达到了服务器的稳定运行效益，减轻企业负担，系统使用人满意度达100%。</w:t>
            </w:r>
            <w:r>
              <w:rPr>
                <w:rFonts w:ascii="宋体" w:hAnsi="宋体" w:eastAsia="宋体"/>
                <w:sz w:val="16"/>
              </w:rPr>
              <w:br w:type="textWrapping"/>
            </w:r>
          </w:p>
        </w:tc>
      </w:tr>
      <w:tr w14:paraId="52BBA8A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493BC4C">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31214">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32EE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0878A">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CFAB4">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B22BA">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52F34">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4C68B">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1E321">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偏差原因分析及改进措施</w:t>
            </w:r>
          </w:p>
        </w:tc>
      </w:tr>
      <w:tr w14:paraId="32ACF5D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1FF8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091DA">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E2A87">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BCEFF">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保障服务器电脑台数（台）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9AB07">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A29F2">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A516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3F3C0">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9B444">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14:paraId="551D3E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598E71">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113461">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84D2CB">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9A4A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保障系统运行月数（月）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686F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9DDF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80059">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1ECF9">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960C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14:paraId="343314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CF79E3">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F9489F">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F5AF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42D97">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服务器运行稳定率（%）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C4B94">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CDFB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74D0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83C5A">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27BE4">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14:paraId="7ED7016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2833C2">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0BB584">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FA464">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62C4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56424">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CBE81">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F069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3D58F">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78062">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14:paraId="7435A5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A2E118">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2002F">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F5E5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CDF1B">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服务器租赁费用（万元）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4C8B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≤29.82万元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A55F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=29.82万元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03912">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CA761">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3BB25">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14:paraId="53B42E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2C1EDF">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11CA7">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9CF77">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31880">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减轻企业负担率（%）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C3FD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26265">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B6F12">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6CD3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60EA2">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14:paraId="00E67C06">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D6A226">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4074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296B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A199D">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系统使用人满意度（%）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F5DF2">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057A7">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28FA2">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F6F70">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DF38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14:paraId="0636218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87A2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6B2729">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82EF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CABD5B">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100分</w:t>
            </w:r>
          </w:p>
        </w:tc>
      </w:tr>
    </w:tbl>
    <w:p w14:paraId="50B1F45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CE0C5EF">
        <w:tblPrEx>
          <w:tblCellMar>
            <w:top w:w="0" w:type="dxa"/>
            <w:left w:w="108" w:type="dxa"/>
            <w:bottom w:w="0" w:type="dxa"/>
            <w:right w:w="108" w:type="dxa"/>
          </w:tblCellMar>
        </w:tblPrEx>
        <w:tc>
          <w:tcPr>
            <w:tcW w:w="8847" w:type="dxa"/>
            <w:gridSpan w:val="9"/>
            <w:vAlign w:val="center"/>
          </w:tcPr>
          <w:p w14:paraId="03035137">
            <w:pPr>
              <w:jc w:val="center"/>
            </w:pPr>
            <w:r>
              <w:rPr>
                <w:rFonts w:ascii="宋体" w:hAnsi="宋体" w:eastAsia="宋体"/>
                <w:sz w:val="24"/>
              </w:rPr>
              <w:t>项目支出绩效自评表</w:t>
            </w:r>
          </w:p>
        </w:tc>
      </w:tr>
      <w:tr w14:paraId="699080E1">
        <w:tblPrEx>
          <w:tblCellMar>
            <w:top w:w="0" w:type="dxa"/>
            <w:left w:w="108" w:type="dxa"/>
            <w:bottom w:w="0" w:type="dxa"/>
            <w:right w:w="108" w:type="dxa"/>
          </w:tblCellMar>
        </w:tblPrEx>
        <w:tc>
          <w:tcPr>
            <w:tcW w:w="8847" w:type="dxa"/>
            <w:gridSpan w:val="9"/>
            <w:vAlign w:val="center"/>
          </w:tcPr>
          <w:p w14:paraId="5C44C9BF">
            <w:pPr>
              <w:jc w:val="center"/>
            </w:pPr>
            <w:r>
              <w:rPr>
                <w:rFonts w:ascii="宋体" w:hAnsi="宋体" w:eastAsia="宋体"/>
                <w:sz w:val="24"/>
              </w:rPr>
              <w:t>(2024年度)</w:t>
            </w:r>
          </w:p>
        </w:tc>
      </w:tr>
      <w:tr w14:paraId="29F1A7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8855D">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75527A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退还企业保证金项目</w:t>
            </w:r>
          </w:p>
        </w:tc>
      </w:tr>
      <w:tr w14:paraId="653D8BA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5BB7D">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84229D">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和田地区住房和城乡建设局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F1590">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8346E7">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和田地区住房和城乡建设局</w:t>
            </w:r>
          </w:p>
        </w:tc>
      </w:tr>
      <w:tr w14:paraId="02E807B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D1843A">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30FB0">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007C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1E374">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47792">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D3081">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CE172">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78DDB">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得分</w:t>
            </w:r>
          </w:p>
        </w:tc>
      </w:tr>
      <w:tr w14:paraId="2D3F1F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369A04">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4E2C1">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48B05">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163.42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B74CB">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163.42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D85B7">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163.42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8790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9557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70625">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10.00分</w:t>
            </w:r>
          </w:p>
        </w:tc>
      </w:tr>
      <w:tr w14:paraId="7BEA73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82F18C">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8CB3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9347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163.42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3F424">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163.42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DC84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163.42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6EC87">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B2B84">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BD594">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r>
      <w:tr w14:paraId="15F47F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612A22">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53BA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EB3AB">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CAF8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50EF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3CE49">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6424B">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43490">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r>
      <w:tr w14:paraId="06C090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1E7440">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1E40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6A7A9">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1301B">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817D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6A874">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20EB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E33A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r>
      <w:tr w14:paraId="70901B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D583A">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571BAB">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09F741">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实际完成情况</w:t>
            </w:r>
          </w:p>
        </w:tc>
      </w:tr>
      <w:tr w14:paraId="603E12A0">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5F4B88">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E40DD8">
            <w:pPr>
              <w:keepNext w:val="0"/>
              <w:keepLines w:val="0"/>
              <w:pageBreakBefore w:val="0"/>
              <w:widowControl w:val="0"/>
              <w:kinsoku/>
              <w:wordWrap/>
              <w:overflowPunct/>
              <w:topLinePunct w:val="0"/>
              <w:autoSpaceDE/>
              <w:autoSpaceDN/>
              <w:bidi w:val="0"/>
              <w:adjustRightInd/>
              <w:snapToGrid/>
              <w:spacing w:line="240" w:lineRule="exact"/>
              <w:jc w:val="both"/>
              <w:textAlignment w:val="auto"/>
            </w:pPr>
            <w:r>
              <w:rPr>
                <w:rFonts w:ascii="宋体" w:hAnsi="宋体" w:eastAsia="宋体"/>
                <w:sz w:val="16"/>
              </w:rPr>
              <w:t>本项目主要实施内容为：清退保证金共4家</w:t>
            </w:r>
            <w:r>
              <w:rPr>
                <w:rFonts w:hint="eastAsia" w:ascii="宋体" w:hAnsi="宋体"/>
                <w:sz w:val="16"/>
                <w:lang w:eastAsia="zh-CN"/>
              </w:rPr>
              <w:t>企业</w:t>
            </w:r>
            <w:r>
              <w:rPr>
                <w:rFonts w:ascii="宋体" w:hAnsi="宋体" w:eastAsia="宋体"/>
                <w:sz w:val="16"/>
              </w:rPr>
              <w:t>，</w:t>
            </w:r>
            <w:r>
              <w:rPr>
                <w:rFonts w:hint="eastAsia" w:ascii="宋体" w:hAnsi="宋体"/>
                <w:sz w:val="16"/>
                <w:lang w:eastAsia="zh-CN"/>
              </w:rPr>
              <w:t>共</w:t>
            </w:r>
            <w:r>
              <w:rPr>
                <w:rFonts w:ascii="宋体" w:hAnsi="宋体" w:eastAsia="宋体"/>
                <w:sz w:val="16"/>
              </w:rPr>
              <w:t>163.42万元，项目计划于2024年12月完成。</w:t>
            </w:r>
            <w:r>
              <w:rPr>
                <w:rFonts w:hint="eastAsia" w:ascii="宋体" w:hAnsi="宋体"/>
                <w:sz w:val="16"/>
                <w:lang w:eastAsia="zh-CN"/>
              </w:rPr>
              <w:t>本项目</w:t>
            </w:r>
            <w:r>
              <w:rPr>
                <w:rFonts w:ascii="宋体" w:hAnsi="宋体" w:eastAsia="宋体"/>
                <w:sz w:val="16"/>
              </w:rPr>
              <w:t>提高</w:t>
            </w:r>
            <w:r>
              <w:rPr>
                <w:rFonts w:hint="eastAsia" w:ascii="宋体" w:hAnsi="宋体"/>
                <w:sz w:val="16"/>
                <w:lang w:eastAsia="zh-CN"/>
              </w:rPr>
              <w:t>地区住建局</w:t>
            </w:r>
            <w:r>
              <w:rPr>
                <w:rFonts w:ascii="宋体" w:hAnsi="宋体" w:eastAsia="宋体"/>
                <w:sz w:val="16"/>
              </w:rPr>
              <w:t>保证金的清退率，</w:t>
            </w:r>
            <w:r>
              <w:rPr>
                <w:rFonts w:hint="eastAsia" w:ascii="宋体" w:hAnsi="宋体"/>
                <w:sz w:val="16"/>
                <w:lang w:eastAsia="zh-CN"/>
              </w:rPr>
              <w:t>保障</w:t>
            </w:r>
            <w:r>
              <w:rPr>
                <w:rFonts w:ascii="宋体" w:hAnsi="宋体" w:eastAsia="宋体"/>
                <w:sz w:val="16"/>
              </w:rPr>
              <w:t>企业资金快速回笼，缓解企业经济压力</w:t>
            </w:r>
            <w:r>
              <w:rPr>
                <w:rFonts w:hint="eastAsia" w:ascii="宋体" w:hAnsi="宋体"/>
                <w:sz w:val="16"/>
                <w:lang w:eastAsia="zh-CN"/>
              </w:rPr>
              <w:t>。</w:t>
            </w:r>
            <w:r>
              <w:rPr>
                <w:rFonts w:ascii="宋体" w:hAnsi="宋体" w:eastAsia="宋体"/>
                <w:sz w:val="16"/>
              </w:rPr>
              <w:t>待项目完成，争取使保证金清退企业满意度不低于95%。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3111D4">
            <w:pPr>
              <w:keepNext w:val="0"/>
              <w:keepLines w:val="0"/>
              <w:pageBreakBefore w:val="0"/>
              <w:widowControl w:val="0"/>
              <w:kinsoku/>
              <w:wordWrap/>
              <w:overflowPunct/>
              <w:topLinePunct w:val="0"/>
              <w:autoSpaceDE/>
              <w:autoSpaceDN/>
              <w:bidi w:val="0"/>
              <w:adjustRightInd/>
              <w:snapToGrid/>
              <w:spacing w:line="240" w:lineRule="exact"/>
              <w:jc w:val="both"/>
              <w:textAlignment w:val="auto"/>
            </w:pPr>
            <w:r>
              <w:rPr>
                <w:rFonts w:ascii="宋体" w:hAnsi="宋体" w:eastAsia="宋体"/>
                <w:sz w:val="16"/>
              </w:rPr>
              <w:t>截至2024年12月底，本项目实际支出163.42万元，按时清退4家企业保证金，达到了缓解企业经济压力的效果，受益企业满意度达到100%。</w:t>
            </w:r>
          </w:p>
        </w:tc>
      </w:tr>
      <w:tr w14:paraId="3E7BC2E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128C304">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55A6A">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540DF">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EB795">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5A86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D34E9">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3F3CD">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A8A44">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4E0A5">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偏差原因分析及改进措施</w:t>
            </w:r>
          </w:p>
        </w:tc>
      </w:tr>
      <w:tr w14:paraId="71FEA36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4774F">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89CA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23950">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2F01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清退保证金企业数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E8FA5">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≥4家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33BB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=4家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917C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765C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4DFF5">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14:paraId="707E03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5A608E">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881E43">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53F7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A88F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5FB2A">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0158B">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F5E45">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80CE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FB4D9">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14:paraId="3C036C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C5D493">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8DD9EE">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13F4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CADD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保证金清退完成时限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4358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2024年12月31日前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E5EC0">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29341">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5838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4B5F1">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14:paraId="2063D2A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019A94">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9E7BA3">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5E8353">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E37B9">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28BA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95B1F">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75681">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EF7F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C3EAD">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14:paraId="14E715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E3F8E7">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AD03B">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8B5BA">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1227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清退保证金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8E14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≤163.42万元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24A21">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=163.42万元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5CE32">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D22D3">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9FFC1">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14:paraId="741BE4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88F267">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8DDC7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3D46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EB9B0">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提高“四金”清理率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4123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872B8">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8693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E8BAF">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A6BE7">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14:paraId="27212B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4A87F2">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3BCDE3">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3A52FF">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9C1BE">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缓解清退企业的经济压力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BEB06">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有效缓解</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1616F">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44663">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9C351">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B5D55">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14:paraId="3EEE3D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53072E">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1D2B5">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5EA29">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090AA">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保证金清退企业满意度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3A761">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AC5E0">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44D9A">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46AA1">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538F9">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14:paraId="332B15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E5222">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4606AC">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AA733">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5CC0D5">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100分</w:t>
            </w:r>
          </w:p>
        </w:tc>
      </w:tr>
    </w:tbl>
    <w:p w14:paraId="7CAD1DB8">
      <w:r>
        <w:br w:type="page"/>
      </w:r>
    </w:p>
    <w:p w14:paraId="14BE623C">
      <w:pPr>
        <w:spacing w:line="640" w:lineRule="exact"/>
        <w:ind w:firstLine="640"/>
        <w:jc w:val="both"/>
        <w:outlineLvl w:val="2"/>
      </w:pPr>
      <w:r>
        <w:rPr>
          <w:rFonts w:ascii="黑体" w:hAnsi="黑体" w:eastAsia="黑体"/>
          <w:sz w:val="32"/>
        </w:rPr>
        <w:t>十二、其他需说明的事项</w:t>
      </w:r>
    </w:p>
    <w:p w14:paraId="40A9FD86">
      <w:pPr>
        <w:spacing w:line="580" w:lineRule="exact"/>
        <w:ind w:firstLine="640"/>
        <w:jc w:val="both"/>
      </w:pPr>
      <w:r>
        <w:rPr>
          <w:rFonts w:ascii="仿宋_GB2312" w:hAnsi="仿宋_GB2312" w:eastAsia="仿宋_GB2312"/>
          <w:b w:val="0"/>
          <w:sz w:val="32"/>
        </w:rPr>
        <w:t>本单位无其他需说明的事项。</w:t>
      </w:r>
    </w:p>
    <w:p w14:paraId="772F3F99">
      <w:r>
        <w:br w:type="page"/>
      </w:r>
    </w:p>
    <w:p w14:paraId="4F9F7DAC">
      <w:pPr>
        <w:spacing w:line="240" w:lineRule="auto"/>
        <w:jc w:val="center"/>
        <w:outlineLvl w:val="1"/>
      </w:pPr>
      <w:r>
        <w:rPr>
          <w:rFonts w:ascii="黑体" w:hAnsi="黑体" w:eastAsia="黑体"/>
          <w:sz w:val="32"/>
        </w:rPr>
        <w:t>第三部分 专业名词解释</w:t>
      </w:r>
    </w:p>
    <w:p w14:paraId="6C21EF7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2B6C42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C966C0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175533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EC1FC4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796011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FEF79F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0F4C90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3CFE62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FBDA19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51BDF7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0851D6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C2C8CA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CC2EE4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38D0816">
      <w:r>
        <w:br w:type="page"/>
      </w:r>
    </w:p>
    <w:p w14:paraId="4504ACB9">
      <w:pPr>
        <w:spacing w:line="240" w:lineRule="auto"/>
        <w:jc w:val="center"/>
        <w:outlineLvl w:val="1"/>
      </w:pPr>
      <w:r>
        <w:rPr>
          <w:rFonts w:ascii="黑体" w:hAnsi="黑体" w:eastAsia="黑体"/>
          <w:sz w:val="32"/>
        </w:rPr>
        <w:t>第四部分 部门决算报表（见附表）</w:t>
      </w:r>
    </w:p>
    <w:p w14:paraId="4241A769">
      <w:pPr>
        <w:spacing w:line="240" w:lineRule="auto"/>
        <w:ind w:firstLine="640"/>
        <w:jc w:val="both"/>
      </w:pPr>
      <w:r>
        <w:rPr>
          <w:rFonts w:ascii="仿宋_GB2312" w:hAnsi="仿宋_GB2312" w:eastAsia="仿宋_GB2312"/>
          <w:b w:val="0"/>
          <w:sz w:val="32"/>
        </w:rPr>
        <w:t>一、《收入支出决算总表》</w:t>
      </w:r>
    </w:p>
    <w:p w14:paraId="0A3A2AF7">
      <w:pPr>
        <w:spacing w:line="240" w:lineRule="auto"/>
        <w:ind w:firstLine="640"/>
        <w:jc w:val="both"/>
      </w:pPr>
      <w:r>
        <w:rPr>
          <w:rFonts w:ascii="仿宋_GB2312" w:hAnsi="仿宋_GB2312" w:eastAsia="仿宋_GB2312"/>
          <w:b w:val="0"/>
          <w:sz w:val="32"/>
        </w:rPr>
        <w:t>二、《收入决算表》</w:t>
      </w:r>
    </w:p>
    <w:p w14:paraId="4B198D60">
      <w:pPr>
        <w:spacing w:line="240" w:lineRule="auto"/>
        <w:ind w:firstLine="640"/>
        <w:jc w:val="both"/>
      </w:pPr>
      <w:r>
        <w:rPr>
          <w:rFonts w:ascii="仿宋_GB2312" w:hAnsi="仿宋_GB2312" w:eastAsia="仿宋_GB2312"/>
          <w:b w:val="0"/>
          <w:sz w:val="32"/>
        </w:rPr>
        <w:t>三、《支出决算表》</w:t>
      </w:r>
    </w:p>
    <w:p w14:paraId="05B014BA">
      <w:pPr>
        <w:spacing w:line="240" w:lineRule="auto"/>
        <w:ind w:firstLine="640"/>
        <w:jc w:val="both"/>
      </w:pPr>
      <w:r>
        <w:rPr>
          <w:rFonts w:ascii="仿宋_GB2312" w:hAnsi="仿宋_GB2312" w:eastAsia="仿宋_GB2312"/>
          <w:b w:val="0"/>
          <w:sz w:val="32"/>
        </w:rPr>
        <w:t>四、《财政拨款收入支出决算总表》</w:t>
      </w:r>
    </w:p>
    <w:p w14:paraId="1A50F749">
      <w:pPr>
        <w:spacing w:line="240" w:lineRule="auto"/>
        <w:ind w:firstLine="640"/>
        <w:jc w:val="both"/>
      </w:pPr>
      <w:r>
        <w:rPr>
          <w:rFonts w:ascii="仿宋_GB2312" w:hAnsi="仿宋_GB2312" w:eastAsia="仿宋_GB2312"/>
          <w:b w:val="0"/>
          <w:sz w:val="32"/>
        </w:rPr>
        <w:t>五、《一般公共预算财政拨款支出决算表》</w:t>
      </w:r>
    </w:p>
    <w:p w14:paraId="15BCC6F7">
      <w:pPr>
        <w:spacing w:line="240" w:lineRule="auto"/>
        <w:ind w:firstLine="640"/>
        <w:jc w:val="both"/>
      </w:pPr>
      <w:r>
        <w:rPr>
          <w:rFonts w:ascii="仿宋_GB2312" w:hAnsi="仿宋_GB2312" w:eastAsia="仿宋_GB2312"/>
          <w:b w:val="0"/>
          <w:sz w:val="32"/>
        </w:rPr>
        <w:t>六、《一般公共预算财政拨款基本支出决算表》</w:t>
      </w:r>
    </w:p>
    <w:p w14:paraId="256FFF96">
      <w:pPr>
        <w:spacing w:line="240" w:lineRule="auto"/>
        <w:ind w:firstLine="640"/>
        <w:jc w:val="both"/>
      </w:pPr>
      <w:r>
        <w:rPr>
          <w:rFonts w:ascii="仿宋_GB2312" w:hAnsi="仿宋_GB2312" w:eastAsia="仿宋_GB2312"/>
          <w:b w:val="0"/>
          <w:sz w:val="32"/>
        </w:rPr>
        <w:t>七、《政府性基金预算财政拨款收入支出决算表》</w:t>
      </w:r>
    </w:p>
    <w:p w14:paraId="17AF75B5">
      <w:pPr>
        <w:spacing w:line="240" w:lineRule="auto"/>
        <w:ind w:firstLine="640"/>
        <w:jc w:val="both"/>
      </w:pPr>
      <w:r>
        <w:rPr>
          <w:rFonts w:ascii="仿宋_GB2312" w:hAnsi="仿宋_GB2312" w:eastAsia="仿宋_GB2312"/>
          <w:b w:val="0"/>
          <w:sz w:val="32"/>
        </w:rPr>
        <w:t>八、《国有资本经营预算财政拨款收入支出决算表》</w:t>
      </w:r>
    </w:p>
    <w:p w14:paraId="7AA8FE27">
      <w:pPr>
        <w:spacing w:line="240" w:lineRule="auto"/>
        <w:ind w:firstLine="640"/>
        <w:jc w:val="both"/>
      </w:pPr>
      <w:r>
        <w:rPr>
          <w:rFonts w:ascii="仿宋_GB2312" w:hAnsi="仿宋_GB2312" w:eastAsia="仿宋_GB2312"/>
          <w:b w:val="0"/>
          <w:sz w:val="32"/>
        </w:rPr>
        <w:t>九、《财政拨款“三公”经费支出决算表》</w:t>
      </w:r>
    </w:p>
    <w:p w14:paraId="6D2BEABC">
      <w:pPr>
        <w:spacing w:line="240" w:lineRule="auto"/>
        <w:ind w:firstLine="640"/>
        <w:jc w:val="both"/>
      </w:pPr>
    </w:p>
    <w:p w14:paraId="248DC757">
      <w:pPr>
        <w:spacing w:line="240" w:lineRule="auto"/>
        <w:ind w:firstLine="640"/>
        <w:jc w:val="both"/>
      </w:pPr>
    </w:p>
    <w:p w14:paraId="5ABAEB11">
      <w:pPr>
        <w:spacing w:line="240" w:lineRule="auto"/>
        <w:ind w:firstLine="640"/>
        <w:jc w:val="both"/>
      </w:pPr>
    </w:p>
    <w:p w14:paraId="725598EA">
      <w:pPr>
        <w:spacing w:line="240" w:lineRule="auto"/>
        <w:ind w:firstLine="640"/>
        <w:jc w:val="both"/>
      </w:pPr>
    </w:p>
    <w:p w14:paraId="205ECEA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2E18E">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4180F76">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04180F76">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5F1940"/>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8FB0A36"/>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DB59D06"/>
    <w:rsid w:val="EEDF484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3479</Words>
  <Characters>4004</Characters>
  <Lines>0</Lines>
  <Paragraphs>0</Paragraphs>
  <TotalTime>53</TotalTime>
  <ScaleCrop>false</ScaleCrop>
  <LinksUpToDate>false</LinksUpToDate>
  <CharactersWithSpaces>4012</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GXR</dc:creator>
  <cp:lastModifiedBy>sugon</cp:lastModifiedBy>
  <cp:lastPrinted>2025-09-12T04:57:00Z</cp:lastPrinted>
  <dcterms:modified xsi:type="dcterms:W3CDTF">2025-10-14T12:04:11Z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