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和田地区种业发展中心2024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D2421A">
      <w:r>
        <w:br w:type="page"/>
      </w:r>
    </w:p>
    <w:p w14:paraId="204BF4C8">
      <w:pPr>
        <w:spacing w:line="640" w:lineRule="exact"/>
        <w:jc w:val="center"/>
        <w:outlineLvl w:val="1"/>
      </w:pPr>
      <w:r>
        <w:rPr>
          <w:rFonts w:ascii="黑体" w:hAnsi="黑体" w:eastAsia="黑体"/>
          <w:sz w:val="32"/>
        </w:rPr>
        <w:t>第一部分 单位概况</w:t>
      </w:r>
    </w:p>
    <w:p w14:paraId="2ACE3435">
      <w:pPr>
        <w:spacing w:line="640" w:lineRule="exact"/>
        <w:ind w:firstLine="640"/>
        <w:jc w:val="both"/>
        <w:outlineLvl w:val="2"/>
      </w:pPr>
      <w:r>
        <w:rPr>
          <w:rFonts w:ascii="黑体" w:hAnsi="黑体" w:eastAsia="黑体"/>
          <w:sz w:val="32"/>
        </w:rPr>
        <w:t>一、主要职能</w:t>
      </w:r>
    </w:p>
    <w:p w14:paraId="6FB20F7D">
      <w:pPr>
        <w:spacing w:line="580" w:lineRule="exact"/>
        <w:ind w:firstLine="640"/>
        <w:jc w:val="both"/>
      </w:pPr>
      <w:r>
        <w:rPr>
          <w:rFonts w:ascii="仿宋_GB2312" w:hAnsi="仿宋_GB2312" w:eastAsia="仿宋_GB2312"/>
          <w:sz w:val="32"/>
        </w:rPr>
        <w:t>和田地区种业发展中心为种植业发展提供技术与质量管理服务。主要从事农作物的引种、试验、示范、种子生产；种植业技术引进、适应试验、对比试验；农作物种子新品种小区试验、生产试验；农作物原种的生产、扩繁等工作。</w:t>
      </w:r>
    </w:p>
    <w:p w14:paraId="7774B998">
      <w:pPr>
        <w:spacing w:line="640" w:lineRule="exact"/>
        <w:ind w:firstLine="640"/>
        <w:jc w:val="both"/>
        <w:outlineLvl w:val="2"/>
      </w:pPr>
      <w:r>
        <w:rPr>
          <w:rFonts w:ascii="黑体" w:hAnsi="黑体" w:eastAsia="黑体"/>
          <w:sz w:val="32"/>
        </w:rPr>
        <w:t>二、机构设置及人员情况</w:t>
      </w:r>
    </w:p>
    <w:p w14:paraId="00CB7FE5">
      <w:pPr>
        <w:spacing w:line="580" w:lineRule="exact"/>
        <w:ind w:firstLine="640"/>
        <w:jc w:val="both"/>
      </w:pPr>
      <w:r>
        <w:rPr>
          <w:rFonts w:ascii="仿宋_GB2312" w:hAnsi="仿宋_GB2312" w:eastAsia="仿宋_GB2312"/>
          <w:sz w:val="32"/>
        </w:rPr>
        <w:t>和田地区种业发展中心2024年度，实有人数51人，其中：在职人员19人，减少1人；离休人员0人，增加0人；退休人员32人,增加0人。</w:t>
      </w:r>
    </w:p>
    <w:p w14:paraId="680AA595">
      <w:pPr>
        <w:spacing w:line="580" w:lineRule="exact"/>
        <w:ind w:firstLine="640"/>
        <w:jc w:val="both"/>
      </w:pPr>
      <w:r>
        <w:rPr>
          <w:rFonts w:ascii="仿宋_GB2312" w:hAnsi="仿宋_GB2312" w:eastAsia="仿宋_GB2312"/>
          <w:sz w:val="32"/>
        </w:rPr>
        <w:t>和田地区种业发展中心无下属预算单位，下设1个科室，分别是：综合办公室。</w:t>
      </w:r>
    </w:p>
    <w:p w14:paraId="2B7D7BFA">
      <w:r>
        <w:br w:type="page"/>
      </w:r>
    </w:p>
    <w:p w14:paraId="367AB711">
      <w:pPr>
        <w:spacing w:line="240" w:lineRule="auto"/>
        <w:jc w:val="center"/>
        <w:outlineLvl w:val="1"/>
      </w:pPr>
      <w:r>
        <w:rPr>
          <w:rFonts w:ascii="黑体" w:hAnsi="黑体" w:eastAsia="黑体"/>
          <w:sz w:val="32"/>
        </w:rPr>
        <w:t>第二部分 部门决算情况说明</w:t>
      </w:r>
    </w:p>
    <w:p w14:paraId="286E7EFB">
      <w:pPr>
        <w:spacing w:line="640" w:lineRule="exact"/>
        <w:ind w:firstLine="640"/>
        <w:jc w:val="both"/>
        <w:outlineLvl w:val="2"/>
      </w:pPr>
      <w:r>
        <w:rPr>
          <w:rFonts w:ascii="黑体" w:hAnsi="黑体" w:eastAsia="黑体"/>
          <w:sz w:val="32"/>
        </w:rPr>
        <w:t>一、收入支出决算总体情况说明</w:t>
      </w:r>
    </w:p>
    <w:p w14:paraId="1C1EF96D">
      <w:pPr>
        <w:spacing w:line="580" w:lineRule="exact"/>
        <w:ind w:firstLine="640"/>
        <w:jc w:val="both"/>
      </w:pPr>
      <w:r>
        <w:rPr>
          <w:rFonts w:ascii="仿宋_GB2312" w:hAnsi="仿宋_GB2312" w:eastAsia="仿宋_GB2312"/>
          <w:b/>
          <w:sz w:val="32"/>
        </w:rPr>
        <w:t>2024年度收入总计460.95万元，</w:t>
      </w:r>
      <w:r>
        <w:rPr>
          <w:rFonts w:ascii="仿宋_GB2312" w:hAnsi="仿宋_GB2312" w:eastAsia="仿宋_GB2312"/>
          <w:b w:val="0"/>
          <w:sz w:val="32"/>
        </w:rPr>
        <w:t>其中：本年收入合计460.95万元，使用非财政拨款结余（含专用结余）0.00万元，年初结转和结余0.00万元。</w:t>
      </w:r>
    </w:p>
    <w:p w14:paraId="2D0E84E0">
      <w:pPr>
        <w:spacing w:line="580" w:lineRule="exact"/>
        <w:ind w:firstLine="640"/>
        <w:jc w:val="both"/>
      </w:pPr>
      <w:r>
        <w:rPr>
          <w:rFonts w:ascii="仿宋_GB2312" w:hAnsi="仿宋_GB2312" w:eastAsia="仿宋_GB2312"/>
          <w:b/>
          <w:sz w:val="32"/>
        </w:rPr>
        <w:t>2024年度支出总计460.95万元，</w:t>
      </w:r>
      <w:r>
        <w:rPr>
          <w:rFonts w:ascii="仿宋_GB2312" w:hAnsi="仿宋_GB2312" w:eastAsia="仿宋_GB2312"/>
          <w:b w:val="0"/>
          <w:sz w:val="32"/>
        </w:rPr>
        <w:t>其中：本年支出合计460.95万元，结余分配0.00万元，年末结转和结余0.00万元。</w:t>
      </w:r>
    </w:p>
    <w:p w14:paraId="6F6D07B8">
      <w:pPr>
        <w:spacing w:line="580" w:lineRule="exact"/>
        <w:ind w:firstLine="640"/>
        <w:jc w:val="both"/>
      </w:pPr>
      <w:r>
        <w:rPr>
          <w:rFonts w:ascii="仿宋_GB2312" w:hAnsi="仿宋_GB2312" w:eastAsia="仿宋_GB2312"/>
          <w:b w:val="0"/>
          <w:sz w:val="32"/>
        </w:rPr>
        <w:t>收入支出总体与上年相比，减少27.07万元，下降5.55%，主要原因是：本年在职人员减少，相关人员经费较上年减少。</w:t>
      </w:r>
    </w:p>
    <w:p w14:paraId="57B7777F">
      <w:pPr>
        <w:spacing w:line="640" w:lineRule="exact"/>
        <w:ind w:firstLine="640"/>
        <w:jc w:val="both"/>
        <w:outlineLvl w:val="2"/>
      </w:pPr>
      <w:r>
        <w:rPr>
          <w:rFonts w:ascii="黑体" w:hAnsi="黑体" w:eastAsia="黑体"/>
          <w:sz w:val="32"/>
        </w:rPr>
        <w:t>二、收入决算情况说明</w:t>
      </w:r>
    </w:p>
    <w:p w14:paraId="11410379">
      <w:pPr>
        <w:spacing w:line="580" w:lineRule="exact"/>
        <w:ind w:firstLine="640"/>
        <w:jc w:val="both"/>
      </w:pPr>
      <w:r>
        <w:rPr>
          <w:rFonts w:ascii="仿宋_GB2312" w:hAnsi="仿宋_GB2312" w:eastAsia="仿宋_GB2312"/>
          <w:b/>
          <w:sz w:val="32"/>
        </w:rPr>
        <w:t>本年收入460.95万元，</w:t>
      </w:r>
      <w:r>
        <w:rPr>
          <w:rFonts w:ascii="仿宋_GB2312" w:hAnsi="仿宋_GB2312" w:eastAsia="仿宋_GB2312"/>
          <w:b w:val="0"/>
          <w:sz w:val="32"/>
        </w:rPr>
        <w:t>其中：财政拨款收入460.86万元，占99.98%；上级补助收入0.00万元，占0.00%；事业收入0.00万元，占0.00%；经营收入0.00万元，占0.00%；附属单位上缴收入0.00万元，占0.00%；其他收入0.09万元，占0.02%。</w:t>
      </w:r>
    </w:p>
    <w:p w14:paraId="590ECE28">
      <w:pPr>
        <w:spacing w:line="640" w:lineRule="exact"/>
        <w:ind w:firstLine="640"/>
        <w:jc w:val="both"/>
        <w:outlineLvl w:val="2"/>
      </w:pPr>
      <w:r>
        <w:rPr>
          <w:rFonts w:ascii="黑体" w:hAnsi="黑体" w:eastAsia="黑体"/>
          <w:sz w:val="32"/>
        </w:rPr>
        <w:t>三、支出决算情况说明</w:t>
      </w:r>
    </w:p>
    <w:p w14:paraId="13050891">
      <w:pPr>
        <w:spacing w:line="580" w:lineRule="exact"/>
        <w:ind w:firstLine="640"/>
        <w:jc w:val="both"/>
      </w:pPr>
      <w:r>
        <w:rPr>
          <w:rFonts w:ascii="仿宋_GB2312" w:hAnsi="仿宋_GB2312" w:eastAsia="仿宋_GB2312"/>
          <w:b/>
          <w:sz w:val="32"/>
        </w:rPr>
        <w:t>本年支出460.95万元，</w:t>
      </w:r>
      <w:r>
        <w:rPr>
          <w:rFonts w:ascii="仿宋_GB2312" w:hAnsi="仿宋_GB2312" w:eastAsia="仿宋_GB2312"/>
          <w:b w:val="0"/>
          <w:sz w:val="32"/>
        </w:rPr>
        <w:t>其中：基本支出450.95万元，占97.83%；项目支出10.00万元，占2.17%；上缴上级支出0.00万元，占0.00%；经营支出0.00万元，占0.00%；对附属单位补助支出0.00万元，占0.00%。</w:t>
      </w:r>
    </w:p>
    <w:p w14:paraId="6F278ABC">
      <w:pPr>
        <w:spacing w:line="640" w:lineRule="exact"/>
        <w:ind w:firstLine="640"/>
        <w:jc w:val="both"/>
        <w:outlineLvl w:val="2"/>
      </w:pPr>
      <w:r>
        <w:rPr>
          <w:rFonts w:ascii="黑体" w:hAnsi="黑体" w:eastAsia="黑体"/>
          <w:sz w:val="32"/>
        </w:rPr>
        <w:t>四、财政拨款收入支出决算总体情况说明</w:t>
      </w:r>
    </w:p>
    <w:p w14:paraId="59879840">
      <w:pPr>
        <w:spacing w:line="580" w:lineRule="exact"/>
        <w:ind w:firstLine="640"/>
        <w:jc w:val="both"/>
      </w:pPr>
      <w:r>
        <w:rPr>
          <w:rFonts w:ascii="仿宋_GB2312" w:hAnsi="仿宋_GB2312" w:eastAsia="仿宋_GB2312"/>
          <w:b/>
          <w:sz w:val="32"/>
        </w:rPr>
        <w:t>2024年度财政拨款收入总计460.86万元，</w:t>
      </w:r>
      <w:r>
        <w:rPr>
          <w:rFonts w:ascii="仿宋_GB2312" w:hAnsi="仿宋_GB2312" w:eastAsia="仿宋_GB2312"/>
          <w:b w:val="0"/>
          <w:sz w:val="32"/>
        </w:rPr>
        <w:t>其中：年初财政拨款结转和结余0.00万元，本年财政拨款收入460.86万元。</w:t>
      </w:r>
      <w:r>
        <w:rPr>
          <w:rFonts w:ascii="仿宋_GB2312" w:hAnsi="仿宋_GB2312" w:eastAsia="仿宋_GB2312"/>
          <w:b/>
          <w:sz w:val="32"/>
        </w:rPr>
        <w:t>财政拨款支出总计460.86万元，</w:t>
      </w:r>
      <w:r>
        <w:rPr>
          <w:rFonts w:ascii="仿宋_GB2312" w:hAnsi="仿宋_GB2312" w:eastAsia="仿宋_GB2312"/>
          <w:b w:val="0"/>
          <w:sz w:val="32"/>
        </w:rPr>
        <w:t>其中：年末财政拨款结转和结余0.00万元，本年财政拨款支出460.86万元。</w:t>
      </w:r>
    </w:p>
    <w:p w14:paraId="750A538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减少27.14万元，下降5.56%，主要原因是：本年在职人员减少，相关人员经费较上年减少。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年初预算数469.94万元，决算数460.86万元，预决算差异率-1.93%，主要原因是：本年在职人员减少，年中调减人员经费，导致预决算存在差异。</w:t>
      </w:r>
    </w:p>
    <w:p w14:paraId="6B6F8CD2">
      <w:pPr>
        <w:spacing w:line="640" w:lineRule="exact"/>
        <w:ind w:firstLine="640"/>
        <w:jc w:val="both"/>
        <w:outlineLvl w:val="2"/>
      </w:pPr>
      <w:r>
        <w:rPr>
          <w:rFonts w:ascii="黑体" w:hAnsi="黑体" w:eastAsia="黑体"/>
          <w:sz w:val="32"/>
        </w:rPr>
        <w:t>五、一般公共预算财政拨款支出决算情况说明</w:t>
      </w:r>
    </w:p>
    <w:p w14:paraId="7E083181">
      <w:pPr>
        <w:spacing w:line="640" w:lineRule="exact"/>
        <w:ind w:firstLine="640"/>
        <w:jc w:val="both"/>
        <w:outlineLvl w:val="3"/>
      </w:pPr>
      <w:r>
        <w:rPr>
          <w:rFonts w:ascii="楷体_GB2312" w:hAnsi="楷体_GB2312" w:eastAsia="楷体_GB2312"/>
          <w:b/>
          <w:sz w:val="32"/>
        </w:rPr>
        <w:t>（一）一般公共预算财政拨款支出决算总体情况</w:t>
      </w:r>
    </w:p>
    <w:p w14:paraId="41A91035">
      <w:pPr>
        <w:spacing w:line="580" w:lineRule="exact"/>
        <w:ind w:firstLine="640"/>
        <w:jc w:val="both"/>
      </w:pPr>
      <w:r>
        <w:rPr>
          <w:rFonts w:ascii="仿宋_GB2312" w:hAnsi="仿宋_GB2312" w:eastAsia="仿宋_GB2312"/>
          <w:b/>
          <w:sz w:val="32"/>
        </w:rPr>
        <w:t>2024年度一般公共预算财政拨款支出460.86万元，</w:t>
      </w:r>
      <w:r>
        <w:rPr>
          <w:rFonts w:ascii="仿宋_GB2312" w:hAnsi="仿宋_GB2312" w:eastAsia="仿宋_GB2312"/>
          <w:b w:val="0"/>
          <w:sz w:val="32"/>
        </w:rPr>
        <w:t>占本年支出合计的99.98%。</w:t>
      </w:r>
      <w:r>
        <w:rPr>
          <w:rFonts w:ascii="仿宋_GB2312" w:hAnsi="仿宋_GB2312" w:eastAsia="仿宋_GB2312"/>
          <w:b/>
          <w:sz w:val="32"/>
        </w:rPr>
        <w:t>与上年相比，</w:t>
      </w:r>
      <w:r>
        <w:rPr>
          <w:rFonts w:ascii="仿宋_GB2312" w:hAnsi="仿宋_GB2312" w:eastAsia="仿宋_GB2312"/>
          <w:b w:val="0"/>
          <w:sz w:val="32"/>
        </w:rPr>
        <w:t>减少27.14万元，下降5.56%，主要原因是：本年在职人员减少，相关人员经费较上年减少。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年初预算数469.94万元，决算数460.86万元，预决算差异率-1.93%，主要原因是：本年在职人员减少，年中调减人员经费，导致预决算存在差异。</w:t>
      </w:r>
    </w:p>
    <w:p w14:paraId="6F868031">
      <w:pPr>
        <w:spacing w:line="640" w:lineRule="exact"/>
        <w:ind w:firstLine="640"/>
        <w:jc w:val="both"/>
        <w:outlineLvl w:val="3"/>
      </w:pPr>
      <w:r>
        <w:rPr>
          <w:rFonts w:ascii="楷体_GB2312" w:hAnsi="楷体_GB2312" w:eastAsia="楷体_GB2312"/>
          <w:b/>
          <w:sz w:val="32"/>
        </w:rPr>
        <w:t>（二）一般公共预算财政拨款支出决算结构情况</w:t>
      </w:r>
    </w:p>
    <w:p w14:paraId="1E537236">
      <w:pPr>
        <w:spacing w:line="580" w:lineRule="exact"/>
        <w:ind w:firstLine="640"/>
        <w:jc w:val="both"/>
      </w:pPr>
      <w:r>
        <w:rPr>
          <w:rFonts w:ascii="仿宋_GB2312" w:hAnsi="仿宋_GB2312" w:eastAsia="仿宋_GB2312"/>
          <w:b w:val="0"/>
          <w:sz w:val="32"/>
        </w:rPr>
        <w:t>1.科学技术支出(类)10.00万元,占2.17%。</w:t>
      </w:r>
    </w:p>
    <w:p w14:paraId="23ABD441">
      <w:pPr>
        <w:spacing w:line="580" w:lineRule="exact"/>
        <w:ind w:firstLine="640"/>
        <w:jc w:val="both"/>
      </w:pPr>
      <w:r>
        <w:rPr>
          <w:rFonts w:ascii="仿宋_GB2312" w:hAnsi="仿宋_GB2312" w:eastAsia="仿宋_GB2312"/>
          <w:b w:val="0"/>
          <w:sz w:val="32"/>
        </w:rPr>
        <w:t>2.社会保障和就业支出(类)77.95万元,占16.91%。</w:t>
      </w:r>
    </w:p>
    <w:p w14:paraId="3891D72F">
      <w:pPr>
        <w:spacing w:line="580" w:lineRule="exact"/>
        <w:ind w:firstLine="640"/>
        <w:jc w:val="both"/>
      </w:pPr>
      <w:r>
        <w:rPr>
          <w:rFonts w:ascii="仿宋_GB2312" w:hAnsi="仿宋_GB2312" w:eastAsia="仿宋_GB2312"/>
          <w:b w:val="0"/>
          <w:sz w:val="32"/>
        </w:rPr>
        <w:t>3.卫生健康支出(类)16.85万元,占3.66%。</w:t>
      </w:r>
    </w:p>
    <w:p w14:paraId="0940D3DD">
      <w:pPr>
        <w:spacing w:line="580" w:lineRule="exact"/>
        <w:ind w:firstLine="640"/>
        <w:jc w:val="both"/>
      </w:pPr>
      <w:r>
        <w:rPr>
          <w:rFonts w:ascii="仿宋_GB2312" w:hAnsi="仿宋_GB2312" w:eastAsia="仿宋_GB2312"/>
          <w:b w:val="0"/>
          <w:sz w:val="32"/>
        </w:rPr>
        <w:t>4.农林水支出(类)326.18万元,占70.78%。</w:t>
      </w:r>
    </w:p>
    <w:p w14:paraId="0B778819">
      <w:pPr>
        <w:spacing w:line="580" w:lineRule="exact"/>
        <w:ind w:firstLine="640"/>
        <w:jc w:val="both"/>
      </w:pPr>
      <w:r>
        <w:rPr>
          <w:rFonts w:ascii="仿宋_GB2312" w:hAnsi="仿宋_GB2312" w:eastAsia="仿宋_GB2312"/>
          <w:b w:val="0"/>
          <w:sz w:val="32"/>
        </w:rPr>
        <w:t>5.住房保障支出(类)29.87万元,占6.48%。</w:t>
      </w:r>
    </w:p>
    <w:p w14:paraId="123F1E72">
      <w:pPr>
        <w:spacing w:line="640" w:lineRule="exact"/>
        <w:ind w:firstLine="640"/>
        <w:jc w:val="both"/>
        <w:outlineLvl w:val="3"/>
      </w:pPr>
      <w:r>
        <w:rPr>
          <w:rFonts w:ascii="楷体_GB2312" w:hAnsi="楷体_GB2312" w:eastAsia="楷体_GB2312"/>
          <w:b/>
          <w:sz w:val="32"/>
        </w:rPr>
        <w:t>（三）一般公共预算财政拨款支出决算具体情况</w:t>
      </w:r>
    </w:p>
    <w:p w14:paraId="2FC63F2A">
      <w:pPr>
        <w:spacing w:line="580" w:lineRule="exact"/>
        <w:ind w:firstLine="640"/>
        <w:jc w:val="both"/>
      </w:pPr>
      <w:r>
        <w:rPr>
          <w:rFonts w:ascii="仿宋_GB2312" w:hAnsi="仿宋_GB2312" w:eastAsia="仿宋_GB2312"/>
          <w:b w:val="0"/>
          <w:sz w:val="32"/>
        </w:rPr>
        <w:t>1.科学技术支出(类)科学技术管理事务(款)其他科学技术管理事务支出(项):支出决算数为10.00万元，比上年决算增加10.00万元，增长100.00%,主要原因是：本年功能科目调整，冬小麦和玉米品种对比试验田项目上年度在其他农业农村支出科目列支，本年度在其他科学技术管理事务支出科目列支，导致经费较上年增加。</w:t>
      </w:r>
    </w:p>
    <w:p w14:paraId="2C8D2ACA">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34.48万元，比上年决算增加34.48万元，增长100.00%,主要原因是：本年功能科目调整，事业单位离退休上年度在主科目列支，本年单独列支，导致经费较上年增加。</w:t>
      </w:r>
    </w:p>
    <w:p w14:paraId="63169A64">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39.26万元，比上年决算增加4.96万元，增长14.46%,主要原因是：本年在职人员工资基数调增，养老缴费基数上涨，相应支出增加。</w:t>
      </w:r>
    </w:p>
    <w:p w14:paraId="1E8CE656">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4.社会保障和就业支出(类)行政事业单位养老支出(款)机关事业单位职业年金缴费支出(项):支出决算数为4.21万元，比上年决算增加1.33万元，增长46.18%,主要原因是：本年新增调出人员，职业年金缴费支出增加。</w:t>
      </w:r>
    </w:p>
    <w:p w14:paraId="385C35E9">
      <w:pPr>
        <w:spacing w:line="580" w:lineRule="exact"/>
        <w:ind w:firstLine="640"/>
        <w:jc w:val="both"/>
      </w:pPr>
      <w:r>
        <w:rPr>
          <w:rFonts w:ascii="仿宋_GB2312" w:hAnsi="仿宋_GB2312" w:eastAsia="仿宋_GB2312"/>
          <w:b w:val="0"/>
          <w:sz w:val="32"/>
        </w:rPr>
        <w:t>5.卫生健康支出(类)行政事业单位医疗(款)事业单位医疗(项):支出决算数为16.19万元，比上年决算增加16.19万元，增长100.00%,主要原因是：本年功能科目调整，事业单位医疗支出上年度在主科目列支，本年单独列支，导致经费较上年增加。</w:t>
      </w:r>
    </w:p>
    <w:p w14:paraId="7BF91F8C">
      <w:pPr>
        <w:spacing w:line="580" w:lineRule="exact"/>
        <w:ind w:firstLine="640"/>
        <w:jc w:val="both"/>
      </w:pPr>
      <w:r>
        <w:rPr>
          <w:rFonts w:ascii="仿宋_GB2312" w:hAnsi="仿宋_GB2312" w:eastAsia="仿宋_GB2312"/>
          <w:b w:val="0"/>
          <w:sz w:val="32"/>
        </w:rPr>
        <w:t>6.卫生健康支出(类)行政事业单位医疗(款)公务员医疗补助(项):支出决算数为0.67万元，比上年决算增加0.67万元，增长100.00%,主要原因是：本年功能科目调整，公务员医疗补助上年度在主科目列支，本年单独列支，导致经费较上年增加。</w:t>
      </w:r>
    </w:p>
    <w:p w14:paraId="39AE75B9">
      <w:pPr>
        <w:spacing w:line="580" w:lineRule="exact"/>
        <w:ind w:firstLine="640"/>
        <w:jc w:val="both"/>
      </w:pPr>
      <w:r>
        <w:rPr>
          <w:rFonts w:ascii="仿宋_GB2312" w:hAnsi="仿宋_GB2312" w:eastAsia="仿宋_GB2312"/>
          <w:b w:val="0"/>
          <w:sz w:val="32"/>
        </w:rPr>
        <w:t>7.农林水支出(类)农业农村(款)事业运行(项):支出决算数为326.18万元，比上年决算减少117.98万元，下降26.56%,主要原因是：本年功能科目调整，事业单位医疗、事业单位离退休、公务员医疗补助、住房公积金科目上年度在此科目列支，本年单独列支，导致经费较上年减少。</w:t>
      </w:r>
    </w:p>
    <w:p w14:paraId="68228A16">
      <w:pPr>
        <w:spacing w:line="580" w:lineRule="exact"/>
        <w:ind w:firstLine="640"/>
        <w:jc w:val="both"/>
      </w:pPr>
      <w:r>
        <w:rPr>
          <w:rFonts w:ascii="仿宋_GB2312" w:hAnsi="仿宋_GB2312" w:eastAsia="仿宋_GB2312"/>
          <w:b w:val="0"/>
          <w:sz w:val="32"/>
        </w:rPr>
        <w:t>8.农林水支出(类)农业农村(款)其他农业农村支出(项):支出决算数为0.00万元，比上年决算减少6.66万元，下降100.00%,主要原因是：本年功能科目调整，冬小麦和玉米品种对比试验田项目上年度在其他农业农村支出科目列支，本年度在其他科学技术管理事务支出科目列支，导致经费较上年减少。</w:t>
      </w:r>
    </w:p>
    <w:p w14:paraId="3025FBFB">
      <w:pPr>
        <w:spacing w:line="580" w:lineRule="exact"/>
        <w:ind w:firstLine="640"/>
        <w:jc w:val="both"/>
      </w:pPr>
      <w:r>
        <w:rPr>
          <w:rFonts w:ascii="仿宋_GB2312" w:hAnsi="仿宋_GB2312" w:eastAsia="仿宋_GB2312"/>
          <w:b w:val="0"/>
          <w:sz w:val="32"/>
        </w:rPr>
        <w:t>9.住房保障支出(类)住房改革支出(款)住房公积金(项):支出决算数为29.87万元，比上年决算增加29.87万元，增长100.00%,主要原因是：本年功能科目调整，住房公积金上年度在主科目列支，本年单独列支，导致经费较上年增加。</w:t>
      </w:r>
    </w:p>
    <w:p w14:paraId="7923755B">
      <w:pPr>
        <w:spacing w:line="640" w:lineRule="exact"/>
        <w:ind w:firstLine="640"/>
        <w:jc w:val="both"/>
        <w:outlineLvl w:val="2"/>
      </w:pPr>
      <w:r>
        <w:rPr>
          <w:rFonts w:ascii="黑体" w:hAnsi="黑体" w:eastAsia="黑体"/>
          <w:sz w:val="32"/>
        </w:rPr>
        <w:t>六、一般公共预算财政拨款基本支出决算情况说明</w:t>
      </w:r>
    </w:p>
    <w:p w14:paraId="4EC75E01">
      <w:pPr>
        <w:spacing w:line="580" w:lineRule="exact"/>
        <w:ind w:firstLine="640"/>
        <w:jc w:val="both"/>
      </w:pPr>
      <w:r>
        <w:rPr>
          <w:rFonts w:ascii="仿宋_GB2312" w:hAnsi="仿宋_GB2312" w:eastAsia="仿宋_GB2312"/>
          <w:b w:val="0"/>
          <w:sz w:val="32"/>
        </w:rPr>
        <w:t>2024年度一般公共预算财政拨款基本支出450.86万元，其中：</w:t>
      </w:r>
      <w:r>
        <w:rPr>
          <w:rFonts w:ascii="仿宋_GB2312" w:hAnsi="仿宋_GB2312" w:eastAsia="仿宋_GB2312"/>
          <w:b/>
          <w:sz w:val="32"/>
        </w:rPr>
        <w:t>人员经费420.31万元，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包括：基本工资、津贴补贴、奖金、机关事业单位基本养老保险缴费、职业年金缴费、职工基本医疗保险缴费、公务员医疗补助缴费、其他社会保障缴费、住房公积金、退休费、抚恤金、生活补助、奖励金。</w:t>
      </w:r>
    </w:p>
    <w:p w14:paraId="403545A6">
      <w:pPr>
        <w:spacing w:line="580" w:lineRule="exact"/>
        <w:ind w:firstLine="640"/>
        <w:jc w:val="both"/>
      </w:pPr>
      <w:r>
        <w:rPr>
          <w:rFonts w:ascii="仿宋_GB2312" w:hAnsi="仿宋_GB2312" w:eastAsia="仿宋_GB2312"/>
          <w:b/>
          <w:sz w:val="32"/>
        </w:rPr>
        <w:t>公用经费30.55万元，</w:t>
      </w:r>
      <w:r>
        <w:rPr>
          <w:rFonts w:ascii="仿宋_GB2312" w:hAnsi="仿宋_GB2312" w:eastAsia="仿宋_GB2312"/>
          <w:b w:val="0"/>
          <w:sz w:val="32"/>
        </w:rPr>
        <w:t>包括：办公费、水费、电费、取暖费、差旅费、维修（护）费、工会经费、福利费、公务用车运行维护费、其他交通费用、税金及附加费用。</w:t>
      </w:r>
    </w:p>
    <w:p w14:paraId="11DEC69E">
      <w:pPr>
        <w:spacing w:line="640" w:lineRule="exact"/>
        <w:ind w:firstLine="640"/>
        <w:jc w:val="both"/>
        <w:outlineLvl w:val="2"/>
      </w:pPr>
      <w:r>
        <w:rPr>
          <w:rFonts w:ascii="黑体" w:hAnsi="黑体" w:eastAsia="黑体"/>
          <w:sz w:val="32"/>
        </w:rPr>
        <w:t>七、政府性基金预算财政拨款收入支出决算情况说明</w:t>
      </w:r>
    </w:p>
    <w:p w14:paraId="6DD736F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67C6DE9">
      <w:pPr>
        <w:spacing w:line="640" w:lineRule="exact"/>
        <w:ind w:firstLine="640"/>
        <w:jc w:val="both"/>
        <w:outlineLvl w:val="2"/>
      </w:pPr>
      <w:r>
        <w:rPr>
          <w:rFonts w:ascii="黑体" w:hAnsi="黑体" w:eastAsia="黑体"/>
          <w:sz w:val="32"/>
        </w:rPr>
        <w:t>八、国有资本经营预算财政拨款收入支出决算情况说明</w:t>
      </w:r>
    </w:p>
    <w:p w14:paraId="1C50876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0883E2">
      <w:pPr>
        <w:spacing w:line="640" w:lineRule="exact"/>
        <w:ind w:firstLine="640"/>
        <w:jc w:val="both"/>
        <w:outlineLvl w:val="2"/>
      </w:pPr>
      <w:r>
        <w:rPr>
          <w:rFonts w:ascii="黑体" w:hAnsi="黑体" w:eastAsia="黑体"/>
          <w:sz w:val="32"/>
        </w:rPr>
        <w:t>九、财政拨款“三公”经费支出决算情况说明</w:t>
      </w:r>
    </w:p>
    <w:p w14:paraId="27ABCA82">
      <w:pPr>
        <w:spacing w:line="580" w:lineRule="exact"/>
        <w:ind w:firstLine="640"/>
        <w:jc w:val="both"/>
      </w:pPr>
      <w:r>
        <w:rPr>
          <w:rFonts w:ascii="仿宋_GB2312" w:hAnsi="仿宋_GB2312" w:eastAsia="仿宋_GB2312"/>
          <w:b/>
          <w:sz w:val="32"/>
        </w:rPr>
        <w:t>2024年度财政拨款“三公”经费支出1.42万元，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1.42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041B162A">
      <w:pPr>
        <w:spacing w:line="580" w:lineRule="exact"/>
        <w:ind w:firstLine="640"/>
        <w:jc w:val="both"/>
      </w:pPr>
      <w:r>
        <w:rPr>
          <w:rFonts w:ascii="仿宋_GB2312" w:hAnsi="仿宋_GB2312" w:eastAsia="仿宋_GB2312"/>
          <w:b/>
          <w:sz w:val="32"/>
        </w:rPr>
        <w:t>具体情况如下：</w:t>
      </w:r>
    </w:p>
    <w:p w14:paraId="6083F54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6858EE8">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6C4FDB2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92F462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0.00万元，决算数0.00万元，预决算差异率0.00%，主要原因是：本单位无公务接待费。</w:t>
      </w:r>
    </w:p>
    <w:p w14:paraId="61615E87">
      <w:pPr>
        <w:spacing w:line="640" w:lineRule="exact"/>
        <w:ind w:firstLine="640"/>
        <w:jc w:val="both"/>
        <w:outlineLvl w:val="2"/>
      </w:pPr>
      <w:r>
        <w:rPr>
          <w:rFonts w:ascii="黑体" w:hAnsi="黑体" w:eastAsia="黑体"/>
          <w:sz w:val="32"/>
        </w:rPr>
        <w:t>十、其他重要事项的情况说明</w:t>
      </w:r>
    </w:p>
    <w:p w14:paraId="0E13A750">
      <w:pPr>
        <w:spacing w:line="640" w:lineRule="exact"/>
        <w:ind w:firstLine="640"/>
        <w:jc w:val="both"/>
        <w:outlineLvl w:val="3"/>
      </w:pPr>
      <w:r>
        <w:rPr>
          <w:rFonts w:ascii="楷体_GB2312" w:hAnsi="楷体_GB2312" w:eastAsia="楷体_GB2312"/>
          <w:b/>
          <w:sz w:val="32"/>
        </w:rPr>
        <w:t>（一）机关运行经费及公用经费支出情况</w:t>
      </w:r>
    </w:p>
    <w:p w14:paraId="14C312AE">
      <w:pPr>
        <w:spacing w:line="580" w:lineRule="exact"/>
        <w:ind w:firstLine="640"/>
        <w:jc w:val="both"/>
      </w:pPr>
      <w:r>
        <w:rPr>
          <w:rFonts w:ascii="仿宋_GB2312" w:hAnsi="仿宋_GB2312" w:eastAsia="仿宋_GB2312"/>
          <w:b w:val="0"/>
          <w:sz w:val="32"/>
        </w:rPr>
        <w:t>2024年度和田地区种业发展中心（事业单位）公用经费支出30.55万元，比上年增加9.48万元，增长44.99%，主要原因是：本年电费、维修业务量增加，公用经费增加。</w:t>
      </w:r>
    </w:p>
    <w:p w14:paraId="29CE4819">
      <w:pPr>
        <w:spacing w:line="640" w:lineRule="exact"/>
        <w:ind w:firstLine="640"/>
        <w:jc w:val="both"/>
        <w:outlineLvl w:val="3"/>
      </w:pPr>
      <w:r>
        <w:rPr>
          <w:rFonts w:ascii="楷体_GB2312" w:hAnsi="楷体_GB2312" w:eastAsia="楷体_GB2312"/>
          <w:b/>
          <w:sz w:val="32"/>
        </w:rPr>
        <w:t>（二）政府采购情况</w:t>
      </w:r>
    </w:p>
    <w:p w14:paraId="2E1DAA2A">
      <w:pPr>
        <w:spacing w:line="580" w:lineRule="exact"/>
        <w:ind w:firstLine="640"/>
        <w:jc w:val="both"/>
      </w:pPr>
      <w:r>
        <w:rPr>
          <w:rFonts w:ascii="仿宋_GB2312" w:hAnsi="仿宋_GB2312" w:eastAsia="仿宋_GB2312"/>
          <w:b w:val="0"/>
          <w:sz w:val="32"/>
        </w:rPr>
        <w:t>2024年度政府采购支出总额0.33万元，其中：政府采购货物支出0.00万元、政府采购工程支出0.00万元、政府采购服务支出0.33万元。</w:t>
      </w:r>
    </w:p>
    <w:p w14:paraId="78FB3DD1">
      <w:pPr>
        <w:spacing w:line="580" w:lineRule="exact"/>
        <w:ind w:firstLine="640"/>
        <w:jc w:val="both"/>
      </w:pPr>
      <w:r>
        <w:rPr>
          <w:rFonts w:ascii="仿宋_GB2312" w:hAnsi="仿宋_GB2312" w:eastAsia="仿宋_GB2312"/>
          <w:b w:val="0"/>
          <w:sz w:val="32"/>
        </w:rPr>
        <w:t>授予中小企业合同金额0.33万元，占政府采购支出总额的100.00%，其中：授予小微企业合同金额0.33万元，占政府采购支出总额的100.00%。</w:t>
      </w:r>
    </w:p>
    <w:p w14:paraId="5ED6A0FF">
      <w:pPr>
        <w:spacing w:line="640" w:lineRule="exact"/>
        <w:ind w:firstLine="640"/>
        <w:jc w:val="both"/>
        <w:outlineLvl w:val="3"/>
      </w:pPr>
      <w:r>
        <w:rPr>
          <w:rFonts w:ascii="楷体_GB2312" w:hAnsi="楷体_GB2312" w:eastAsia="楷体_GB2312"/>
          <w:b/>
          <w:sz w:val="32"/>
        </w:rPr>
        <w:t>（三）国有资产占用情况说明</w:t>
      </w:r>
    </w:p>
    <w:p w14:paraId="26F03935">
      <w:pPr>
        <w:spacing w:line="580" w:lineRule="exact"/>
        <w:ind w:firstLine="640"/>
        <w:jc w:val="both"/>
      </w:pPr>
      <w:r>
        <w:rPr>
          <w:rFonts w:ascii="仿宋_GB2312" w:hAnsi="仿宋_GB2312" w:eastAsia="仿宋_GB2312"/>
          <w:b w:val="0"/>
          <w:sz w:val="32"/>
        </w:rPr>
        <w:t>截至2024年12月31日，房屋70.00平方米，价值2.06万元。车辆1辆，价值2.48万元，其中：副部（省）级及以上领导用车0辆、主要负责人用车0辆、机要通信用车0辆、应急保障用车0辆、执法执勤用车0辆、特种专业技术用车0辆、离退休干部服务用车0辆、其他用车1辆，其他用车主要是：一般公务用车，主要用于日常业务工作开展。单价100万元（含）以上设备（不含车辆）0台（套）。</w:t>
      </w:r>
    </w:p>
    <w:p w14:paraId="32C6E4D6">
      <w:pPr>
        <w:spacing w:line="640" w:lineRule="exact"/>
        <w:ind w:firstLine="640"/>
        <w:jc w:val="both"/>
        <w:outlineLvl w:val="2"/>
      </w:pPr>
      <w:r>
        <w:rPr>
          <w:rFonts w:ascii="黑体" w:hAnsi="黑体" w:eastAsia="黑体"/>
          <w:sz w:val="32"/>
        </w:rPr>
        <w:t>十一、预算绩效的情况说明</w:t>
      </w:r>
    </w:p>
    <w:p w14:paraId="4B1EF91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460.95万元，实际执行总额460.95万元；预算绩效评价项目1个，全年预算数10.00万元，全年执行数10.00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2024年度部门整体支出绩效目标，围绕部门职能、中长期规划、年度工作计划、重点工作任务及要求，确定年度部门整体支出的绩效目标，按照确定的部门职责履行情况、部门运行有效情况及部门职能设置具体的指标。拟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一）在岗位种子专业队伍人员少，种子专业技术能力有待提高。当前种子专业技术人员不稳定，专业培训少、知识老化等问题突出。（二）农作物新品种区域试验安排工作少。近几年种业工作上</w:t>
      </w:r>
      <w:r>
        <w:rPr>
          <w:rFonts w:hint="eastAsia" w:ascii="仿宋_GB2312" w:hAnsi="仿宋_GB2312" w:eastAsia="仿宋_GB2312"/>
          <w:b w:val="0"/>
          <w:sz w:val="32"/>
          <w:lang w:eastAsia="zh-CN"/>
        </w:rPr>
        <w:t>主要开展</w:t>
      </w:r>
      <w:r>
        <w:rPr>
          <w:rFonts w:ascii="仿宋_GB2312" w:hAnsi="仿宋_GB2312" w:eastAsia="仿宋_GB2312"/>
          <w:b w:val="0"/>
          <w:sz w:val="32"/>
        </w:rPr>
        <w:t>农作物新品种对比试验，</w:t>
      </w:r>
      <w:r>
        <w:rPr>
          <w:rFonts w:hint="eastAsia" w:ascii="仿宋_GB2312" w:hAnsi="仿宋_GB2312" w:eastAsia="仿宋_GB2312"/>
          <w:b w:val="0"/>
          <w:sz w:val="32"/>
          <w:lang w:eastAsia="zh-CN"/>
        </w:rPr>
        <w:t>开展</w:t>
      </w:r>
      <w:r>
        <w:rPr>
          <w:rFonts w:ascii="仿宋_GB2312" w:hAnsi="仿宋_GB2312" w:eastAsia="仿宋_GB2312"/>
          <w:b w:val="0"/>
          <w:sz w:val="32"/>
        </w:rPr>
        <w:t>农作物新品种区域试验</w:t>
      </w:r>
      <w:r>
        <w:rPr>
          <w:rFonts w:hint="eastAsia" w:ascii="仿宋_GB2312" w:hAnsi="仿宋_GB2312" w:eastAsia="仿宋_GB2312"/>
          <w:b w:val="0"/>
          <w:sz w:val="32"/>
          <w:lang w:eastAsia="zh-CN"/>
        </w:rPr>
        <w:t>较少</w:t>
      </w:r>
      <w:r>
        <w:rPr>
          <w:rFonts w:ascii="仿宋_GB2312" w:hAnsi="仿宋_GB2312" w:eastAsia="仿宋_GB2312"/>
          <w:b w:val="0"/>
          <w:sz w:val="32"/>
        </w:rPr>
        <w:t>。下一步改进措施：（一）加强农作物品种引进、试验、示范管理工作。继续抓好适合和田地区农业生产结构的新品种引进、试验、示范、推广工作，各个县市气候、 土壤条件不一样，品种</w:t>
      </w:r>
      <w:r>
        <w:rPr>
          <w:rFonts w:hint="eastAsia" w:ascii="仿宋_GB2312" w:hAnsi="仿宋_GB2312" w:eastAsia="仿宋_GB2312"/>
          <w:b w:val="0"/>
          <w:sz w:val="32"/>
          <w:lang w:eastAsia="zh-CN"/>
        </w:rPr>
        <w:t>田间</w:t>
      </w:r>
      <w:r>
        <w:rPr>
          <w:rFonts w:ascii="仿宋_GB2312" w:hAnsi="仿宋_GB2312" w:eastAsia="仿宋_GB2312"/>
          <w:b w:val="0"/>
          <w:sz w:val="32"/>
        </w:rPr>
        <w:t>表现差</w:t>
      </w:r>
      <w:r>
        <w:rPr>
          <w:rFonts w:hint="eastAsia" w:ascii="仿宋_GB2312" w:hAnsi="仿宋_GB2312" w:eastAsia="仿宋_GB2312"/>
          <w:b w:val="0"/>
          <w:sz w:val="32"/>
          <w:lang w:eastAsia="zh-CN"/>
        </w:rPr>
        <w:t>异较</w:t>
      </w:r>
      <w:r>
        <w:rPr>
          <w:rFonts w:ascii="仿宋_GB2312" w:hAnsi="仿宋_GB2312" w:eastAsia="仿宋_GB2312"/>
          <w:b w:val="0"/>
          <w:sz w:val="32"/>
        </w:rPr>
        <w:t>大，</w:t>
      </w:r>
      <w:r>
        <w:rPr>
          <w:rFonts w:hint="eastAsia" w:ascii="仿宋_GB2312" w:hAnsi="仿宋_GB2312" w:eastAsia="仿宋_GB2312"/>
          <w:b w:val="0"/>
          <w:sz w:val="32"/>
          <w:lang w:eastAsia="zh-CN"/>
        </w:rPr>
        <w:t>按照</w:t>
      </w:r>
      <w:r>
        <w:rPr>
          <w:rFonts w:ascii="仿宋_GB2312" w:hAnsi="仿宋_GB2312" w:eastAsia="仿宋_GB2312"/>
          <w:b w:val="0"/>
          <w:sz w:val="32"/>
        </w:rPr>
        <w:t>农作物新品种区域试验要求安排八个试验点（七个县一个市），</w:t>
      </w:r>
      <w:r>
        <w:rPr>
          <w:rFonts w:hint="eastAsia" w:ascii="仿宋_GB2312" w:hAnsi="仿宋_GB2312" w:eastAsia="仿宋_GB2312"/>
          <w:b w:val="0"/>
          <w:sz w:val="32"/>
          <w:lang w:eastAsia="zh-CN"/>
        </w:rPr>
        <w:t>观察</w:t>
      </w:r>
      <w:r>
        <w:rPr>
          <w:rFonts w:ascii="仿宋_GB2312" w:hAnsi="仿宋_GB2312" w:eastAsia="仿宋_GB2312"/>
          <w:b w:val="0"/>
          <w:sz w:val="32"/>
        </w:rPr>
        <w:t>区域试验品种的特征特性，能正确判断优良品种，2024年和田地区春播玉米品种评比展示试验点不少于2个点，筛选优质、高产、抗病的品种3-5个。（二）加强种子专业培训。2024年1月内开展地区农作物种子专业培训班，培训内容是种子法及法律法规、种子标签管理和使用、种子经营程序等，县市为单位（次），七个县1个市共开8次（场），参加培训对象是县市种业监管人员、种子检验员、种子销售者、种子使用者种植大户。具体附整体支出绩效自评表，项目支出绩效自评表和评价报告。</w:t>
      </w:r>
    </w:p>
    <w:p w14:paraId="36B2A56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B6EA57">
        <w:tblPrEx>
          <w:tblCellMar>
            <w:top w:w="0" w:type="dxa"/>
            <w:left w:w="108" w:type="dxa"/>
            <w:bottom w:w="0" w:type="dxa"/>
            <w:right w:w="108" w:type="dxa"/>
          </w:tblCellMar>
        </w:tblPrEx>
        <w:tc>
          <w:tcPr>
            <w:tcW w:w="8847" w:type="dxa"/>
            <w:gridSpan w:val="9"/>
            <w:vAlign w:val="center"/>
          </w:tcPr>
          <w:p w14:paraId="399875F3">
            <w:pPr>
              <w:jc w:val="center"/>
            </w:pPr>
            <w:r>
              <w:rPr>
                <w:rFonts w:ascii="宋体" w:hAnsi="宋体" w:eastAsia="宋体"/>
                <w:sz w:val="24"/>
              </w:rPr>
              <w:t>单位整体支出绩效自评表</w:t>
            </w:r>
          </w:p>
        </w:tc>
      </w:tr>
      <w:tr w14:paraId="3089C3D6">
        <w:tblPrEx>
          <w:tblCellMar>
            <w:top w:w="0" w:type="dxa"/>
            <w:left w:w="108" w:type="dxa"/>
            <w:bottom w:w="0" w:type="dxa"/>
            <w:right w:w="108" w:type="dxa"/>
          </w:tblCellMar>
        </w:tblPrEx>
        <w:tc>
          <w:tcPr>
            <w:tcW w:w="8847" w:type="dxa"/>
            <w:gridSpan w:val="9"/>
            <w:vAlign w:val="center"/>
          </w:tcPr>
          <w:p w14:paraId="4813ACC4">
            <w:pPr>
              <w:jc w:val="center"/>
            </w:pPr>
            <w:r>
              <w:rPr>
                <w:rFonts w:ascii="宋体" w:hAnsi="宋体" w:eastAsia="宋体"/>
                <w:sz w:val="24"/>
              </w:rPr>
              <w:t>（2024年度）</w:t>
            </w:r>
          </w:p>
        </w:tc>
      </w:tr>
      <w:tr w14:paraId="11E3BD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9D75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BDAF70B">
            <w:pPr>
              <w:jc w:val="center"/>
            </w:pPr>
            <w:r>
              <w:rPr>
                <w:rFonts w:ascii="宋体" w:hAnsi="宋体" w:eastAsia="宋体"/>
                <w:sz w:val="16"/>
              </w:rPr>
              <w:t>和田地区种业发展中心</w:t>
            </w:r>
          </w:p>
        </w:tc>
      </w:tr>
      <w:tr w14:paraId="088115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4F504">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CFC3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B1FD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6E67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83B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0C25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9392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879D4">
            <w:pPr>
              <w:jc w:val="center"/>
            </w:pPr>
            <w:r>
              <w:rPr>
                <w:rFonts w:ascii="宋体" w:hAnsi="宋体" w:eastAsia="宋体"/>
                <w:sz w:val="16"/>
              </w:rPr>
              <w:t>得分</w:t>
            </w:r>
          </w:p>
        </w:tc>
      </w:tr>
      <w:tr w14:paraId="2A5064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686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934A9">
            <w:pPr>
              <w:jc w:val="center"/>
            </w:pPr>
            <w:r>
              <w:rPr>
                <w:rFonts w:ascii="宋体" w:hAnsi="宋体" w:eastAsia="宋体"/>
                <w:sz w:val="16"/>
              </w:rPr>
              <w:t>年度总资</w:t>
            </w:r>
            <w:bookmarkStart w:id="0" w:name="_GoBack"/>
            <w:bookmarkEnd w:id="0"/>
            <w:r>
              <w:rPr>
                <w:rFonts w:ascii="宋体" w:hAnsi="宋体" w:eastAsia="宋体"/>
                <w:sz w:val="16"/>
              </w:rPr>
              <w:t>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0A582">
            <w:pPr>
              <w:jc w:val="center"/>
            </w:pPr>
            <w:r>
              <w:rPr>
                <w:rFonts w:ascii="宋体" w:hAnsi="宋体" w:eastAsia="宋体"/>
                <w:sz w:val="16"/>
              </w:rPr>
              <w:t>469.94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FBD71">
            <w:pPr>
              <w:jc w:val="center"/>
            </w:pPr>
            <w:r>
              <w:rPr>
                <w:rFonts w:ascii="宋体" w:hAnsi="宋体" w:eastAsia="宋体"/>
                <w:sz w:val="16"/>
              </w:rPr>
              <w:t>460.95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1F2E3">
            <w:pPr>
              <w:jc w:val="center"/>
            </w:pPr>
            <w:r>
              <w:rPr>
                <w:rFonts w:ascii="宋体" w:hAnsi="宋体" w:eastAsia="宋体"/>
                <w:sz w:val="16"/>
              </w:rPr>
              <w:t>460.95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34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3C0AB">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1B267">
            <w:pPr>
              <w:jc w:val="center"/>
            </w:pPr>
            <w:r>
              <w:rPr>
                <w:rFonts w:ascii="宋体" w:hAnsi="宋体" w:eastAsia="宋体"/>
                <w:sz w:val="16"/>
              </w:rPr>
              <w:t>10</w:t>
            </w:r>
          </w:p>
        </w:tc>
      </w:tr>
      <w:tr w14:paraId="32F299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628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BCB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013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7C3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F40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A5E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8D79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2B3B6">
            <w:pPr>
              <w:jc w:val="center"/>
            </w:pPr>
            <w:r>
              <w:rPr>
                <w:rFonts w:ascii="宋体" w:hAnsi="宋体" w:eastAsia="宋体"/>
                <w:sz w:val="16"/>
              </w:rPr>
              <w:t>—</w:t>
            </w:r>
          </w:p>
        </w:tc>
      </w:tr>
      <w:tr w14:paraId="47CAC7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1A8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5CFB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A8348">
            <w:pPr>
              <w:jc w:val="center"/>
            </w:pPr>
            <w:r>
              <w:rPr>
                <w:rFonts w:ascii="宋体" w:hAnsi="宋体" w:eastAsia="宋体"/>
                <w:sz w:val="16"/>
              </w:rPr>
              <w:t>469.94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0711E">
            <w:pPr>
              <w:jc w:val="center"/>
            </w:pPr>
            <w:r>
              <w:rPr>
                <w:rFonts w:ascii="宋体" w:hAnsi="宋体" w:eastAsia="宋体"/>
                <w:sz w:val="16"/>
              </w:rPr>
              <w:t>460.95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1C53">
            <w:pPr>
              <w:jc w:val="center"/>
            </w:pPr>
            <w:r>
              <w:rPr>
                <w:rFonts w:ascii="宋体" w:hAnsi="宋体" w:eastAsia="宋体"/>
                <w:sz w:val="16"/>
              </w:rPr>
              <w:t>460.95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10B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5AF8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5D6CF">
            <w:pPr>
              <w:jc w:val="center"/>
            </w:pPr>
            <w:r>
              <w:rPr>
                <w:rFonts w:ascii="宋体" w:hAnsi="宋体" w:eastAsia="宋体"/>
                <w:sz w:val="16"/>
              </w:rPr>
              <w:t>—</w:t>
            </w:r>
          </w:p>
        </w:tc>
      </w:tr>
      <w:tr w14:paraId="090B8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5D6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0E0E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8B8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10F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DE0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B30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3537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12E69">
            <w:pPr>
              <w:jc w:val="center"/>
            </w:pPr>
            <w:r>
              <w:rPr>
                <w:rFonts w:ascii="宋体" w:hAnsi="宋体" w:eastAsia="宋体"/>
                <w:sz w:val="16"/>
              </w:rPr>
              <w:t>—</w:t>
            </w:r>
          </w:p>
        </w:tc>
      </w:tr>
      <w:tr w14:paraId="08D8EA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91F7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6D165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0958AF">
            <w:pPr>
              <w:jc w:val="center"/>
            </w:pPr>
            <w:r>
              <w:rPr>
                <w:rFonts w:ascii="宋体" w:hAnsi="宋体" w:eastAsia="宋体"/>
                <w:sz w:val="16"/>
              </w:rPr>
              <w:t>实际完成目标</w:t>
            </w:r>
          </w:p>
        </w:tc>
      </w:tr>
      <w:tr w14:paraId="3DE733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CAB3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0B8C14">
            <w:pPr>
              <w:jc w:val="both"/>
            </w:pPr>
            <w:r>
              <w:rPr>
                <w:rFonts w:ascii="宋体" w:hAnsi="宋体" w:eastAsia="宋体"/>
                <w:sz w:val="16"/>
              </w:rPr>
              <w:t>目标1：对比实验用地120亩；目标2：实施对比实验冬小麦新品种数量30个；目标3：实施对比实验玉米新品种数量20个；目标4：对比试验项目验收合格率90%；目标5：和田地区种业发展中心为种植业发展提供技术与质量管理服务。主要从事农作物的引种、试验、示范、种子生产；种植业技术引进、适应实验、对比试验；农作物种子新品种小区试验、生产试验；农作物原种的生产、扩繁等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52B13A">
            <w:pPr>
              <w:jc w:val="both"/>
            </w:pPr>
            <w:r>
              <w:rPr>
                <w:rFonts w:hint="eastAsia" w:ascii="宋体" w:hAnsi="宋体"/>
                <w:sz w:val="16"/>
                <w:lang w:eastAsia="zh-CN"/>
              </w:rPr>
              <w:t>截至2024</w:t>
            </w:r>
            <w:r>
              <w:rPr>
                <w:rFonts w:ascii="宋体" w:hAnsi="宋体" w:eastAsia="宋体"/>
                <w:sz w:val="16"/>
              </w:rPr>
              <w:t>年12月31日，本单位实际完成对比实验用地120亩；实施对比实验冬小麦新品种数量30个；实施对比实验玉米新品种数量20个；对比试验项目验收合格率100%；实际形成支出460.95万元，通过完成以上工作，实现了为种植业发展提供技术与质量管理服务的效益。</w:t>
            </w:r>
          </w:p>
        </w:tc>
      </w:tr>
      <w:tr w14:paraId="620D66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F47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9C47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5ADE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48DE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31ED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1A45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641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3D3A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9CB7D">
            <w:pPr>
              <w:jc w:val="center"/>
            </w:pPr>
            <w:r>
              <w:rPr>
                <w:rFonts w:ascii="宋体" w:hAnsi="宋体" w:eastAsia="宋体"/>
                <w:sz w:val="16"/>
              </w:rPr>
              <w:t>得分</w:t>
            </w:r>
          </w:p>
        </w:tc>
      </w:tr>
      <w:tr w14:paraId="029CC6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4A17A">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1BCD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69256">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D8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D0B95">
            <w:pPr>
              <w:jc w:val="center"/>
            </w:pPr>
            <w:r>
              <w:rPr>
                <w:rFonts w:ascii="宋体" w:hAnsi="宋体" w:eastAsia="宋体"/>
                <w:sz w:val="16"/>
              </w:rPr>
              <w:t>《关于加强</w:t>
            </w:r>
            <w:r>
              <w:rPr>
                <w:rFonts w:hint="eastAsia" w:ascii="宋体" w:hAnsi="宋体"/>
                <w:sz w:val="16"/>
                <w:lang w:eastAsia="zh-CN"/>
              </w:rPr>
              <w:t>“三公”经费</w:t>
            </w:r>
            <w:r>
              <w:rPr>
                <w:rFonts w:ascii="宋体" w:hAnsi="宋体" w:eastAsia="宋体"/>
                <w:sz w:val="16"/>
              </w:rPr>
              <w:t>管理严控一般性支出的通知》财预</w:t>
            </w:r>
            <w:r>
              <w:rPr>
                <w:rFonts w:hint="eastAsia" w:ascii="宋体" w:hAnsi="宋体"/>
                <w:sz w:val="16"/>
                <w:lang w:eastAsia="zh-CN"/>
              </w:rPr>
              <w:t>〔2022〕126号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554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E12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91BB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B76F8">
            <w:pPr>
              <w:jc w:val="center"/>
            </w:pPr>
            <w:r>
              <w:rPr>
                <w:rFonts w:ascii="宋体" w:hAnsi="宋体" w:eastAsia="宋体"/>
                <w:sz w:val="16"/>
              </w:rPr>
              <w:t>10</w:t>
            </w:r>
          </w:p>
        </w:tc>
      </w:tr>
      <w:tr w14:paraId="59902C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CB20E">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A61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91DC0">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4DB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F7E27">
            <w:pPr>
              <w:jc w:val="center"/>
            </w:pPr>
            <w:r>
              <w:rPr>
                <w:rFonts w:ascii="宋体" w:hAnsi="宋体" w:eastAsia="宋体"/>
                <w:sz w:val="16"/>
              </w:rPr>
              <w:t>预决算公开文件要求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7E8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42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8240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B1F42">
            <w:pPr>
              <w:jc w:val="center"/>
            </w:pPr>
            <w:r>
              <w:rPr>
                <w:rFonts w:ascii="宋体" w:hAnsi="宋体" w:eastAsia="宋体"/>
                <w:sz w:val="16"/>
              </w:rPr>
              <w:t>10</w:t>
            </w:r>
          </w:p>
        </w:tc>
      </w:tr>
      <w:tr w14:paraId="7918AA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77166">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51F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6D923">
            <w:pPr>
              <w:jc w:val="center"/>
            </w:pPr>
            <w:r>
              <w:rPr>
                <w:rFonts w:ascii="宋体" w:hAnsi="宋体" w:eastAsia="宋体"/>
                <w:sz w:val="16"/>
              </w:rPr>
              <w:t>对比实验用地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33D9">
            <w:pPr>
              <w:jc w:val="center"/>
            </w:pPr>
            <w:r>
              <w:rPr>
                <w:rFonts w:ascii="宋体" w:hAnsi="宋体" w:eastAsia="宋体"/>
                <w:sz w:val="16"/>
              </w:rPr>
              <w:t>≥120亩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BCC1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8AA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7BBD9">
            <w:pPr>
              <w:jc w:val="center"/>
            </w:pPr>
            <w:r>
              <w:rPr>
                <w:rFonts w:ascii="宋体" w:hAnsi="宋体" w:eastAsia="宋体"/>
                <w:sz w:val="16"/>
              </w:rPr>
              <w:t>120亩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58A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3FBE2">
            <w:pPr>
              <w:jc w:val="center"/>
            </w:pPr>
            <w:r>
              <w:rPr>
                <w:rFonts w:ascii="宋体" w:hAnsi="宋体" w:eastAsia="宋体"/>
                <w:sz w:val="16"/>
              </w:rPr>
              <w:t>15</w:t>
            </w:r>
          </w:p>
        </w:tc>
      </w:tr>
      <w:tr w14:paraId="2E0E44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0F4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F30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E973D">
            <w:pPr>
              <w:jc w:val="center"/>
            </w:pPr>
            <w:r>
              <w:rPr>
                <w:rFonts w:ascii="宋体" w:hAnsi="宋体" w:eastAsia="宋体"/>
                <w:sz w:val="16"/>
              </w:rPr>
              <w:t>实施对比实验冬小麦新品种数量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57BA6">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E8B1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8590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0A642">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0730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1959C">
            <w:pPr>
              <w:jc w:val="center"/>
            </w:pPr>
            <w:r>
              <w:rPr>
                <w:rFonts w:ascii="宋体" w:hAnsi="宋体" w:eastAsia="宋体"/>
                <w:sz w:val="16"/>
              </w:rPr>
              <w:t>15</w:t>
            </w:r>
          </w:p>
        </w:tc>
      </w:tr>
      <w:tr w14:paraId="263E82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19B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B376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43E89">
            <w:pPr>
              <w:jc w:val="center"/>
            </w:pPr>
            <w:r>
              <w:rPr>
                <w:rFonts w:ascii="宋体" w:hAnsi="宋体" w:eastAsia="宋体"/>
                <w:sz w:val="16"/>
              </w:rPr>
              <w:t>实施对比实验玉米新品种数量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E1ADC">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0535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0DE1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4318">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F8B9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8F0C9">
            <w:pPr>
              <w:jc w:val="center"/>
            </w:pPr>
            <w:r>
              <w:rPr>
                <w:rFonts w:ascii="宋体" w:hAnsi="宋体" w:eastAsia="宋体"/>
                <w:sz w:val="16"/>
              </w:rPr>
              <w:t>15</w:t>
            </w:r>
          </w:p>
        </w:tc>
      </w:tr>
      <w:tr w14:paraId="568E53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1A5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83A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CF3DB">
            <w:pPr>
              <w:jc w:val="center"/>
            </w:pPr>
            <w:r>
              <w:rPr>
                <w:rFonts w:ascii="宋体" w:hAnsi="宋体" w:eastAsia="宋体"/>
                <w:sz w:val="16"/>
              </w:rPr>
              <w:t>对比试验项目验收合格率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3DF9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E89C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542E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48E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9F1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DBBF6">
            <w:pPr>
              <w:jc w:val="center"/>
            </w:pPr>
            <w:r>
              <w:rPr>
                <w:rFonts w:ascii="宋体" w:hAnsi="宋体" w:eastAsia="宋体"/>
                <w:sz w:val="16"/>
              </w:rPr>
              <w:t>15</w:t>
            </w:r>
          </w:p>
        </w:tc>
      </w:tr>
      <w:tr w14:paraId="687623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8610F">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646C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957AF">
            <w:pPr>
              <w:jc w:val="center"/>
            </w:pPr>
            <w:r>
              <w:rPr>
                <w:rFonts w:ascii="宋体" w:hAnsi="宋体" w:eastAsia="宋体"/>
                <w:sz w:val="16"/>
              </w:rPr>
              <w:t>公共对部门履职效果满意度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60BE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5A13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5A6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529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D3EF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EE50C">
            <w:pPr>
              <w:jc w:val="center"/>
            </w:pPr>
            <w:r>
              <w:rPr>
                <w:rFonts w:ascii="宋体" w:hAnsi="宋体" w:eastAsia="宋体"/>
                <w:sz w:val="16"/>
              </w:rPr>
              <w:t>10</w:t>
            </w:r>
          </w:p>
        </w:tc>
      </w:tr>
    </w:tbl>
    <w:p w14:paraId="307363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AC3CE4">
        <w:tblPrEx>
          <w:tblCellMar>
            <w:top w:w="0" w:type="dxa"/>
            <w:left w:w="108" w:type="dxa"/>
            <w:bottom w:w="0" w:type="dxa"/>
            <w:right w:w="108" w:type="dxa"/>
          </w:tblCellMar>
        </w:tblPrEx>
        <w:tc>
          <w:tcPr>
            <w:tcW w:w="8847" w:type="dxa"/>
            <w:gridSpan w:val="9"/>
            <w:vAlign w:val="center"/>
          </w:tcPr>
          <w:p w14:paraId="2C88FECB">
            <w:pPr>
              <w:jc w:val="center"/>
            </w:pPr>
            <w:r>
              <w:rPr>
                <w:rFonts w:ascii="宋体" w:hAnsi="宋体" w:eastAsia="宋体"/>
                <w:sz w:val="24"/>
              </w:rPr>
              <w:t>项目支出绩效自评表</w:t>
            </w:r>
          </w:p>
        </w:tc>
      </w:tr>
      <w:tr w14:paraId="6838B23E">
        <w:tblPrEx>
          <w:tblCellMar>
            <w:top w:w="0" w:type="dxa"/>
            <w:left w:w="108" w:type="dxa"/>
            <w:bottom w:w="0" w:type="dxa"/>
            <w:right w:w="108" w:type="dxa"/>
          </w:tblCellMar>
        </w:tblPrEx>
        <w:tc>
          <w:tcPr>
            <w:tcW w:w="8847" w:type="dxa"/>
            <w:gridSpan w:val="9"/>
            <w:vAlign w:val="center"/>
          </w:tcPr>
          <w:p w14:paraId="5969B409">
            <w:pPr>
              <w:jc w:val="center"/>
            </w:pPr>
            <w:r>
              <w:rPr>
                <w:rFonts w:ascii="宋体" w:hAnsi="宋体" w:eastAsia="宋体"/>
                <w:sz w:val="24"/>
              </w:rPr>
              <w:t>(2024年度)</w:t>
            </w:r>
          </w:p>
        </w:tc>
      </w:tr>
      <w:tr w14:paraId="3A8B76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AA25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8AA596">
            <w:pPr>
              <w:jc w:val="center"/>
            </w:pPr>
            <w:r>
              <w:rPr>
                <w:rFonts w:ascii="宋体" w:hAnsi="宋体" w:eastAsia="宋体"/>
                <w:sz w:val="16"/>
              </w:rPr>
              <w:t>冬小麦品种评比展示试验项目</w:t>
            </w:r>
          </w:p>
        </w:tc>
      </w:tr>
      <w:tr w14:paraId="699E5A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DFAC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879B0B">
            <w:pPr>
              <w:jc w:val="center"/>
            </w:pPr>
            <w:r>
              <w:rPr>
                <w:rFonts w:ascii="宋体" w:hAnsi="宋体" w:eastAsia="宋体"/>
                <w:sz w:val="16"/>
              </w:rPr>
              <w:t>和田地区种业发展中心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3283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9B433B">
            <w:pPr>
              <w:jc w:val="center"/>
            </w:pPr>
            <w:r>
              <w:rPr>
                <w:rFonts w:ascii="宋体" w:hAnsi="宋体" w:eastAsia="宋体"/>
                <w:sz w:val="16"/>
              </w:rPr>
              <w:t>和田地区种业发展中心</w:t>
            </w:r>
          </w:p>
        </w:tc>
      </w:tr>
      <w:tr w14:paraId="203F43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7E38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518A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E54C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2DA3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ED9F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ACDF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9ACB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24678">
            <w:pPr>
              <w:jc w:val="center"/>
            </w:pPr>
            <w:r>
              <w:rPr>
                <w:rFonts w:ascii="宋体" w:hAnsi="宋体" w:eastAsia="宋体"/>
                <w:sz w:val="16"/>
              </w:rPr>
              <w:t>得分</w:t>
            </w:r>
          </w:p>
        </w:tc>
      </w:tr>
      <w:tr w14:paraId="318439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2C6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6975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77D2A">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9D2F0">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47C8E">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05B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8901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55902">
            <w:pPr>
              <w:jc w:val="center"/>
            </w:pPr>
            <w:r>
              <w:rPr>
                <w:rFonts w:ascii="宋体" w:hAnsi="宋体" w:eastAsia="宋体"/>
                <w:sz w:val="16"/>
              </w:rPr>
              <w:t>10.00分</w:t>
            </w:r>
          </w:p>
        </w:tc>
      </w:tr>
      <w:tr w14:paraId="28C87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1E6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5E8B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63169">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BD555">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5B597">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B04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02D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BF03A">
            <w:pPr>
              <w:jc w:val="center"/>
            </w:pPr>
            <w:r>
              <w:rPr>
                <w:rFonts w:ascii="宋体" w:hAnsi="宋体" w:eastAsia="宋体"/>
                <w:sz w:val="16"/>
              </w:rPr>
              <w:t>—</w:t>
            </w:r>
          </w:p>
        </w:tc>
      </w:tr>
      <w:tr w14:paraId="6C54A1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87A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1D1D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3D7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547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3A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6E3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919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1F489">
            <w:pPr>
              <w:jc w:val="center"/>
            </w:pPr>
            <w:r>
              <w:rPr>
                <w:rFonts w:ascii="宋体" w:hAnsi="宋体" w:eastAsia="宋体"/>
                <w:sz w:val="16"/>
              </w:rPr>
              <w:t>—</w:t>
            </w:r>
          </w:p>
        </w:tc>
      </w:tr>
      <w:tr w14:paraId="71103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133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E7A4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822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E6B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CE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C7A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2B9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9491B">
            <w:pPr>
              <w:jc w:val="center"/>
            </w:pPr>
            <w:r>
              <w:rPr>
                <w:rFonts w:ascii="宋体" w:hAnsi="宋体" w:eastAsia="宋体"/>
                <w:sz w:val="16"/>
              </w:rPr>
              <w:t>—</w:t>
            </w:r>
          </w:p>
        </w:tc>
      </w:tr>
      <w:tr w14:paraId="24CDD6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4DC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4F71F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E368B2">
            <w:pPr>
              <w:jc w:val="center"/>
            </w:pPr>
            <w:r>
              <w:rPr>
                <w:rFonts w:ascii="宋体" w:hAnsi="宋体" w:eastAsia="宋体"/>
                <w:sz w:val="16"/>
              </w:rPr>
              <w:t>实际完成情况</w:t>
            </w:r>
          </w:p>
        </w:tc>
      </w:tr>
      <w:tr w14:paraId="38E6A3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6B21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C6A1C9">
            <w:pPr>
              <w:jc w:val="both"/>
            </w:pPr>
            <w:r>
              <w:rPr>
                <w:rFonts w:ascii="宋体" w:hAnsi="宋体" w:eastAsia="宋体"/>
                <w:sz w:val="16"/>
              </w:rPr>
              <w:t>目标1：小麦新品种对比实验用地50亩；</w:t>
            </w:r>
            <w:r>
              <w:rPr>
                <w:rFonts w:ascii="宋体" w:hAnsi="宋体" w:eastAsia="宋体"/>
                <w:sz w:val="16"/>
              </w:rPr>
              <w:br w:type="textWrapping"/>
            </w:r>
            <w:r>
              <w:rPr>
                <w:rFonts w:ascii="宋体" w:hAnsi="宋体" w:eastAsia="宋体"/>
                <w:sz w:val="16"/>
              </w:rPr>
              <w:t>目标2：实施冬小麦新品种评比展示试验品种数量17个；</w:t>
            </w:r>
            <w:r>
              <w:rPr>
                <w:rFonts w:ascii="宋体" w:hAnsi="宋体" w:eastAsia="宋体"/>
                <w:sz w:val="16"/>
              </w:rPr>
              <w:br w:type="textWrapping"/>
            </w:r>
            <w:r>
              <w:rPr>
                <w:rFonts w:ascii="宋体" w:hAnsi="宋体" w:eastAsia="宋体"/>
                <w:sz w:val="16"/>
              </w:rPr>
              <w:t>目标3：组织召开现场观摩会议不少于2次；</w:t>
            </w:r>
            <w:r>
              <w:rPr>
                <w:rFonts w:ascii="宋体" w:hAnsi="宋体" w:eastAsia="宋体"/>
                <w:sz w:val="16"/>
              </w:rPr>
              <w:br w:type="textWrapping"/>
            </w:r>
            <w:r>
              <w:rPr>
                <w:rFonts w:ascii="宋体" w:hAnsi="宋体" w:eastAsia="宋体"/>
                <w:sz w:val="16"/>
              </w:rPr>
              <w:t>目标4：下乡调研次数不少于4次；</w:t>
            </w:r>
            <w:r>
              <w:rPr>
                <w:rFonts w:ascii="宋体" w:hAnsi="宋体" w:eastAsia="宋体"/>
                <w:sz w:val="16"/>
              </w:rPr>
              <w:br w:type="textWrapping"/>
            </w:r>
            <w:r>
              <w:rPr>
                <w:rFonts w:ascii="宋体" w:hAnsi="宋体" w:eastAsia="宋体"/>
                <w:sz w:val="16"/>
              </w:rPr>
              <w:t>目标5：保障业务用车不少于1辆；                                                                                                                                                                 目标6：通过项目实施，筛选出最适合和田地区冬小麦高产、稳产、抗病的小麦品种，为和田地区小麦种植提供高产栽培科学数据。从而扩大新品种繁种面积，加速品种更新换代，实现多方经济利益的提高。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8D987A">
            <w:pPr>
              <w:jc w:val="both"/>
            </w:pPr>
            <w:r>
              <w:rPr>
                <w:rFonts w:hint="eastAsia" w:ascii="宋体" w:hAnsi="宋体"/>
                <w:sz w:val="16"/>
                <w:lang w:eastAsia="zh-CN"/>
              </w:rPr>
              <w:t>截至</w:t>
            </w:r>
            <w:r>
              <w:rPr>
                <w:rFonts w:ascii="宋体" w:hAnsi="宋体" w:eastAsia="宋体"/>
                <w:sz w:val="16"/>
              </w:rPr>
              <w:t>2024年12月31日，本项目实际形成支出10万元，本项目已完成</w:t>
            </w:r>
            <w:r>
              <w:rPr>
                <w:rFonts w:hint="eastAsia" w:ascii="宋体" w:hAnsi="宋体"/>
                <w:sz w:val="16"/>
                <w:lang w:eastAsia="zh-CN"/>
              </w:rPr>
              <w:t>对比试验</w:t>
            </w:r>
            <w:r>
              <w:rPr>
                <w:rFonts w:ascii="宋体" w:hAnsi="宋体" w:eastAsia="宋体"/>
                <w:sz w:val="16"/>
              </w:rPr>
              <w:t>用地50亩，实施冬小麦新品种评比</w:t>
            </w:r>
            <w:r>
              <w:rPr>
                <w:rFonts w:hint="eastAsia" w:ascii="宋体" w:hAnsi="宋体"/>
                <w:sz w:val="16"/>
                <w:lang w:eastAsia="zh-CN"/>
              </w:rPr>
              <w:t>展示</w:t>
            </w:r>
            <w:r>
              <w:rPr>
                <w:rFonts w:ascii="宋体" w:hAnsi="宋体" w:eastAsia="宋体"/>
                <w:sz w:val="16"/>
              </w:rPr>
              <w:t>试验品种17种，下乡调研4次,组织召开现场观摩会议2次等任务，初步达到了提高当地农牧民收入，为当地小麦品种提供高产栽培科学数据，加速品种更新换代等效益，受益群众满意度达到100%。</w:t>
            </w:r>
          </w:p>
        </w:tc>
      </w:tr>
      <w:tr w14:paraId="1322EC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67DBB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CAE9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7182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B224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81A0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1ED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68B9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4B5D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B2C66">
            <w:pPr>
              <w:jc w:val="center"/>
            </w:pPr>
            <w:r>
              <w:rPr>
                <w:rFonts w:ascii="宋体" w:hAnsi="宋体" w:eastAsia="宋体"/>
                <w:sz w:val="16"/>
              </w:rPr>
              <w:t>偏差原因分析及改进措施</w:t>
            </w:r>
          </w:p>
        </w:tc>
      </w:tr>
      <w:tr w14:paraId="556E97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80AC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587B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6BCC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95F3D">
            <w:pPr>
              <w:jc w:val="center"/>
            </w:pPr>
            <w:r>
              <w:rPr>
                <w:rFonts w:ascii="宋体" w:hAnsi="宋体" w:eastAsia="宋体"/>
                <w:sz w:val="16"/>
              </w:rPr>
              <w:t>对比实验用地面积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332E8">
            <w:pPr>
              <w:jc w:val="center"/>
            </w:pPr>
            <w:r>
              <w:rPr>
                <w:rFonts w:ascii="宋体" w:hAnsi="宋体" w:eastAsia="宋体"/>
                <w:sz w:val="16"/>
              </w:rPr>
              <w:t>≥50亩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4B21A">
            <w:pPr>
              <w:jc w:val="center"/>
            </w:pPr>
            <w:r>
              <w:rPr>
                <w:rFonts w:ascii="宋体" w:hAnsi="宋体" w:eastAsia="宋体"/>
                <w:sz w:val="16"/>
              </w:rPr>
              <w:t>=50亩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E34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062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EF6B7">
            <w:pPr>
              <w:jc w:val="center"/>
            </w:pPr>
          </w:p>
        </w:tc>
      </w:tr>
      <w:tr w14:paraId="401D9E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1BC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7AE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8B2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CE83C">
            <w:pPr>
              <w:jc w:val="center"/>
            </w:pPr>
            <w:r>
              <w:rPr>
                <w:rFonts w:ascii="宋体" w:hAnsi="宋体" w:eastAsia="宋体"/>
                <w:sz w:val="16"/>
              </w:rPr>
              <w:t>实施冬小麦新品种评比展示试验品种数量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DBC25">
            <w:pPr>
              <w:jc w:val="center"/>
            </w:pPr>
            <w:r>
              <w:rPr>
                <w:rFonts w:ascii="宋体" w:hAnsi="宋体" w:eastAsia="宋体"/>
                <w:sz w:val="16"/>
              </w:rPr>
              <w: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51E5">
            <w:pPr>
              <w:jc w:val="center"/>
            </w:pPr>
            <w:r>
              <w:rPr>
                <w:rFonts w:ascii="宋体" w:hAnsi="宋体" w:eastAsia="宋体"/>
                <w:sz w:val="16"/>
              </w:rPr>
              <w: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E01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489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9FEBE">
            <w:pPr>
              <w:jc w:val="center"/>
            </w:pPr>
          </w:p>
        </w:tc>
      </w:tr>
      <w:tr w14:paraId="50DA62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A9D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008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73A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CAD72">
            <w:pPr>
              <w:jc w:val="center"/>
            </w:pPr>
            <w:r>
              <w:rPr>
                <w:rFonts w:ascii="宋体" w:hAnsi="宋体" w:eastAsia="宋体"/>
                <w:sz w:val="16"/>
              </w:rPr>
              <w:t>组织召开现场观摩会议次数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56C21">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5244A">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E38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DF3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7025E">
            <w:pPr>
              <w:jc w:val="center"/>
            </w:pPr>
          </w:p>
        </w:tc>
      </w:tr>
      <w:tr w14:paraId="5BCB31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7A6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75C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FAB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6E3B">
            <w:pPr>
              <w:jc w:val="center"/>
            </w:pPr>
            <w:r>
              <w:rPr>
                <w:rFonts w:ascii="宋体" w:hAnsi="宋体" w:eastAsia="宋体"/>
                <w:sz w:val="16"/>
              </w:rPr>
              <w:t>下乡调研次数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13AB3">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5370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2BF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4DD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1856B">
            <w:pPr>
              <w:jc w:val="center"/>
            </w:pPr>
          </w:p>
        </w:tc>
      </w:tr>
      <w:tr w14:paraId="1E591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651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3ED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363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AA080">
            <w:pPr>
              <w:jc w:val="center"/>
            </w:pPr>
            <w:r>
              <w:rPr>
                <w:rFonts w:ascii="宋体" w:hAnsi="宋体" w:eastAsia="宋体"/>
                <w:sz w:val="16"/>
              </w:rPr>
              <w:t>业务用车保障数量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24C64">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E1327">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82CF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EA14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2F035">
            <w:pPr>
              <w:jc w:val="center"/>
            </w:pPr>
          </w:p>
        </w:tc>
      </w:tr>
      <w:tr w14:paraId="41CF1F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B91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796A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7755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B4404">
            <w:pPr>
              <w:jc w:val="center"/>
            </w:pPr>
            <w:r>
              <w:rPr>
                <w:rFonts w:ascii="宋体" w:hAnsi="宋体" w:eastAsia="宋体"/>
                <w:sz w:val="16"/>
              </w:rPr>
              <w:t>对比试验验收合格率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2F1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514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E2E8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E7D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60C79">
            <w:pPr>
              <w:jc w:val="center"/>
            </w:pPr>
          </w:p>
        </w:tc>
      </w:tr>
      <w:tr w14:paraId="4B7AF2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588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DAC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6E0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A02B9">
            <w:pPr>
              <w:jc w:val="center"/>
            </w:pPr>
            <w:r>
              <w:rPr>
                <w:rFonts w:ascii="宋体" w:hAnsi="宋体" w:eastAsia="宋体"/>
                <w:sz w:val="16"/>
              </w:rPr>
              <w:t>下乡调研覆盖率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F6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93E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AC1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06D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18B70">
            <w:pPr>
              <w:jc w:val="center"/>
            </w:pPr>
          </w:p>
        </w:tc>
      </w:tr>
      <w:tr w14:paraId="3C4F93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F6D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F4A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07EC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EE8DD">
            <w:pPr>
              <w:jc w:val="center"/>
            </w:pPr>
            <w:r>
              <w:rPr>
                <w:rFonts w:ascii="宋体" w:hAnsi="宋体" w:eastAsia="宋体"/>
                <w:sz w:val="16"/>
              </w:rPr>
              <w:t>开展试验示范工作及时率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1D7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492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BC95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1E01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11EBB">
            <w:pPr>
              <w:jc w:val="center"/>
            </w:pPr>
          </w:p>
        </w:tc>
      </w:tr>
      <w:tr w14:paraId="363977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5E9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AFA7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B973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A257E">
            <w:pPr>
              <w:jc w:val="center"/>
            </w:pPr>
            <w:r>
              <w:rPr>
                <w:rFonts w:ascii="宋体" w:hAnsi="宋体" w:eastAsia="宋体"/>
                <w:sz w:val="16"/>
              </w:rPr>
              <w:t>实施冬小麦新品种试验、示范等方面费用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20870">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FEBC4">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412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D5A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9FC60">
            <w:pPr>
              <w:jc w:val="center"/>
            </w:pPr>
          </w:p>
        </w:tc>
      </w:tr>
      <w:tr w14:paraId="6EF755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458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C7A1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758CA">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35C43">
            <w:pPr>
              <w:jc w:val="center"/>
            </w:pPr>
            <w:r>
              <w:rPr>
                <w:rFonts w:ascii="宋体" w:hAnsi="宋体" w:eastAsia="宋体"/>
                <w:sz w:val="16"/>
              </w:rPr>
              <w:t>提高当地农牧民收入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D67F">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2083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6B1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A96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2C94F">
            <w:pPr>
              <w:jc w:val="center"/>
            </w:pPr>
          </w:p>
        </w:tc>
      </w:tr>
      <w:tr w14:paraId="2CD8FD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C59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6B3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5899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5C14B">
            <w:pPr>
              <w:jc w:val="center"/>
            </w:pPr>
            <w:r>
              <w:rPr>
                <w:rFonts w:ascii="宋体" w:hAnsi="宋体" w:eastAsia="宋体"/>
                <w:sz w:val="16"/>
              </w:rPr>
              <w:t>为当地小麦种植提供高产栽培科学数据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2D63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7CCE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4B21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BCF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FE370">
            <w:pPr>
              <w:jc w:val="center"/>
            </w:pPr>
          </w:p>
        </w:tc>
      </w:tr>
      <w:tr w14:paraId="758F0A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814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52E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03069">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F8272">
            <w:pPr>
              <w:jc w:val="center"/>
            </w:pPr>
            <w:r>
              <w:rPr>
                <w:rFonts w:ascii="宋体" w:hAnsi="宋体" w:eastAsia="宋体"/>
                <w:sz w:val="16"/>
              </w:rPr>
              <w:t>加速品种更新换代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711E">
            <w:pPr>
              <w:jc w:val="center"/>
            </w:pPr>
            <w:r>
              <w:rPr>
                <w:rFonts w:ascii="宋体" w:hAnsi="宋体" w:eastAsia="宋体"/>
                <w:sz w:val="16"/>
              </w:rPr>
              <w:t>不断增强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24CC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F5A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515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4FF71">
            <w:pPr>
              <w:jc w:val="center"/>
            </w:pPr>
          </w:p>
        </w:tc>
      </w:tr>
      <w:tr w14:paraId="40090E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E61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CBD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E8D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843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7155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8C5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CC0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D85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2CC86">
            <w:pPr>
              <w:jc w:val="center"/>
            </w:pPr>
          </w:p>
        </w:tc>
      </w:tr>
      <w:tr w14:paraId="7C990D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07F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BA7B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9338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3FBA6E">
            <w:pPr>
              <w:jc w:val="center"/>
            </w:pPr>
            <w:r>
              <w:rPr>
                <w:rFonts w:ascii="宋体" w:hAnsi="宋体" w:eastAsia="宋体"/>
                <w:sz w:val="16"/>
              </w:rPr>
              <w:t>95分</w:t>
            </w:r>
          </w:p>
        </w:tc>
      </w:tr>
    </w:tbl>
    <w:p w14:paraId="7D9670B0">
      <w:r>
        <w:br w:type="page"/>
      </w:r>
    </w:p>
    <w:p w14:paraId="2ADF7945">
      <w:pPr>
        <w:spacing w:line="640" w:lineRule="exact"/>
        <w:ind w:firstLine="640"/>
        <w:jc w:val="both"/>
        <w:outlineLvl w:val="2"/>
      </w:pPr>
      <w:r>
        <w:rPr>
          <w:rFonts w:ascii="黑体" w:hAnsi="黑体" w:eastAsia="黑体"/>
          <w:sz w:val="32"/>
        </w:rPr>
        <w:t>十二、其他需说明的事项</w:t>
      </w:r>
    </w:p>
    <w:p w14:paraId="6514C7AF">
      <w:pPr>
        <w:spacing w:line="580" w:lineRule="exact"/>
        <w:ind w:firstLine="640"/>
        <w:jc w:val="both"/>
      </w:pPr>
      <w:r>
        <w:rPr>
          <w:rFonts w:ascii="仿宋_GB2312" w:hAnsi="仿宋_GB2312" w:eastAsia="仿宋_GB2312"/>
          <w:b w:val="0"/>
          <w:sz w:val="32"/>
        </w:rPr>
        <w:t>本单位无其他需说明的事项。</w:t>
      </w:r>
    </w:p>
    <w:p w14:paraId="77C91B5A">
      <w:r>
        <w:br w:type="page"/>
      </w:r>
    </w:p>
    <w:p w14:paraId="23FFFCDD">
      <w:pPr>
        <w:spacing w:line="240" w:lineRule="auto"/>
        <w:jc w:val="center"/>
        <w:outlineLvl w:val="1"/>
      </w:pPr>
      <w:r>
        <w:rPr>
          <w:rFonts w:ascii="黑体" w:hAnsi="黑体" w:eastAsia="黑体"/>
          <w:sz w:val="32"/>
        </w:rPr>
        <w:t>第三部分 专业名词解释</w:t>
      </w:r>
    </w:p>
    <w:p w14:paraId="71799BC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AE9AD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9C23E6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F063A2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AA8EDA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81B3B9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03D36F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D1C687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AEA7B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92A563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95F82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C5549D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FC658F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FA0B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605ADEF">
      <w:r>
        <w:br w:type="page"/>
      </w:r>
    </w:p>
    <w:p w14:paraId="2B3A8222">
      <w:pPr>
        <w:spacing w:line="240" w:lineRule="auto"/>
        <w:jc w:val="center"/>
        <w:outlineLvl w:val="1"/>
      </w:pPr>
      <w:r>
        <w:rPr>
          <w:rFonts w:ascii="黑体" w:hAnsi="黑体" w:eastAsia="黑体"/>
          <w:sz w:val="32"/>
        </w:rPr>
        <w:t>第四部分 部门决算报表（见附表）</w:t>
      </w:r>
    </w:p>
    <w:p w14:paraId="7C74DF98">
      <w:pPr>
        <w:spacing w:line="240" w:lineRule="auto"/>
        <w:ind w:firstLine="640"/>
        <w:jc w:val="both"/>
      </w:pPr>
      <w:r>
        <w:rPr>
          <w:rFonts w:ascii="仿宋_GB2312" w:hAnsi="仿宋_GB2312" w:eastAsia="仿宋_GB2312"/>
          <w:b w:val="0"/>
          <w:sz w:val="32"/>
        </w:rPr>
        <w:t>一、《收入支出决算总表》</w:t>
      </w:r>
    </w:p>
    <w:p w14:paraId="69763868">
      <w:pPr>
        <w:spacing w:line="240" w:lineRule="auto"/>
        <w:ind w:firstLine="640"/>
        <w:jc w:val="both"/>
      </w:pPr>
      <w:r>
        <w:rPr>
          <w:rFonts w:ascii="仿宋_GB2312" w:hAnsi="仿宋_GB2312" w:eastAsia="仿宋_GB2312"/>
          <w:b w:val="0"/>
          <w:sz w:val="32"/>
        </w:rPr>
        <w:t>二、《收入决算表》</w:t>
      </w:r>
    </w:p>
    <w:p w14:paraId="786586EF">
      <w:pPr>
        <w:spacing w:line="240" w:lineRule="auto"/>
        <w:ind w:firstLine="640"/>
        <w:jc w:val="both"/>
      </w:pPr>
      <w:r>
        <w:rPr>
          <w:rFonts w:ascii="仿宋_GB2312" w:hAnsi="仿宋_GB2312" w:eastAsia="仿宋_GB2312"/>
          <w:b w:val="0"/>
          <w:sz w:val="32"/>
        </w:rPr>
        <w:t>三、《支出决算表》</w:t>
      </w:r>
    </w:p>
    <w:p w14:paraId="354CD9AB">
      <w:pPr>
        <w:spacing w:line="240" w:lineRule="auto"/>
        <w:ind w:firstLine="640"/>
        <w:jc w:val="both"/>
      </w:pPr>
      <w:r>
        <w:rPr>
          <w:rFonts w:ascii="仿宋_GB2312" w:hAnsi="仿宋_GB2312" w:eastAsia="仿宋_GB2312"/>
          <w:b w:val="0"/>
          <w:sz w:val="32"/>
        </w:rPr>
        <w:t>四、《财政拨款收入支出决算总表》</w:t>
      </w:r>
    </w:p>
    <w:p w14:paraId="6A24F73F">
      <w:pPr>
        <w:spacing w:line="240" w:lineRule="auto"/>
        <w:ind w:firstLine="640"/>
        <w:jc w:val="both"/>
      </w:pPr>
      <w:r>
        <w:rPr>
          <w:rFonts w:ascii="仿宋_GB2312" w:hAnsi="仿宋_GB2312" w:eastAsia="仿宋_GB2312"/>
          <w:b w:val="0"/>
          <w:sz w:val="32"/>
        </w:rPr>
        <w:t>五、《一般公共预算财政拨款支出决算表》</w:t>
      </w:r>
    </w:p>
    <w:p w14:paraId="43B55518">
      <w:pPr>
        <w:spacing w:line="240" w:lineRule="auto"/>
        <w:ind w:firstLine="640"/>
        <w:jc w:val="both"/>
      </w:pPr>
      <w:r>
        <w:rPr>
          <w:rFonts w:ascii="仿宋_GB2312" w:hAnsi="仿宋_GB2312" w:eastAsia="仿宋_GB2312"/>
          <w:b w:val="0"/>
          <w:sz w:val="32"/>
        </w:rPr>
        <w:t>六、《一般公共预算财政拨款基本支出决算表》</w:t>
      </w:r>
    </w:p>
    <w:p w14:paraId="56E2ECF6">
      <w:pPr>
        <w:spacing w:line="240" w:lineRule="auto"/>
        <w:ind w:firstLine="640"/>
        <w:jc w:val="both"/>
      </w:pPr>
      <w:r>
        <w:rPr>
          <w:rFonts w:ascii="仿宋_GB2312" w:hAnsi="仿宋_GB2312" w:eastAsia="仿宋_GB2312"/>
          <w:b w:val="0"/>
          <w:sz w:val="32"/>
        </w:rPr>
        <w:t>七、《政府性基金预算财政拨款收入支出决算表》</w:t>
      </w:r>
    </w:p>
    <w:p w14:paraId="023D3C78">
      <w:pPr>
        <w:spacing w:line="240" w:lineRule="auto"/>
        <w:ind w:firstLine="640"/>
        <w:jc w:val="both"/>
      </w:pPr>
      <w:r>
        <w:rPr>
          <w:rFonts w:ascii="仿宋_GB2312" w:hAnsi="仿宋_GB2312" w:eastAsia="仿宋_GB2312"/>
          <w:b w:val="0"/>
          <w:sz w:val="32"/>
        </w:rPr>
        <w:t>八、《国有资本经营预算财政拨款收入支出决算表》</w:t>
      </w:r>
    </w:p>
    <w:p w14:paraId="293CE4D9">
      <w:pPr>
        <w:spacing w:line="240" w:lineRule="auto"/>
        <w:ind w:firstLine="640"/>
        <w:jc w:val="both"/>
      </w:pPr>
      <w:r>
        <w:rPr>
          <w:rFonts w:ascii="仿宋_GB2312" w:hAnsi="仿宋_GB2312" w:eastAsia="仿宋_GB2312"/>
          <w:b w:val="0"/>
          <w:sz w:val="32"/>
        </w:rPr>
        <w:t>九、《财政拨款“三公”经费支出决算表》</w:t>
      </w:r>
    </w:p>
    <w:p w14:paraId="3D37FBC7">
      <w:pPr>
        <w:spacing w:line="240" w:lineRule="auto"/>
        <w:ind w:firstLine="640"/>
        <w:jc w:val="both"/>
      </w:pPr>
    </w:p>
    <w:p w14:paraId="0E43BC8B">
      <w:pPr>
        <w:spacing w:line="240" w:lineRule="auto"/>
        <w:ind w:firstLine="640"/>
        <w:jc w:val="both"/>
      </w:pPr>
    </w:p>
    <w:p w14:paraId="35519740">
      <w:pPr>
        <w:spacing w:line="240" w:lineRule="auto"/>
        <w:ind w:firstLine="640"/>
        <w:jc w:val="both"/>
      </w:pPr>
    </w:p>
    <w:p w14:paraId="40BFD682">
      <w:pPr>
        <w:spacing w:line="240" w:lineRule="auto"/>
        <w:ind w:firstLine="640"/>
        <w:jc w:val="both"/>
      </w:pPr>
    </w:p>
    <w:p w14:paraId="6FB337E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721563"/>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271454"/>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610807"/>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4974</Words>
  <Characters>5660</Characters>
  <Lines>0</Lines>
  <Paragraphs>0</Paragraphs>
  <TotalTime>10</TotalTime>
  <ScaleCrop>false</ScaleCrop>
  <LinksUpToDate>false</LinksUpToDate>
  <CharactersWithSpaces>5670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2025-09-11T09:32:00Z</cp:lastPrinted>
  <dcterms:modified xsi:type="dcterms:W3CDTF">2025-09-11T09:35:05Z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