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E91D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C07BD2C">
      <w:pPr>
        <w:spacing w:line="540" w:lineRule="exact"/>
        <w:jc w:val="center"/>
        <w:rPr>
          <w:rFonts w:ascii="华文中宋" w:hAnsi="华文中宋" w:eastAsia="华文中宋" w:cs="宋体"/>
          <w:b/>
          <w:kern w:val="0"/>
          <w:sz w:val="52"/>
          <w:szCs w:val="52"/>
        </w:rPr>
      </w:pPr>
    </w:p>
    <w:p w14:paraId="1E6C1A1E">
      <w:pPr>
        <w:spacing w:line="540" w:lineRule="exact"/>
        <w:jc w:val="center"/>
        <w:rPr>
          <w:rFonts w:ascii="华文中宋" w:hAnsi="华文中宋" w:eastAsia="华文中宋" w:cs="宋体"/>
          <w:b/>
          <w:kern w:val="0"/>
          <w:sz w:val="52"/>
          <w:szCs w:val="52"/>
        </w:rPr>
      </w:pPr>
    </w:p>
    <w:p w14:paraId="480F5CBC">
      <w:pPr>
        <w:spacing w:line="540" w:lineRule="exact"/>
        <w:jc w:val="center"/>
        <w:rPr>
          <w:rFonts w:ascii="华文中宋" w:hAnsi="华文中宋" w:eastAsia="华文中宋" w:cs="宋体"/>
          <w:b/>
          <w:kern w:val="0"/>
          <w:sz w:val="52"/>
          <w:szCs w:val="52"/>
        </w:rPr>
      </w:pPr>
    </w:p>
    <w:p w14:paraId="48AECFC7">
      <w:pPr>
        <w:spacing w:line="540" w:lineRule="exact"/>
        <w:jc w:val="center"/>
        <w:rPr>
          <w:rFonts w:ascii="华文中宋" w:hAnsi="华文中宋" w:eastAsia="华文中宋" w:cs="宋体"/>
          <w:b/>
          <w:kern w:val="0"/>
          <w:sz w:val="52"/>
          <w:szCs w:val="52"/>
        </w:rPr>
      </w:pPr>
    </w:p>
    <w:p w14:paraId="0C5EFEB1">
      <w:pPr>
        <w:spacing w:line="540" w:lineRule="exact"/>
        <w:jc w:val="center"/>
        <w:rPr>
          <w:rFonts w:ascii="华文中宋" w:hAnsi="华文中宋" w:eastAsia="华文中宋" w:cs="宋体"/>
          <w:b/>
          <w:kern w:val="0"/>
          <w:sz w:val="52"/>
          <w:szCs w:val="52"/>
        </w:rPr>
      </w:pPr>
    </w:p>
    <w:p w14:paraId="4C700250">
      <w:pPr>
        <w:spacing w:line="540" w:lineRule="exact"/>
        <w:jc w:val="center"/>
        <w:rPr>
          <w:rFonts w:ascii="华文中宋" w:hAnsi="华文中宋" w:eastAsia="华文中宋" w:cs="宋体"/>
          <w:b/>
          <w:kern w:val="0"/>
          <w:sz w:val="52"/>
          <w:szCs w:val="52"/>
        </w:rPr>
      </w:pPr>
    </w:p>
    <w:p w14:paraId="69359F6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sz w:val="44"/>
          <w:szCs w:val="44"/>
          <w:highlight w:val="none"/>
          <w:lang w:val="en-US" w:eastAsia="zh-CN"/>
        </w:rPr>
      </w:pPr>
      <w:r>
        <w:rPr>
          <w:rFonts w:hint="eastAsia" w:ascii="方正小标宋_GBK" w:hAnsi="宋体" w:eastAsia="方正小标宋_GBK" w:cs="Times New Roman"/>
          <w:sz w:val="44"/>
          <w:szCs w:val="44"/>
          <w:highlight w:val="none"/>
          <w:lang w:val="en-US" w:eastAsia="zh-CN"/>
        </w:rPr>
        <w:t>项目支出绩效自评报告</w:t>
      </w:r>
    </w:p>
    <w:p w14:paraId="25C72F52">
      <w:pPr>
        <w:spacing w:line="540" w:lineRule="exact"/>
        <w:jc w:val="center"/>
        <w:rPr>
          <w:rFonts w:ascii="华文中宋" w:hAnsi="华文中宋" w:eastAsia="华文中宋" w:cs="宋体"/>
          <w:b/>
          <w:kern w:val="0"/>
          <w:sz w:val="52"/>
          <w:szCs w:val="52"/>
        </w:rPr>
      </w:pPr>
    </w:p>
    <w:p w14:paraId="54B5F8A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2024</w:t>
      </w:r>
      <w:r>
        <w:rPr>
          <w:rFonts w:hint="eastAsia" w:hAnsi="宋体" w:eastAsia="仿宋_GB2312" w:cs="宋体"/>
          <w:kern w:val="0"/>
          <w:sz w:val="36"/>
          <w:szCs w:val="36"/>
        </w:rPr>
        <w:t>年度）</w:t>
      </w:r>
    </w:p>
    <w:p w14:paraId="3980DECA">
      <w:pPr>
        <w:spacing w:line="540" w:lineRule="exact"/>
        <w:jc w:val="center"/>
        <w:rPr>
          <w:rFonts w:hAnsi="宋体" w:eastAsia="仿宋_GB2312" w:cs="宋体"/>
          <w:kern w:val="0"/>
          <w:sz w:val="30"/>
          <w:szCs w:val="30"/>
        </w:rPr>
      </w:pPr>
    </w:p>
    <w:p w14:paraId="15B7DBDE">
      <w:pPr>
        <w:spacing w:line="540" w:lineRule="exact"/>
        <w:jc w:val="center"/>
        <w:rPr>
          <w:rFonts w:hAnsi="宋体" w:eastAsia="仿宋_GB2312" w:cs="宋体"/>
          <w:kern w:val="0"/>
          <w:sz w:val="30"/>
          <w:szCs w:val="30"/>
        </w:rPr>
      </w:pPr>
    </w:p>
    <w:p w14:paraId="698AB4D4">
      <w:pPr>
        <w:spacing w:line="540" w:lineRule="exact"/>
        <w:jc w:val="center"/>
        <w:rPr>
          <w:rFonts w:hAnsi="宋体" w:eastAsia="仿宋_GB2312" w:cs="宋体"/>
          <w:kern w:val="0"/>
          <w:sz w:val="30"/>
          <w:szCs w:val="30"/>
        </w:rPr>
      </w:pPr>
    </w:p>
    <w:p w14:paraId="5F71DCF3">
      <w:pPr>
        <w:spacing w:line="540" w:lineRule="exact"/>
        <w:jc w:val="center"/>
        <w:rPr>
          <w:rFonts w:hAnsi="宋体" w:eastAsia="仿宋_GB2312" w:cs="宋体"/>
          <w:kern w:val="0"/>
          <w:sz w:val="30"/>
          <w:szCs w:val="30"/>
        </w:rPr>
      </w:pPr>
    </w:p>
    <w:p w14:paraId="64F438B2">
      <w:pPr>
        <w:spacing w:line="540" w:lineRule="exact"/>
        <w:jc w:val="center"/>
        <w:rPr>
          <w:rFonts w:hAnsi="宋体" w:eastAsia="仿宋_GB2312" w:cs="宋体"/>
          <w:kern w:val="0"/>
          <w:sz w:val="30"/>
          <w:szCs w:val="30"/>
        </w:rPr>
      </w:pPr>
    </w:p>
    <w:p w14:paraId="4055D53E">
      <w:pPr>
        <w:spacing w:line="540" w:lineRule="exact"/>
        <w:jc w:val="center"/>
        <w:rPr>
          <w:rFonts w:hAnsi="宋体" w:eastAsia="仿宋_GB2312" w:cs="宋体"/>
          <w:kern w:val="0"/>
          <w:sz w:val="30"/>
          <w:szCs w:val="30"/>
        </w:rPr>
      </w:pPr>
    </w:p>
    <w:p w14:paraId="022AE47E">
      <w:pPr>
        <w:spacing w:line="540" w:lineRule="exact"/>
        <w:rPr>
          <w:rFonts w:hAnsi="宋体" w:eastAsia="仿宋_GB2312" w:cs="宋体"/>
          <w:kern w:val="0"/>
          <w:sz w:val="30"/>
          <w:szCs w:val="30"/>
        </w:rPr>
      </w:pPr>
    </w:p>
    <w:p w14:paraId="61C4D1BE">
      <w:pPr>
        <w:spacing w:line="540" w:lineRule="exact"/>
        <w:ind w:firstLine="640"/>
        <w:rPr>
          <w:rStyle w:val="18"/>
          <w:rFonts w:hint="eastAsia" w:ascii="Times New Roman" w:hAnsi="Times New Roman" w:eastAsia="华文中宋" w:cs="Times New Roman"/>
          <w:b w:val="0"/>
          <w:bCs/>
          <w:spacing w:val="-4"/>
          <w:sz w:val="32"/>
          <w:szCs w:val="32"/>
        </w:rPr>
      </w:pPr>
      <w:r>
        <w:rPr>
          <w:rStyle w:val="18"/>
          <w:rFonts w:hint="eastAsia" w:ascii="Times New Roman" w:hAnsi="Times New Roman" w:eastAsia="华文中宋" w:cs="Times New Roman"/>
          <w:b w:val="0"/>
          <w:bCs/>
          <w:spacing w:val="-4"/>
          <w:sz w:val="32"/>
          <w:szCs w:val="32"/>
        </w:rPr>
        <w:t>项目名称：血站运行经费</w:t>
      </w:r>
    </w:p>
    <w:p w14:paraId="4EA6884E">
      <w:pPr>
        <w:spacing w:line="540" w:lineRule="exact"/>
        <w:ind w:left="0" w:leftChars="0" w:firstLine="639" w:firstLineChars="205"/>
        <w:rPr>
          <w:rStyle w:val="18"/>
          <w:rFonts w:hint="eastAsia" w:ascii="Times New Roman" w:hAnsi="Times New Roman" w:eastAsia="华文中宋" w:cs="Times New Roman"/>
          <w:b w:val="0"/>
          <w:bCs/>
          <w:spacing w:val="-4"/>
          <w:sz w:val="32"/>
          <w:szCs w:val="32"/>
        </w:rPr>
      </w:pPr>
      <w:r>
        <w:rPr>
          <w:rStyle w:val="18"/>
          <w:rFonts w:hint="eastAsia" w:ascii="Times New Roman" w:hAnsi="Times New Roman" w:eastAsia="华文中宋" w:cs="Times New Roman"/>
          <w:b w:val="0"/>
          <w:bCs/>
          <w:spacing w:val="-4"/>
          <w:sz w:val="32"/>
          <w:szCs w:val="32"/>
        </w:rPr>
        <w:t>实施单位（公章）：和田地区中心血站</w:t>
      </w:r>
    </w:p>
    <w:p w14:paraId="522F1727">
      <w:pPr>
        <w:spacing w:line="540" w:lineRule="exact"/>
        <w:ind w:firstLine="640"/>
        <w:rPr>
          <w:rStyle w:val="18"/>
          <w:rFonts w:hint="eastAsia" w:ascii="Times New Roman" w:hAnsi="Times New Roman" w:eastAsia="华文中宋" w:cs="Times New Roman"/>
          <w:b w:val="0"/>
          <w:bCs/>
          <w:spacing w:val="-4"/>
          <w:sz w:val="32"/>
          <w:szCs w:val="32"/>
          <w:lang w:eastAsia="zh-CN"/>
        </w:rPr>
      </w:pPr>
      <w:r>
        <w:rPr>
          <w:rStyle w:val="18"/>
          <w:rFonts w:hint="eastAsia" w:ascii="Times New Roman" w:hAnsi="Times New Roman" w:eastAsia="华文中宋" w:cs="Times New Roman"/>
          <w:b w:val="0"/>
          <w:bCs/>
          <w:spacing w:val="-4"/>
          <w:sz w:val="32"/>
          <w:szCs w:val="32"/>
        </w:rPr>
        <w:t>主管部门（公章）：和田地区</w:t>
      </w:r>
      <w:r>
        <w:rPr>
          <w:rStyle w:val="18"/>
          <w:rFonts w:hint="eastAsia" w:ascii="Times New Roman" w:hAnsi="Times New Roman" w:eastAsia="华文中宋" w:cs="Times New Roman"/>
          <w:b w:val="0"/>
          <w:bCs/>
          <w:spacing w:val="-4"/>
          <w:sz w:val="32"/>
          <w:szCs w:val="32"/>
          <w:lang w:eastAsia="zh-CN"/>
        </w:rPr>
        <w:t>卫生健康委员会</w:t>
      </w:r>
    </w:p>
    <w:p w14:paraId="1D436235">
      <w:pPr>
        <w:spacing w:line="540" w:lineRule="exact"/>
        <w:ind w:firstLine="640"/>
        <w:rPr>
          <w:rStyle w:val="18"/>
          <w:rFonts w:hint="eastAsia" w:ascii="Times New Roman" w:hAnsi="Times New Roman" w:eastAsia="华文中宋" w:cs="Times New Roman"/>
          <w:b w:val="0"/>
          <w:bCs/>
          <w:spacing w:val="-4"/>
          <w:sz w:val="32"/>
          <w:szCs w:val="32"/>
        </w:rPr>
      </w:pPr>
      <w:r>
        <w:rPr>
          <w:rStyle w:val="18"/>
          <w:rFonts w:hint="eastAsia" w:ascii="Times New Roman" w:hAnsi="Times New Roman" w:eastAsia="华文中宋" w:cs="Times New Roman"/>
          <w:b w:val="0"/>
          <w:bCs/>
          <w:spacing w:val="-4"/>
          <w:sz w:val="32"/>
          <w:szCs w:val="32"/>
        </w:rPr>
        <w:t>项目负责人（签章）：李静</w:t>
      </w:r>
    </w:p>
    <w:p w14:paraId="27E3C650">
      <w:pPr>
        <w:spacing w:line="540" w:lineRule="exact"/>
        <w:ind w:firstLine="640"/>
        <w:rPr>
          <w:rStyle w:val="18"/>
          <w:rFonts w:hint="eastAsia" w:ascii="Times New Roman" w:hAnsi="Times New Roman" w:eastAsia="华文中宋" w:cs="Times New Roman"/>
          <w:b w:val="0"/>
          <w:bCs/>
          <w:spacing w:val="-4"/>
          <w:sz w:val="32"/>
          <w:szCs w:val="32"/>
        </w:rPr>
      </w:pPr>
      <w:r>
        <w:rPr>
          <w:rStyle w:val="18"/>
          <w:rFonts w:hint="eastAsia" w:ascii="Times New Roman" w:hAnsi="Times New Roman" w:eastAsia="华文中宋" w:cs="Times New Roman"/>
          <w:b w:val="0"/>
          <w:bCs/>
          <w:spacing w:val="-4"/>
          <w:sz w:val="32"/>
          <w:szCs w:val="32"/>
        </w:rPr>
        <w:t>填报时间：2025年03月12日</w:t>
      </w:r>
    </w:p>
    <w:p w14:paraId="18CEAD2C">
      <w:pPr>
        <w:spacing w:line="540" w:lineRule="exact"/>
        <w:ind w:left="273" w:firstLine="567"/>
        <w:rPr>
          <w:rStyle w:val="18"/>
          <w:rFonts w:ascii="楷体" w:hAnsi="楷体" w:eastAsia="楷体"/>
          <w:spacing w:val="-4"/>
          <w:sz w:val="32"/>
          <w:szCs w:val="32"/>
        </w:rPr>
      </w:pPr>
    </w:p>
    <w:p w14:paraId="3DD06399">
      <w:pPr>
        <w:spacing w:line="700" w:lineRule="exact"/>
        <w:ind w:firstLine="708" w:firstLineChars="236"/>
        <w:jc w:val="left"/>
        <w:rPr>
          <w:rFonts w:hAnsi="宋体" w:eastAsia="仿宋_GB2312" w:cs="宋体"/>
          <w:kern w:val="0"/>
          <w:sz w:val="30"/>
          <w:szCs w:val="30"/>
        </w:rPr>
      </w:pPr>
    </w:p>
    <w:p w14:paraId="2A57A0A8">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87208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p>
    <w:p w14:paraId="73608070">
      <w:pPr>
        <w:spacing w:line="540" w:lineRule="exact"/>
        <w:ind w:left="0" w:leftChars="0" w:firstLine="627" w:firstLineChars="200"/>
        <w:rPr>
          <w:rStyle w:val="18"/>
          <w:rFonts w:hint="eastAsia" w:ascii="仿宋" w:hAnsi="仿宋" w:eastAsia="仿宋" w:cs="仿宋"/>
          <w:b/>
          <w:bCs/>
          <w:spacing w:val="-4"/>
          <w:sz w:val="32"/>
          <w:szCs w:val="32"/>
        </w:rPr>
      </w:pPr>
      <w:r>
        <w:rPr>
          <w:rStyle w:val="18"/>
          <w:rFonts w:hint="eastAsia" w:ascii="仿宋" w:hAnsi="仿宋" w:eastAsia="仿宋" w:cs="仿宋"/>
          <w:b/>
          <w:bCs/>
          <w:spacing w:val="-4"/>
          <w:sz w:val="32"/>
          <w:szCs w:val="32"/>
        </w:rPr>
        <w:t>1.项目背景</w:t>
      </w:r>
    </w:p>
    <w:p w14:paraId="10D2C1A7">
      <w:pPr>
        <w:spacing w:line="540" w:lineRule="exact"/>
        <w:ind w:left="0" w:leftChars="0"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和田地区中心血站始建于2002年底，2003年10月开始采供血业务。属公益性全额事业单位。负责全地区血液的采集和供应及医疗用血的业务指导等工作。血站现建筑面积约5000平方米，内设8个业务科室（体采科、机采室、血源科、隔离库、供血科、成分科、检验科、质控科），2个职能科室，编制21个，满编，卫生专业技术人员18人。目前有涵盖七县一市公立和民营医院医疗用血医院22家。年采供血量以10%递增。目前达到采血量3吨，供血量3吨。自2008年以来实现自愿无偿献血100%自给自足，结束了长期以来依靠调入血液维持血液供应的现状，有效地维护了人民的健康和生命安全，推动无偿献血事业健康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2006年血站建立并实施质量管理体系，实现了科学化，系统化、规范化管理，有力保障了血液安全。在人员匮乏的情况下，负重拼搏，不断开展新项目，目前可向临床提供的血液品种有15种。新开展的成分血项目先后多次获和田地区科技进步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2017年中央预算内投资的《和田地区中心血站建设项目》建筑面积5000平方米血站业务楼于2020年6月完成主体建设及内部装修、500平方米的附属设施建设并投入使用，运行正常。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本项目设立为了优化和田地区采供血服务资源配置，构建优质高效的血站服务体系，提升血液的安全供应水平，维护人民群众生命健康权益，保障血站采供血业务工作正常开展，结合实际情况，特设立本项目。</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rPr>
        <w:t>2.主要内容</w:t>
      </w:r>
      <w:r>
        <w:rPr>
          <w:rStyle w:val="18"/>
          <w:rFonts w:hint="eastAsia" w:ascii="仿宋" w:hAnsi="仿宋" w:eastAsia="仿宋" w:cs="仿宋"/>
          <w:b/>
          <w:bCs/>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项目的建设有利于扩大无偿献血宣传途径和宣传方式，促进和田地区无偿献血事业健康有序发展。提高血液成分分离率，促进科学合理用血。通过</w:t>
      </w:r>
      <w:r>
        <w:rPr>
          <w:rStyle w:val="18"/>
          <w:rFonts w:hint="eastAsia" w:ascii="仿宋" w:hAnsi="仿宋" w:eastAsia="仿宋" w:cs="仿宋"/>
          <w:b w:val="0"/>
          <w:bCs w:val="0"/>
          <w:spacing w:val="-4"/>
          <w:sz w:val="32"/>
          <w:szCs w:val="32"/>
          <w:lang w:eastAsia="zh-CN"/>
        </w:rPr>
        <w:t>血液检测</w:t>
      </w:r>
      <w:r>
        <w:rPr>
          <w:rStyle w:val="18"/>
          <w:rFonts w:hint="eastAsia" w:ascii="仿宋" w:hAnsi="仿宋" w:eastAsia="仿宋" w:cs="仿宋"/>
          <w:b w:val="0"/>
          <w:bCs w:val="0"/>
          <w:spacing w:val="-4"/>
          <w:sz w:val="32"/>
          <w:szCs w:val="32"/>
        </w:rPr>
        <w:t>，缩短经血传播疾病的窗口期，预防和控制经血传播传染性疾病，确保用血及血液供应的安全。项目的建设使采血及供血工作得到规范化管理，严防经血传播传染性疾病通过血液传播。</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bCs/>
          <w:spacing w:val="-4"/>
          <w:sz w:val="32"/>
          <w:szCs w:val="32"/>
        </w:rPr>
        <w:t>3.实施情况</w:t>
      </w:r>
      <w:r>
        <w:rPr>
          <w:rStyle w:val="18"/>
          <w:rFonts w:hint="eastAsia" w:ascii="仿宋" w:hAnsi="仿宋" w:eastAsia="仿宋" w:cs="仿宋"/>
          <w:b/>
          <w:bCs/>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实施主体：和田地区中心血站。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实施时间：本项目实施期限为2024年1月—2024年12月。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实施情况：本项目的实施符合《关于下达2024年度部门预算批复的通知》和地财社〔2024〕1号文件相关政策要求，此项目加强无偿献血宣传教育工作，建立和完善血站实验室室间质评和室内质控体系，持续开展</w:t>
      </w:r>
      <w:r>
        <w:rPr>
          <w:rStyle w:val="18"/>
          <w:rFonts w:hint="eastAsia" w:ascii="仿宋" w:hAnsi="仿宋" w:eastAsia="仿宋" w:cs="仿宋"/>
          <w:b w:val="0"/>
          <w:bCs w:val="0"/>
          <w:spacing w:val="-4"/>
          <w:sz w:val="32"/>
          <w:szCs w:val="32"/>
          <w:lang w:eastAsia="zh-CN"/>
        </w:rPr>
        <w:t>血液检测</w:t>
      </w:r>
      <w:r>
        <w:rPr>
          <w:rStyle w:val="18"/>
          <w:rFonts w:hint="eastAsia" w:ascii="仿宋" w:hAnsi="仿宋" w:eastAsia="仿宋" w:cs="仿宋"/>
          <w:b w:val="0"/>
          <w:bCs w:val="0"/>
          <w:spacing w:val="-4"/>
          <w:sz w:val="32"/>
          <w:szCs w:val="32"/>
        </w:rPr>
        <w:t>工作，提升全区血站信息化管理水平和信息安全等级保护水平，规范采供血工作，提高血液质量安全，保障献血者和用血者的安全，保障和田地区全部医院的临床用血需求。</w:t>
      </w:r>
      <w:r>
        <w:rPr>
          <w:rStyle w:val="18"/>
          <w:rFonts w:hint="eastAsia" w:ascii="仿宋" w:hAnsi="仿宋" w:eastAsia="仿宋" w:cs="仿宋"/>
          <w:b w:val="0"/>
          <w:bCs w:val="0"/>
          <w:spacing w:val="-4"/>
          <w:sz w:val="32"/>
          <w:szCs w:val="32"/>
        </w:rPr>
        <w:cr/>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bCs/>
          <w:spacing w:val="-4"/>
          <w:sz w:val="32"/>
          <w:szCs w:val="32"/>
        </w:rPr>
        <w:t>4.资金投入和使用情况</w:t>
      </w:r>
      <w:r>
        <w:rPr>
          <w:rStyle w:val="18"/>
          <w:rFonts w:hint="eastAsia" w:ascii="仿宋" w:hAnsi="仿宋" w:eastAsia="仿宋" w:cs="仿宋"/>
          <w:b/>
          <w:bCs/>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（1）项目资金安排落实、总投入等情况分析</w:t>
      </w:r>
      <w:r>
        <w:rPr>
          <w:rStyle w:val="18"/>
          <w:rFonts w:hint="eastAsia" w:ascii="仿宋" w:hAnsi="仿宋" w:eastAsia="仿宋" w:cs="仿宋"/>
          <w:b/>
          <w:bCs/>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本项目预算安排总额为250万元，资金来源为本级部门预算，其中：财政资金250万元，其他资金0万元，2024年实际收到预算资金250万元，预算资金到位率为100%。</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（2）项目资金实际使用情况分析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本项目实际支付资金250万元，预算执行率100%。本项目资金主要用于支付采购专用耗材物资费用180万元，其他运行经费成本费70万元。</w:t>
      </w:r>
    </w:p>
    <w:p w14:paraId="49ADD614">
      <w:pPr>
        <w:spacing w:line="540" w:lineRule="exact"/>
        <w:ind w:firstLine="567"/>
        <w:rPr>
          <w:rStyle w:val="18"/>
          <w:rFonts w:hint="eastAsia" w:ascii="楷体" w:hAnsi="楷体" w:eastAsia="楷体" w:cs="Times New Roman"/>
          <w:b w:val="0"/>
          <w:bCs w:val="0"/>
          <w:spacing w:val="-4"/>
          <w:sz w:val="32"/>
          <w:szCs w:val="32"/>
        </w:rPr>
      </w:pPr>
      <w:r>
        <w:rPr>
          <w:rStyle w:val="18"/>
          <w:rFonts w:hint="eastAsia" w:ascii="楷体" w:hAnsi="楷体" w:eastAsia="楷体" w:cs="Times New Roman"/>
          <w:b w:val="0"/>
          <w:bCs w:val="0"/>
          <w:spacing w:val="-4"/>
          <w:sz w:val="32"/>
          <w:szCs w:val="32"/>
        </w:rPr>
        <w:t>（二）项目绩效目标</w:t>
      </w:r>
    </w:p>
    <w:p w14:paraId="69FABCF6">
      <w:pPr>
        <w:spacing w:line="540" w:lineRule="exact"/>
        <w:ind w:left="0" w:leftChars="0" w:firstLine="627" w:firstLineChars="200"/>
        <w:rPr>
          <w:rStyle w:val="18"/>
          <w:rFonts w:hint="eastAsia" w:ascii="仿宋" w:hAnsi="仿宋" w:eastAsia="仿宋" w:cs="仿宋"/>
          <w:b/>
          <w:bCs/>
          <w:spacing w:val="-4"/>
          <w:sz w:val="32"/>
          <w:szCs w:val="32"/>
        </w:rPr>
      </w:pPr>
      <w:r>
        <w:rPr>
          <w:rStyle w:val="18"/>
          <w:rFonts w:hint="eastAsia" w:ascii="仿宋" w:hAnsi="仿宋" w:eastAsia="仿宋" w:cs="仿宋"/>
          <w:b/>
          <w:bCs/>
          <w:spacing w:val="-4"/>
          <w:sz w:val="32"/>
          <w:szCs w:val="32"/>
        </w:rPr>
        <w:t>1.总体目标</w:t>
      </w:r>
    </w:p>
    <w:p w14:paraId="24CF4AED">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保障和田地区七县一市23家医院的采供血工作，为和田地区提供安全血液，全年计划采血10000人次，供血量达3吨，计划支付专用耗材物资费180万元，支付其他运行保障经费70万元；通过项目实施可带来良好的社会效益，有效提高血液安全的输注率，防止经血液带来的疾病传播。</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bCs/>
          <w:spacing w:val="-4"/>
          <w:sz w:val="32"/>
          <w:szCs w:val="32"/>
        </w:rPr>
        <w:t>2.阶段性目标</w:t>
      </w:r>
      <w:r>
        <w:rPr>
          <w:rStyle w:val="18"/>
          <w:rFonts w:hint="eastAsia" w:ascii="仿宋" w:hAnsi="仿宋" w:eastAsia="仿宋" w:cs="仿宋"/>
          <w:b/>
          <w:bCs/>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项目前期准备工作：我单位根据《全国血站服务体系建设发展规划（2021—2025年）》中“建设智慧化血站，提升血液应急保障能力”，开展血站运行经费项目。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实施：截至在12月31日，保障和田地区七县一市23家医院的采供血工作，为和田地区提供安全血液，全年计划采血10000人次，供血量达3吨，提升全区血站信息化管理水平和信息安全等级保护水平，规范采供血工作，提高血液质量安全，保障献血者和用血者的安全，保障和田地区全部医院的临床用血需求。</w:t>
      </w:r>
    </w:p>
    <w:p w14:paraId="7E42AAD6">
      <w:pPr>
        <w:spacing w:line="540" w:lineRule="exact"/>
        <w:ind w:firstLine="624" w:firstLineChars="200"/>
        <w:rPr>
          <w:rStyle w:val="18"/>
          <w:rFonts w:hint="eastAsia" w:ascii="黑体" w:hAnsi="黑体" w:eastAsia="黑体" w:cs="Times New Roman"/>
          <w:b w:val="0"/>
          <w:spacing w:val="-4"/>
          <w:sz w:val="32"/>
          <w:szCs w:val="32"/>
        </w:rPr>
      </w:pPr>
      <w:r>
        <w:rPr>
          <w:rStyle w:val="18"/>
          <w:rFonts w:hint="eastAsia" w:ascii="黑体" w:hAnsi="黑体" w:eastAsia="黑体" w:cs="Times New Roman"/>
          <w:b w:val="0"/>
          <w:spacing w:val="-4"/>
          <w:sz w:val="32"/>
          <w:szCs w:val="32"/>
        </w:rPr>
        <w:t>二、绩效评价工作开展情况</w:t>
      </w:r>
    </w:p>
    <w:p w14:paraId="236D032A">
      <w:pPr>
        <w:spacing w:line="540" w:lineRule="exact"/>
        <w:ind w:firstLine="567"/>
        <w:rPr>
          <w:rStyle w:val="18"/>
          <w:rFonts w:hint="eastAsia" w:ascii="楷体" w:hAnsi="楷体" w:eastAsia="楷体" w:cs="Times New Roman"/>
          <w:b w:val="0"/>
          <w:bCs w:val="0"/>
          <w:spacing w:val="-4"/>
          <w:sz w:val="32"/>
          <w:szCs w:val="32"/>
        </w:rPr>
      </w:pPr>
      <w:r>
        <w:rPr>
          <w:rStyle w:val="18"/>
          <w:rFonts w:hint="eastAsia" w:ascii="楷体" w:hAnsi="楷体" w:eastAsia="楷体" w:cs="Times New Roman"/>
          <w:b w:val="0"/>
          <w:bCs w:val="0"/>
          <w:spacing w:val="-4"/>
          <w:sz w:val="32"/>
          <w:szCs w:val="32"/>
        </w:rPr>
        <w:t>（一）绩效评价目的、对象和范围</w:t>
      </w:r>
    </w:p>
    <w:p w14:paraId="36503D77">
      <w:pPr>
        <w:spacing w:line="540" w:lineRule="exact"/>
        <w:ind w:firstLine="627" w:firstLineChars="200"/>
        <w:rPr>
          <w:rStyle w:val="18"/>
          <w:rFonts w:hint="eastAsia" w:ascii="仿宋" w:hAnsi="仿宋" w:eastAsia="仿宋" w:cs="仿宋"/>
          <w:b/>
          <w:bCs/>
          <w:spacing w:val="-4"/>
          <w:sz w:val="32"/>
          <w:szCs w:val="32"/>
          <w:lang w:val="en-US" w:eastAsia="zh-CN"/>
        </w:rPr>
      </w:pPr>
      <w:r>
        <w:rPr>
          <w:rStyle w:val="18"/>
          <w:rFonts w:hint="eastAsia" w:ascii="仿宋" w:hAnsi="仿宋" w:eastAsia="仿宋" w:cs="仿宋"/>
          <w:b/>
          <w:bCs/>
          <w:spacing w:val="-4"/>
          <w:sz w:val="32"/>
          <w:szCs w:val="32"/>
          <w:lang w:val="en-US" w:eastAsia="zh-CN"/>
        </w:rPr>
        <w:t>1.绩效评价的目的</w:t>
      </w:r>
    </w:p>
    <w:p w14:paraId="7A1AD547">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血站运行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062C4A41">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2.绩效评价对象</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此次我单位根据《财政支出绩效评价管理暂行办法》（财预〔2020〕10号）文件要求实施评价工作，本次评价对象为血站运行经费项目，评价核心为项目的资金投入、产出及效益。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3.绩效评价范围</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49B5F4A6">
      <w:pPr>
        <w:spacing w:line="540" w:lineRule="exact"/>
        <w:ind w:firstLine="567"/>
        <w:rPr>
          <w:rStyle w:val="18"/>
          <w:rFonts w:hint="eastAsia" w:ascii="楷体" w:hAnsi="楷体" w:eastAsia="楷体" w:cs="Times New Roman"/>
          <w:b w:val="0"/>
          <w:bCs w:val="0"/>
          <w:spacing w:val="-4"/>
          <w:sz w:val="32"/>
          <w:szCs w:val="32"/>
        </w:rPr>
      </w:pPr>
      <w:r>
        <w:rPr>
          <w:rStyle w:val="18"/>
          <w:rFonts w:hint="eastAsia" w:ascii="楷体" w:hAnsi="楷体" w:eastAsia="楷体" w:cs="Times New Roman"/>
          <w:b w:val="0"/>
          <w:bCs w:val="0"/>
          <w:spacing w:val="-4"/>
          <w:sz w:val="32"/>
          <w:szCs w:val="32"/>
        </w:rPr>
        <w:t>（二）绩效评价原则、评价指标体系、评价方法、评价标准</w:t>
      </w:r>
    </w:p>
    <w:p w14:paraId="16097C88">
      <w:pPr>
        <w:spacing w:line="540" w:lineRule="exact"/>
        <w:ind w:firstLine="627" w:firstLineChars="200"/>
        <w:rPr>
          <w:rStyle w:val="18"/>
          <w:rFonts w:hint="eastAsia" w:ascii="仿宋" w:hAnsi="仿宋" w:eastAsia="仿宋" w:cs="仿宋"/>
          <w:b/>
          <w:bCs/>
          <w:spacing w:val="-4"/>
          <w:sz w:val="32"/>
          <w:szCs w:val="32"/>
          <w:lang w:val="en-US" w:eastAsia="zh-CN"/>
        </w:rPr>
      </w:pPr>
      <w:r>
        <w:rPr>
          <w:rStyle w:val="18"/>
          <w:rFonts w:hint="eastAsia" w:ascii="仿宋" w:hAnsi="仿宋" w:eastAsia="仿宋" w:cs="仿宋"/>
          <w:b/>
          <w:bCs/>
          <w:spacing w:val="-4"/>
          <w:sz w:val="32"/>
          <w:szCs w:val="32"/>
          <w:lang w:val="en-US" w:eastAsia="zh-CN"/>
        </w:rPr>
        <w:t>1.绩效评价原则</w:t>
      </w:r>
    </w:p>
    <w:p w14:paraId="42CF2BC0">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（1）科学公正。绩效评价应当运用科学合理的方法，按照规范的程序，对项目绩效进行客观、公正地反映。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根据以上原则，绩效评价应遵循如下要求: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（2）保证评价结果的真实性、公正性，提高评价报告的公信力。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2.绩效评价指标体系</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3.评价方法</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三级指标分析环节：总体采用比较法，同时辅以文献法、成本效益法、因素分析法以及公众评判法，根据不同三级指标类型进行逐项分析。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绩效指标明确性：比较法，比较分析年初编制项目支出绩效目标表是否符合双七原则，是否可衡量。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预算编制科学性：成本效益分析法，分析在产出一定的情况下，成本取值是否有依据，是否经过询价，是否按照市场最低成本编制。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资金到位率：比较法，资金到位率预期指标值应为100%，通过实际计算，分析实际完成值和预期指标值之间的差距和原因。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预算执行率：比较法，预算执行率预期指标值应为100%，通过实际计算，分析实际完成值和预期指标值之间的差距和原因。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资金使用合规性：文献法、实地勘察法，一是查找资金管理办法，包括专项资金管理办法和单位自有资金管理法；二是通过查账了解具体开支情况，是否专款专用，是否按照标准支出。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4.评价标准</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517269B">
      <w:pPr>
        <w:spacing w:line="540" w:lineRule="exact"/>
        <w:ind w:firstLine="567"/>
        <w:rPr>
          <w:rStyle w:val="18"/>
          <w:rFonts w:hint="eastAsia" w:ascii="楷体" w:hAnsi="楷体" w:eastAsia="楷体" w:cs="Times New Roman"/>
          <w:b w:val="0"/>
          <w:bCs w:val="0"/>
          <w:spacing w:val="-4"/>
          <w:sz w:val="32"/>
          <w:szCs w:val="32"/>
        </w:rPr>
      </w:pPr>
      <w:r>
        <w:rPr>
          <w:rStyle w:val="18"/>
          <w:rFonts w:hint="eastAsia" w:ascii="楷体" w:hAnsi="楷体" w:eastAsia="楷体" w:cs="Times New Roman"/>
          <w:b w:val="0"/>
          <w:bCs w:val="0"/>
          <w:spacing w:val="-4"/>
          <w:sz w:val="32"/>
          <w:szCs w:val="32"/>
        </w:rPr>
        <w:t>（三）绩效评价工作过程</w:t>
      </w:r>
    </w:p>
    <w:p w14:paraId="0E696150">
      <w:pPr>
        <w:spacing w:line="540" w:lineRule="exact"/>
        <w:ind w:firstLine="627" w:firstLineChars="200"/>
        <w:rPr>
          <w:rStyle w:val="18"/>
          <w:rFonts w:hint="eastAsia" w:ascii="仿宋" w:hAnsi="仿宋" w:eastAsia="仿宋" w:cs="仿宋"/>
          <w:b/>
          <w:bCs/>
          <w:spacing w:val="-4"/>
          <w:sz w:val="32"/>
          <w:szCs w:val="32"/>
          <w:lang w:val="en-US" w:eastAsia="zh-CN"/>
        </w:rPr>
      </w:pPr>
      <w:r>
        <w:rPr>
          <w:rStyle w:val="18"/>
          <w:rFonts w:hint="eastAsia" w:ascii="仿宋" w:hAnsi="仿宋" w:eastAsia="仿宋" w:cs="仿宋"/>
          <w:b/>
          <w:bCs/>
          <w:spacing w:val="-4"/>
          <w:sz w:val="32"/>
          <w:szCs w:val="32"/>
          <w:lang w:val="en-US" w:eastAsia="zh-CN"/>
        </w:rPr>
        <w:t>1.前期准备</w:t>
      </w:r>
    </w:p>
    <w:p w14:paraId="54FA8580">
      <w:pPr>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我单位于2025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李静</w:t>
      </w:r>
      <w:r>
        <w:rPr>
          <w:rStyle w:val="18"/>
          <w:rFonts w:hint="eastAsia" w:ascii="仿宋" w:hAnsi="仿宋" w:eastAsia="仿宋" w:cs="仿宋"/>
          <w:b w:val="0"/>
          <w:bCs w:val="0"/>
          <w:spacing w:val="-4"/>
          <w:sz w:val="32"/>
          <w:szCs w:val="32"/>
        </w:rPr>
        <w:t>（评价小组组长）：主要负责审核并解决项目实施过程所有相关问题，复核绩效评价报告质量；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付文革（评价小组组员）：主要负责收集项目绩效相关所有资料，负责报告中数据的核实；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柴桂兰</w:t>
      </w:r>
      <w:r>
        <w:rPr>
          <w:rStyle w:val="18"/>
          <w:rFonts w:hint="eastAsia" w:ascii="仿宋" w:hAnsi="仿宋" w:eastAsia="仿宋" w:cs="仿宋"/>
          <w:b w:val="0"/>
          <w:bCs w:val="0"/>
          <w:spacing w:val="-4"/>
          <w:sz w:val="32"/>
          <w:szCs w:val="32"/>
        </w:rPr>
        <w:t>（评价小组组员）：主要负责编制绩效评价报告，编制绩效评价附件表格。</w:t>
      </w:r>
      <w:r>
        <w:rPr>
          <w:rStyle w:val="18"/>
          <w:rFonts w:hint="eastAsia" w:ascii="仿宋" w:hAnsi="仿宋" w:eastAsia="仿宋" w:cs="仿宋"/>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2.组织实施</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2025年2月25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3.分析评价</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2025年3月11日—3月21日，评价小组按照绩效评价的原则和规范，对取得的资料进行审查核实，对采集的数据进行分析，按照绩效评价指标评分表逐项进行打分、分析、汇总各方评价结果。</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4.撰写与提交评价报告</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2025年3月22日—3月31日评价小组撰写绩效评价报告，按照新疆维吾尔自治区财政绩效管理信息系统绩效评价模块中统一格式和文本框架撰写绩效评价报告并提交审核。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5.问题整改</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6.档案整理</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建立和落实档案管理制度，将项目相关资料存档，包括但不限于：评价项目基本情况和相关文件、评价实施方案、项目支付资料等相关档案。</w:t>
      </w:r>
    </w:p>
    <w:p w14:paraId="6B27FC60">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313EA2D">
      <w:pPr>
        <w:spacing w:line="540" w:lineRule="exact"/>
        <w:ind w:firstLine="567"/>
        <w:rPr>
          <w:rStyle w:val="18"/>
          <w:rFonts w:hint="eastAsia" w:ascii="楷体" w:hAnsi="楷体" w:eastAsia="楷体" w:cs="Times New Roman"/>
          <w:b w:val="0"/>
          <w:bCs w:val="0"/>
          <w:spacing w:val="-4"/>
          <w:sz w:val="32"/>
          <w:szCs w:val="32"/>
        </w:rPr>
      </w:pPr>
      <w:r>
        <w:rPr>
          <w:rStyle w:val="18"/>
          <w:rFonts w:hint="eastAsia" w:ascii="楷体" w:hAnsi="楷体" w:eastAsia="楷体" w:cs="Times New Roman"/>
          <w:b w:val="0"/>
          <w:bCs w:val="0"/>
          <w:spacing w:val="-4"/>
          <w:sz w:val="32"/>
          <w:szCs w:val="32"/>
        </w:rPr>
        <w:t>（一）综合评价情况</w:t>
      </w:r>
    </w:p>
    <w:p w14:paraId="1736A435">
      <w:pPr>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经评价，本项目达成年初设立的绩效目标，在实施过程中取得了良好的成效，具体表现在以下三方面：</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一是：落实政策，做好血液检测工作。根据财政部、国家卫生健康委、国家疾控局《关于提前下达2023年重大传染病防控经费预算的通知》，进一步做好提高血液质量安全保障，做到采集血液检测全覆盖，有效提升血液安全的输注率，减少了经血液的疾病传播。</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二是：加强无偿献血宣传教育，在“6.14”世界献血者日进行社会宣传，提高群众的献血意识，2024年累计采血10534人次，供血3吨，基本保障和田地区临床用血需求。</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三是：严格落实资金专款专用及专项资金管理办法，资金拨付须请示，严格按照审核制度，不缺项和越程序办理手续，确保了资金的专款专用。严格按照项目要求完成各项目标任务，做到资源有效整合，提高了资金使用效益。</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楷体" w:hAnsi="楷体" w:eastAsia="楷体" w:cs="Times New Roman"/>
          <w:b w:val="0"/>
          <w:bCs w:val="0"/>
          <w:spacing w:val="-4"/>
          <w:sz w:val="32"/>
          <w:szCs w:val="32"/>
          <w:lang w:val="en-US" w:eastAsia="zh-CN"/>
        </w:rPr>
        <w:t xml:space="preserve">   </w:t>
      </w:r>
      <w:r>
        <w:rPr>
          <w:rStyle w:val="18"/>
          <w:rFonts w:hint="eastAsia" w:ascii="楷体" w:hAnsi="楷体" w:eastAsia="楷体" w:cs="Times New Roman"/>
          <w:b w:val="0"/>
          <w:bCs w:val="0"/>
          <w:spacing w:val="-4"/>
          <w:sz w:val="32"/>
          <w:szCs w:val="32"/>
          <w:lang w:eastAsia="zh-CN"/>
        </w:rPr>
        <w:t>（二）评价结论</w:t>
      </w:r>
      <w:r>
        <w:rPr>
          <w:rStyle w:val="18"/>
          <w:rFonts w:hint="eastAsia" w:ascii="楷体" w:hAnsi="楷体" w:eastAsia="楷体" w:cs="Times New Roman"/>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此次绩效评价通过绩效评价小组论证的评价指标体系及评分标准，采用因素分析法和比较法对本项目绩效进行客观评价，最终评分结果：总分为99.69分，绩效评级为“优”。综合评价结论如下：本项目共设置三级指标数量21个，实现三级指标数量20个，总体完成率为99.69%。</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项目决策类指标共设置6个，满分指标6个，权重分21分，得分21分，得分率100%；</w:t>
      </w:r>
    </w:p>
    <w:p w14:paraId="6DC4D286">
      <w:pPr>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过程管理类指标共设置5个，满分指标5个，权重分19分，得分19分，得分率100%；</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项目产出类指标共设置8个，满分指标8个，权重分20分，得分19.69分，得分率98.45%；</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eastAsia="zh-CN"/>
        </w:rPr>
        <w:t>项目效益类指标共设置2个，满分指标2个，权重分40分，得分40分，得分率100%。</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详细情况见“附件2：项目综合得分表”。</w:t>
      </w:r>
    </w:p>
    <w:p w14:paraId="20785E08">
      <w:pPr>
        <w:spacing w:line="540" w:lineRule="exact"/>
        <w:ind w:firstLine="624" w:firstLineChars="200"/>
        <w:rPr>
          <w:rStyle w:val="18"/>
          <w:rFonts w:hint="eastAsia" w:ascii="黑体" w:hAnsi="黑体" w:eastAsia="黑体" w:cs="Times New Roman"/>
          <w:b w:val="0"/>
          <w:spacing w:val="-4"/>
          <w:sz w:val="32"/>
          <w:szCs w:val="32"/>
        </w:rPr>
      </w:pPr>
      <w:r>
        <w:rPr>
          <w:rStyle w:val="18"/>
          <w:rFonts w:hint="eastAsia" w:ascii="黑体" w:hAnsi="黑体" w:eastAsia="黑体" w:cs="Times New Roman"/>
          <w:b w:val="0"/>
          <w:spacing w:val="-4"/>
          <w:sz w:val="32"/>
          <w:szCs w:val="32"/>
        </w:rPr>
        <w:t xml:space="preserve">四、绩效评价指标分析 </w:t>
      </w:r>
    </w:p>
    <w:p w14:paraId="5182A4C3">
      <w:pPr>
        <w:spacing w:line="540" w:lineRule="exact"/>
        <w:ind w:firstLine="624" w:firstLineChars="200"/>
        <w:rPr>
          <w:rStyle w:val="18"/>
          <w:rFonts w:hint="eastAsia" w:ascii="楷体" w:hAnsi="楷体" w:eastAsia="楷体" w:cs="Times New Roman"/>
          <w:b w:val="0"/>
          <w:bCs w:val="0"/>
          <w:spacing w:val="-4"/>
          <w:sz w:val="32"/>
          <w:szCs w:val="32"/>
          <w:lang w:val="en-US" w:eastAsia="zh-CN"/>
        </w:rPr>
      </w:pPr>
      <w:r>
        <w:rPr>
          <w:rStyle w:val="18"/>
          <w:rFonts w:hint="eastAsia" w:ascii="楷体" w:hAnsi="楷体" w:eastAsia="楷体" w:cs="Times New Roman"/>
          <w:b w:val="0"/>
          <w:bCs w:val="0"/>
          <w:spacing w:val="-4"/>
          <w:sz w:val="32"/>
          <w:szCs w:val="32"/>
          <w:lang w:val="en-US" w:eastAsia="zh-CN"/>
        </w:rPr>
        <w:t>（一）项目决策情况</w:t>
      </w:r>
    </w:p>
    <w:p w14:paraId="15C5B422">
      <w:pPr>
        <w:tabs>
          <w:tab w:val="center" w:pos="4295"/>
        </w:tabs>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项目决策类指标由3个二级指标和6个三级指标构成，权重分21分，实际得分21分。</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1.项目立项情况分析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（1）立项依据充分性</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本项目立项符合《全国血站服务体系建设发展规划（2021—2025年）》中“建设智慧化血站，提升血液应急保障能力”，项目立项符合国家法律法规、国民经济发展规划和相关政策，结合和田地区中心血站职责，并组织实施。本项目立项符合《和田地区中心血站配置内设机构和人员编制规定》中职责范围中的“提高供输血水平”，属于我单位履职所需；根据《财政资金直接支付申请书》，本项目资金性质为“公共财政预算”功能分类为“2100499其他公共卫生支出”,经济分类为“2130599商品和服务支出”属于公共财政支持范围，符合中央、地方事权支出责任划分原则；经检查我单位财政应用平台指标，本项目不存在重复。</w:t>
      </w:r>
      <w:r>
        <w:rPr>
          <w:rStyle w:val="18"/>
          <w:rFonts w:hint="eastAsia" w:ascii="仿宋" w:hAnsi="仿宋" w:eastAsia="仿宋" w:cs="仿宋"/>
          <w:b w:val="0"/>
          <w:bCs w:val="0"/>
          <w:spacing w:val="-4"/>
          <w:sz w:val="32"/>
          <w:szCs w:val="32"/>
          <w:lang w:eastAsia="zh-CN"/>
        </w:rPr>
        <w:br w:type="textWrapping"/>
      </w:r>
      <w:r>
        <w:rPr>
          <w:rStyle w:val="18"/>
          <w:rFonts w:hint="eastAsia" w:ascii="仿宋" w:hAnsi="仿宋" w:eastAsia="仿宋" w:cs="仿宋"/>
          <w:b w:val="0"/>
          <w:bCs w:val="0"/>
          <w:spacing w:val="-4"/>
          <w:sz w:val="32"/>
          <w:szCs w:val="32"/>
          <w:lang w:eastAsia="zh-CN"/>
        </w:rPr>
        <w:t>综上所述，本指标满分为5分，根据评分标准得5分，本项目立项依据充分。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（2）立项程序规范性</w:t>
      </w:r>
    </w:p>
    <w:p w14:paraId="02080397">
      <w:pPr>
        <w:tabs>
          <w:tab w:val="center" w:pos="4295"/>
        </w:tabs>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本项目根据决策依据编制工作计划和经费预算，经过与分管领导进行沟通、筛选确定经费预算计划，血站支委会研究确定最终预算方案，项目按照规定的程序申请设立；审批文件、材料符合相关要求。项目立项过程中产生的文件均符合相关要求。本项目为其他公共卫生支出类项目，属于经常性项目，项目预算金额为250万元，不涉及事前绩效评估和风险评估。</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综上所述，本指标满分为3分，根据评分标准得3分，本项目立项程序合规。</w:t>
      </w:r>
    </w:p>
    <w:p w14:paraId="1ACE4B08">
      <w:pPr>
        <w:tabs>
          <w:tab w:val="center" w:pos="4295"/>
        </w:tabs>
        <w:spacing w:line="540" w:lineRule="exact"/>
        <w:ind w:left="319" w:leftChars="152" w:firstLine="533" w:firstLineChars="170"/>
        <w:rPr>
          <w:rStyle w:val="18"/>
          <w:rFonts w:hint="eastAsia" w:ascii="仿宋" w:hAnsi="仿宋" w:eastAsia="仿宋" w:cs="仿宋"/>
          <w:b/>
          <w:bCs/>
          <w:spacing w:val="-4"/>
          <w:sz w:val="32"/>
          <w:szCs w:val="32"/>
          <w:lang w:val="en-US" w:eastAsia="zh-CN"/>
        </w:rPr>
      </w:pPr>
      <w:r>
        <w:rPr>
          <w:rStyle w:val="18"/>
          <w:rFonts w:hint="eastAsia" w:ascii="仿宋" w:hAnsi="仿宋" w:eastAsia="仿宋" w:cs="仿宋"/>
          <w:b/>
          <w:bCs/>
          <w:spacing w:val="-4"/>
          <w:sz w:val="32"/>
          <w:szCs w:val="32"/>
          <w:lang w:val="en-US" w:eastAsia="zh-CN"/>
        </w:rPr>
        <w:t>2.绩效目标情况分析</w:t>
      </w:r>
    </w:p>
    <w:p w14:paraId="24FEC7D7">
      <w:pPr>
        <w:tabs>
          <w:tab w:val="center" w:pos="4295"/>
        </w:tabs>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（1）绩效目标合理性</w:t>
      </w:r>
    </w:p>
    <w:p w14:paraId="555E8AB9">
      <w:pPr>
        <w:tabs>
          <w:tab w:val="center" w:pos="4295"/>
        </w:tabs>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本项目已设置年度绩效目标，具体内容为保障和田地区七县一市23家医院的采供血工作，为和田地区提供安全血液，全年计划采血10000人次，供血量达3吨，计划支付专用耗材物资费180万元，支付其他运行保障经费70万元；通过项目实施可带来良好的社会效益，有效提高血液安全的输注率，防止经血液带来的疾病传播。本项目实际工作内容为：截至2024年12月31日，本项目实际支出资金250万元，预算执行率为100.00%。项目形成支出250万元，已完成采集血液人次10534人次，供血量达3.2吨，专用耗材物资采购180万元，用于其他运行保障经费70万元。绩效目标与实际工作内容一致，两者具有相关性;本项目按照绩效目标完成数量指标、质量指标、时效指标、成本指标，有效提高血液安全输注工作，年度绩效目标完成，预期产出效益和效果符合正常的业绩水平。</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综上所述，本指标满分为4分，根据评分标准得4分，本项目绩效目标设置合理。</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（2）绩效指标明确性</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经检查我单位年初设置的《项目支出绩效目标表》，得出如下结论：本项目已将年度绩效目标进行细化为绩效指标体系，共设置一级指标4个，二级指标6个，三级指标10个，定量指标9个，定性指标1个，指标量化率为90%，量化率达70%以上。</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综上所述，本指标满分为3分，根据评分标准得3分，本项目所设置绩效指标明确。</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3.资金投入情况分析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（1）预算编制科学性</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本项目预算编制经过科学论证，内容与项目内容匹配，预算额度测算依据充分，按照标准编制，项目投资额与工作任务相匹配。</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预算申请内容为血站运行经费项目，项目实际内容为血站运行经费项目，预算申请与《血站运行经费项目实施方案》中涉及的项目内容匹配；</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本项目预算申请资金250万元，我单位在预算申请中严格按照单位标准和数量进行核算，其中：采购耗材物资经费180万元、用于其他运行经费成本70万元。本项目预算额度测算依据充分，严格按照标准编制，预算确定资金量与实际工作任务相匹配；</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综上所述，本指标满分为4分，根据评分标准得4分，本项目预算编制科学。</w:t>
      </w:r>
    </w:p>
    <w:p w14:paraId="331B8CA2">
      <w:pPr>
        <w:tabs>
          <w:tab w:val="center" w:pos="4295"/>
        </w:tabs>
        <w:spacing w:line="540" w:lineRule="exact"/>
        <w:ind w:left="319" w:leftChars="152" w:firstLine="530" w:firstLineChars="17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lang w:eastAsia="zh-CN"/>
        </w:rPr>
        <w:t>资金分配合理性</w:t>
      </w:r>
    </w:p>
    <w:p w14:paraId="79E0BC49">
      <w:pPr>
        <w:tabs>
          <w:tab w:val="center" w:pos="4295"/>
        </w:tabs>
        <w:spacing w:line="540" w:lineRule="exact"/>
        <w:ind w:firstLine="624" w:firstLineChars="200"/>
        <w:rPr>
          <w:rStyle w:val="18"/>
          <w:rFonts w:hint="eastAsia" w:ascii="楷体" w:hAnsi="楷体" w:eastAsia="楷体"/>
          <w:b w:val="0"/>
          <w:bCs w:val="0"/>
          <w:spacing w:val="-4"/>
          <w:sz w:val="32"/>
          <w:szCs w:val="32"/>
          <w:lang w:eastAsia="zh-CN"/>
        </w:rPr>
      </w:pPr>
      <w:r>
        <w:rPr>
          <w:rStyle w:val="18"/>
          <w:rFonts w:hint="eastAsia" w:ascii="仿宋" w:hAnsi="仿宋" w:eastAsia="仿宋" w:cs="仿宋"/>
          <w:b w:val="0"/>
          <w:bCs w:val="0"/>
          <w:spacing w:val="-4"/>
          <w:sz w:val="32"/>
          <w:szCs w:val="32"/>
          <w:lang w:eastAsia="zh-CN"/>
        </w:rPr>
        <w:t>本项目实际分配资金以《关于血站运行经费项目资金的请示》和《血站运行经费实施方案》为依据进行资金分配，预算资金分配依据充分。根据《关于下达2024年度部门预算批复的通知》文件显示，本项目实际到位资金250万元，实际分配资金与我单位提交申请的资金额度一致，资金分配额度合理，与我单位实际需求相适应。</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综上所述，本指标满分为2分，根据评分标准得2分，本项目资金分配合理。</w:t>
      </w:r>
      <w:r>
        <w:rPr>
          <w:rStyle w:val="18"/>
          <w:rFonts w:hint="eastAsia" w:ascii="楷体" w:hAnsi="楷体" w:eastAsia="楷体"/>
          <w:b w:val="0"/>
          <w:bCs w:val="0"/>
          <w:spacing w:val="-4"/>
          <w:sz w:val="32"/>
          <w:szCs w:val="32"/>
          <w:lang w:eastAsia="zh-CN"/>
        </w:rPr>
        <w:tab/>
      </w:r>
    </w:p>
    <w:p w14:paraId="5886257D">
      <w:pPr>
        <w:spacing w:line="540" w:lineRule="exact"/>
        <w:ind w:left="319" w:leftChars="152" w:firstLine="530" w:firstLineChars="170"/>
        <w:rPr>
          <w:rStyle w:val="18"/>
          <w:rFonts w:hint="eastAsia" w:ascii="楷体" w:hAnsi="楷体" w:eastAsia="楷体" w:cs="Times New Roman"/>
          <w:b w:val="0"/>
          <w:bCs w:val="0"/>
          <w:spacing w:val="-4"/>
          <w:sz w:val="32"/>
          <w:szCs w:val="32"/>
          <w:lang w:val="en-US" w:eastAsia="zh-CN"/>
        </w:rPr>
      </w:pPr>
      <w:r>
        <w:rPr>
          <w:rStyle w:val="18"/>
          <w:rFonts w:hint="eastAsia" w:ascii="楷体" w:hAnsi="楷体" w:eastAsia="楷体" w:cs="Times New Roman"/>
          <w:b w:val="0"/>
          <w:bCs w:val="0"/>
          <w:spacing w:val="-4"/>
          <w:sz w:val="32"/>
          <w:szCs w:val="32"/>
          <w:lang w:val="en-US" w:eastAsia="zh-CN"/>
        </w:rPr>
        <w:t>（二）项目过程情况</w:t>
      </w:r>
    </w:p>
    <w:p w14:paraId="5FA40C49">
      <w:pPr>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项目过程管理类指标由2个二级指标和5个三级指标构成，权重分19分，实际得分19分。</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1.资金管理情况分析</w:t>
      </w:r>
      <w:r>
        <w:rPr>
          <w:rStyle w:val="18"/>
          <w:rFonts w:hint="eastAsia" w:ascii="仿宋" w:hAnsi="仿宋" w:eastAsia="仿宋" w:cs="仿宋"/>
          <w:b/>
          <w:bCs/>
          <w:spacing w:val="-4"/>
          <w:sz w:val="32"/>
          <w:szCs w:val="32"/>
          <w:lang w:val="en-US" w:eastAsia="zh-CN"/>
        </w:rPr>
        <w:cr/>
      </w:r>
      <w:r>
        <w:rPr>
          <w:rStyle w:val="18"/>
          <w:rFonts w:hint="eastAsia" w:ascii="仿宋" w:hAnsi="仿宋" w:eastAsia="仿宋" w:cs="仿宋"/>
          <w:b/>
          <w:bCs/>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（1）资金到位率</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本项目预算资金为250万元，其中：本级财政安排资金250万元，其他资金0万元，实际到位资金250万元，资金到位率=（实际到位资金/预算资金）×100%=（250/250）*100%=100%。得分=资金到位率*分值=100%*4=4分。</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综上所述，本指标满分为4分，根据评分标准得4分，本项目资金分配合理。</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（2）预算执行率</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本项目实际支出资金250万元，预算执行率=（实际支出资金/实际到位资金）×100%=（250/250)*100%=100%。得分=预算执行率*分值=100%*5=5分。</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综上所述，本指标满分为5分，根据评分标准得5分，本项目资金分配合理。</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（3）资金使用合规性</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通过检查本项目签订的合同、资金申请文件、发票等财务付款凭证，得出本项目资金支出符合国家财经法规、《政府会计制度》以及《和田地区中心血站资金管理办法》《和田地区中心血站专项资金管理办法》，资金的拨付有完整的审批程序和手续，资金实际使用方向与预算批复用途一致，不存在截留、挤占、挪用、虚列支出的情况。</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综上所述，本指标满分为4分，根据评分标准得4分，资金支出符合我单位财务管理制度规定。</w:t>
      </w:r>
    </w:p>
    <w:p w14:paraId="47DA414B">
      <w:pPr>
        <w:spacing w:line="540" w:lineRule="exact"/>
        <w:ind w:firstLine="627" w:firstLineChars="200"/>
        <w:rPr>
          <w:rStyle w:val="18"/>
          <w:rFonts w:hint="eastAsia" w:ascii="仿宋" w:hAnsi="仿宋" w:eastAsia="仿宋" w:cs="仿宋"/>
          <w:b/>
          <w:bCs/>
          <w:spacing w:val="-4"/>
          <w:sz w:val="32"/>
          <w:szCs w:val="32"/>
          <w:lang w:val="en-US" w:eastAsia="zh-CN"/>
        </w:rPr>
      </w:pPr>
      <w:r>
        <w:rPr>
          <w:rStyle w:val="18"/>
          <w:rFonts w:hint="eastAsia" w:ascii="仿宋" w:hAnsi="仿宋" w:eastAsia="仿宋" w:cs="仿宋"/>
          <w:b/>
          <w:bCs/>
          <w:spacing w:val="-4"/>
          <w:sz w:val="32"/>
          <w:szCs w:val="32"/>
          <w:lang w:val="en-US" w:eastAsia="zh-CN"/>
        </w:rPr>
        <w:t>2.组织实施情况分析</w:t>
      </w:r>
    </w:p>
    <w:p w14:paraId="6DBF110F">
      <w:pPr>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val="en-US" w:eastAsia="zh-CN"/>
        </w:rPr>
        <w:t>(1)</w:t>
      </w:r>
      <w:r>
        <w:rPr>
          <w:rStyle w:val="18"/>
          <w:rFonts w:hint="eastAsia" w:ascii="仿宋" w:hAnsi="仿宋" w:eastAsia="仿宋" w:cs="仿宋"/>
          <w:b w:val="0"/>
          <w:bCs w:val="0"/>
          <w:spacing w:val="-4"/>
          <w:sz w:val="32"/>
          <w:szCs w:val="32"/>
          <w:lang w:eastAsia="zh-CN"/>
        </w:rPr>
        <w:t>管理制度健全性</w:t>
      </w:r>
    </w:p>
    <w:p w14:paraId="46A48265">
      <w:pPr>
        <w:spacing w:line="54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我单位已制定《和田地区中心血站资金管理办法》《和田地区中心血站收支业务管理制度》《和田地区中心血站政府采购业务管理制度》《和田地区中心血站合同管理制度》，上述已建立的制度均符合行政事业单位内控管理要求，财务和业务管理制度合法、合规、完整，本项目执行符合上述制度规定。</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综上所述，本指标满分为2分，根据评分标准得2分，项目制度建设健全。</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（2）制度执行有效性</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经对比分析本项目实际执行过程资料和已建立的项目管理制度和财务管理制度，得出本项目严格按照本单位已建立制度执行。项目资金支出严格按照自治区、地区</w:t>
      </w:r>
      <w:bookmarkStart w:id="0" w:name="_GoBack"/>
      <w:bookmarkEnd w:id="0"/>
      <w:r>
        <w:rPr>
          <w:rStyle w:val="18"/>
          <w:rFonts w:hint="eastAsia" w:ascii="仿宋" w:hAnsi="仿宋" w:eastAsia="仿宋" w:cs="仿宋"/>
          <w:b w:val="0"/>
          <w:bCs w:val="0"/>
          <w:spacing w:val="-4"/>
          <w:sz w:val="32"/>
          <w:szCs w:val="32"/>
          <w:lang w:eastAsia="zh-CN"/>
        </w:rPr>
        <w:t>以及本单位资金管理办法执行，项目启动实施后，为了加快本项目的实施，成立血站运行经费项目工作领导小组，由党组书记李书记任组长，负责项目的组织工作；王飞任副组长，负责项目的实施、项目监督管理、验收以及资金核拨等工作。</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综上所述，本指标满分为4分，根据评分标准得4分，本项目所建立制度执行有效。</w:t>
      </w:r>
    </w:p>
    <w:p w14:paraId="52118A88">
      <w:pPr>
        <w:spacing w:line="540" w:lineRule="exact"/>
        <w:ind w:left="319" w:leftChars="152" w:firstLine="530" w:firstLineChars="170"/>
        <w:rPr>
          <w:rStyle w:val="18"/>
          <w:rFonts w:hint="eastAsia" w:ascii="楷体" w:hAnsi="楷体" w:eastAsia="楷体" w:cs="Times New Roman"/>
          <w:b w:val="0"/>
          <w:bCs w:val="0"/>
          <w:spacing w:val="-4"/>
          <w:sz w:val="32"/>
          <w:szCs w:val="32"/>
          <w:lang w:val="en-US" w:eastAsia="zh-CN"/>
        </w:rPr>
      </w:pPr>
      <w:r>
        <w:rPr>
          <w:rStyle w:val="18"/>
          <w:rFonts w:hint="eastAsia" w:ascii="楷体" w:hAnsi="楷体" w:eastAsia="楷体" w:cs="Times New Roman"/>
          <w:b w:val="0"/>
          <w:bCs w:val="0"/>
          <w:spacing w:val="-4"/>
          <w:sz w:val="32"/>
          <w:szCs w:val="32"/>
          <w:lang w:val="en-US" w:eastAsia="zh-CN"/>
        </w:rPr>
        <w:t>（三）项目产出情况</w:t>
      </w:r>
    </w:p>
    <w:p w14:paraId="3B31AA5A">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项目产出类指标由4个二级指标和8个三级指标构成，权重分20分，实际得分19.69分。</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1.数量指标完成情况分析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“采集血液人次”指标：预期指标值为≥10000人次，实际完成指标值为10534人次，指标完成率为105.34%。</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“供血量”指标：预期指标值为≥3吨，实际完成指标值为3.2吨，指标完成率为106.67%。</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2.质量指标完成情况分析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“血液采集完成率”指标：预期指标值为100%，实际完成指标值为100%，指标完成率为100%。</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“购置耗材物资质量合格率”指标：预期指标值为100%，实际完成指标值为100%，指标完成率为100%。</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3.时效指标完成情况分析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“资金支付及时率”指标：预期指标值为100%，实际完成指标值为100%，指标完成率为100%。</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“采集血液合格率”指标：预期指标值为≥90%，实际完成指标值为100%，指标完成率为100%。</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4.成本指标完成情况分析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“采购耗材物资成本”指标：预期指标值为≤180万元，实际完成指标值为180万元，指标完成率为100%。</w:t>
      </w:r>
      <w:r>
        <w:rPr>
          <w:rStyle w:val="18"/>
          <w:rFonts w:hint="eastAsia" w:ascii="仿宋" w:hAnsi="仿宋" w:eastAsia="仿宋" w:cs="仿宋"/>
          <w:b w:val="0"/>
          <w:bCs w:val="0"/>
          <w:spacing w:val="-4"/>
          <w:sz w:val="32"/>
          <w:szCs w:val="32"/>
          <w:lang w:eastAsia="zh-CN"/>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“用于其他运行经费成本”指标：预期指标值为≤70万元，实际完成指标值为70万元，指标完成率为100%。</w:t>
      </w:r>
    </w:p>
    <w:p w14:paraId="2B20E1F9">
      <w:pPr>
        <w:spacing w:line="540" w:lineRule="exact"/>
        <w:ind w:left="319" w:leftChars="152" w:firstLine="530" w:firstLineChars="170"/>
        <w:rPr>
          <w:rStyle w:val="18"/>
          <w:rFonts w:hint="eastAsia" w:ascii="楷体" w:hAnsi="楷体" w:eastAsia="楷体" w:cs="Times New Roman"/>
          <w:b w:val="0"/>
          <w:bCs w:val="0"/>
          <w:spacing w:val="-4"/>
          <w:sz w:val="32"/>
          <w:szCs w:val="32"/>
          <w:lang w:val="en-US" w:eastAsia="zh-CN"/>
        </w:rPr>
      </w:pPr>
      <w:r>
        <w:rPr>
          <w:rStyle w:val="18"/>
          <w:rFonts w:hint="eastAsia" w:ascii="楷体" w:hAnsi="楷体" w:eastAsia="楷体" w:cs="Times New Roman"/>
          <w:b w:val="0"/>
          <w:bCs w:val="0"/>
          <w:spacing w:val="-4"/>
          <w:sz w:val="32"/>
          <w:szCs w:val="32"/>
          <w:lang w:val="en-US" w:eastAsia="zh-CN"/>
        </w:rPr>
        <w:t>（四）项目效益情况</w:t>
      </w:r>
    </w:p>
    <w:p w14:paraId="7C18F5BB">
      <w:pPr>
        <w:spacing w:line="540" w:lineRule="exact"/>
        <w:ind w:firstLine="567"/>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eastAsia="zh-CN"/>
        </w:rPr>
        <w:t>项目效益类指标由2个二级指标和2个三级指标构成，权重分40分，实际得分40分。</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1.经济效益完成情况分析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无；</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2.社会效益完成情况分析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“提高血液检测质量”指标：预期指标值为有效提高，实际完成指标值为基本达成目标，指标完成率为100%。</w:t>
      </w:r>
      <w:r>
        <w:rPr>
          <w:rStyle w:val="18"/>
          <w:rFonts w:hint="eastAsia" w:ascii="仿宋" w:hAnsi="仿宋" w:eastAsia="仿宋" w:cs="仿宋"/>
          <w:b w:val="0"/>
          <w:bCs w:val="0"/>
          <w:spacing w:val="-4"/>
          <w:sz w:val="32"/>
          <w:szCs w:val="32"/>
          <w:lang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3.生态效益完成情况分析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无；</w:t>
      </w:r>
      <w:r>
        <w:rPr>
          <w:rStyle w:val="18"/>
          <w:rFonts w:hint="eastAsia" w:ascii="仿宋" w:hAnsi="仿宋" w:eastAsia="仿宋" w:cs="仿宋"/>
          <w:b w:val="0"/>
          <w:bCs w:val="0"/>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4.可持续影响完成情况分析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5.满意度指标完成情况分析</w:t>
      </w:r>
      <w:r>
        <w:rPr>
          <w:rStyle w:val="18"/>
          <w:rFonts w:hint="eastAsia" w:ascii="仿宋" w:hAnsi="仿宋" w:eastAsia="仿宋" w:cs="仿宋"/>
          <w:b/>
          <w:bCs/>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“用血医院满意度”指标：预期指标值为≥98%，实际完成指标值为100%，指标完成率为100%。</w:t>
      </w:r>
    </w:p>
    <w:p w14:paraId="25E2B7D9">
      <w:pPr>
        <w:spacing w:line="540" w:lineRule="exact"/>
        <w:ind w:firstLine="936" w:firstLineChars="300"/>
        <w:rPr>
          <w:rStyle w:val="18"/>
          <w:rFonts w:hint="eastAsia" w:ascii="黑体" w:hAnsi="黑体" w:eastAsia="黑体" w:cs="Times New Roman"/>
          <w:b w:val="0"/>
          <w:spacing w:val="-4"/>
          <w:sz w:val="32"/>
          <w:szCs w:val="32"/>
        </w:rPr>
      </w:pPr>
      <w:r>
        <w:rPr>
          <w:rStyle w:val="18"/>
          <w:rFonts w:hint="eastAsia" w:ascii="黑体" w:hAnsi="黑体" w:eastAsia="黑体" w:cs="Times New Roman"/>
          <w:b w:val="0"/>
          <w:spacing w:val="-4"/>
          <w:sz w:val="32"/>
          <w:szCs w:val="32"/>
        </w:rPr>
        <w:t>五、预算执行进度与绩效指标偏差</w:t>
      </w:r>
    </w:p>
    <w:p w14:paraId="0AC07FCD">
      <w:pPr>
        <w:spacing w:line="540" w:lineRule="exact"/>
        <w:ind w:firstLine="567"/>
        <w:rPr>
          <w:rStyle w:val="18"/>
          <w:rFonts w:hint="eastAsia" w:ascii="楷体" w:hAnsi="楷体" w:eastAsia="楷体"/>
          <w:b w:val="0"/>
          <w:bCs w:val="0"/>
          <w:spacing w:val="-4"/>
          <w:sz w:val="32"/>
          <w:szCs w:val="32"/>
        </w:rPr>
      </w:pPr>
      <w:r>
        <w:rPr>
          <w:rStyle w:val="18"/>
          <w:rFonts w:hint="eastAsia" w:ascii="仿宋" w:hAnsi="仿宋" w:eastAsia="仿宋" w:cs="仿宋"/>
          <w:b w:val="0"/>
          <w:bCs w:val="0"/>
          <w:spacing w:val="-4"/>
          <w:sz w:val="32"/>
          <w:szCs w:val="32"/>
          <w:lang w:val="en-US" w:eastAsia="zh-CN"/>
        </w:rPr>
        <w:t>本项目年初预算资金总额为250万元，全年预算数为250万元，全年执行数为250万元，预算执行率为100%。</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本项目共设置三级指标数量10个，满分指标数量8个，扣分指标数量2个，经分析计算所有三级指标完成率得出，本项目总体完成率为101.2%。</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综上所述本项目预算执行率与总体完成率之间的偏差为1.2%。</w:t>
      </w:r>
    </w:p>
    <w:p w14:paraId="48CCD3CC">
      <w:pPr>
        <w:spacing w:line="540" w:lineRule="exact"/>
        <w:ind w:firstLine="624" w:firstLineChars="200"/>
        <w:rPr>
          <w:rStyle w:val="18"/>
          <w:rFonts w:hint="eastAsia" w:ascii="黑体" w:hAnsi="黑体" w:eastAsia="黑体" w:cs="Times New Roman"/>
          <w:b w:val="0"/>
          <w:spacing w:val="-4"/>
          <w:sz w:val="32"/>
          <w:szCs w:val="32"/>
        </w:rPr>
      </w:pPr>
      <w:r>
        <w:rPr>
          <w:rStyle w:val="18"/>
          <w:rFonts w:hint="eastAsia" w:ascii="黑体" w:hAnsi="黑体" w:eastAsia="黑体" w:cs="Times New Roman"/>
          <w:b w:val="0"/>
          <w:spacing w:val="-4"/>
          <w:sz w:val="32"/>
          <w:szCs w:val="32"/>
        </w:rPr>
        <w:t>六、主要经验及做法、存在的问题及原因分析</w:t>
      </w:r>
    </w:p>
    <w:p w14:paraId="27AEDA53">
      <w:pPr>
        <w:spacing w:line="540" w:lineRule="exact"/>
        <w:ind w:firstLine="624" w:firstLineChars="200"/>
        <w:rPr>
          <w:rStyle w:val="18"/>
          <w:rFonts w:hint="eastAsia" w:ascii="楷体" w:hAnsi="楷体" w:eastAsia="楷体" w:cs="Times New Roman"/>
          <w:b w:val="0"/>
          <w:bCs w:val="0"/>
          <w:spacing w:val="-4"/>
          <w:sz w:val="32"/>
          <w:szCs w:val="32"/>
          <w:lang w:val="en-US" w:eastAsia="zh-CN"/>
        </w:rPr>
      </w:pPr>
      <w:r>
        <w:rPr>
          <w:rStyle w:val="18"/>
          <w:rFonts w:hint="eastAsia" w:ascii="楷体" w:hAnsi="楷体" w:eastAsia="楷体" w:cs="Times New Roman"/>
          <w:b w:val="0"/>
          <w:bCs w:val="0"/>
          <w:spacing w:val="-4"/>
          <w:sz w:val="32"/>
          <w:szCs w:val="32"/>
          <w:lang w:val="en-US" w:eastAsia="zh-CN"/>
        </w:rPr>
        <w:t>（一）主要经验及做法</w:t>
      </w:r>
    </w:p>
    <w:p w14:paraId="1BF32108">
      <w:pPr>
        <w:spacing w:line="540" w:lineRule="exact"/>
        <w:ind w:firstLine="624" w:firstLineChars="200"/>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2.加强宣传，加强对各项制度的执行力度，杜绝有令不行、有禁不止的情况发生。</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3.本年度机关运行项目涉及内容较广泛，要做好每个范围内的梳理，对每个项目都要做到从开始到结束实施过程中的监督，在项目进行的过程中要分工明确，建立完整的相关制度政策依据，每一项支出都要有政策依据；好的项目资金管理的能够快捷高效地落实每一个项目，责任到人的原则，建立健全内部监督机制都会对项目资金的有效落实起到至关重要的作用。</w:t>
      </w:r>
      <w:r>
        <w:rPr>
          <w:rStyle w:val="18"/>
          <w:rFonts w:hint="eastAsia" w:ascii="仿宋" w:hAnsi="仿宋" w:eastAsia="仿宋" w:cs="仿宋"/>
          <w:b w:val="0"/>
          <w:bCs w:val="0"/>
          <w:spacing w:val="-4"/>
          <w:sz w:val="32"/>
          <w:szCs w:val="32"/>
          <w:lang w:val="en-US" w:eastAsia="zh-CN"/>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cs="Times New Roman"/>
          <w:b w:val="0"/>
          <w:bCs w:val="0"/>
          <w:spacing w:val="-4"/>
          <w:sz w:val="32"/>
          <w:szCs w:val="32"/>
          <w:lang w:val="en-US" w:eastAsia="zh-CN"/>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val="en-US" w:eastAsia="zh-CN"/>
        </w:rPr>
        <w:t xml:space="preserve">  1.各项指标和指标值要进一步优化、完善，主要在细化、量化上改进；自评价工作还存在自我审定的局限性，会影响评价质量，容易造成问题的疏漏，在客观性和公正性上说服力不强。</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2.资金拨付缓慢。事前明确绩效自评工作责任分工和完成时限，并提出具体要求。项目资金监督和管理需进一步完善。严格按照合同约定和工程建设进度支付资金，每笔工程款的支付均按照施工单位申请、监理审核、项目管理部门确认、财务部门审查、领导审批等程序进行。</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3.项目实施方案中，项目绩效目标内容制定不够完整，对项目具体实施指导性不强；资金使用合规，无截留、挪用等现象，资金使用产生效益。存在资金开支时间进度不均衡的问题。</w:t>
      </w:r>
    </w:p>
    <w:p w14:paraId="6733D896">
      <w:pPr>
        <w:spacing w:line="540" w:lineRule="exact"/>
        <w:ind w:firstLine="624" w:firstLineChars="200"/>
        <w:rPr>
          <w:rStyle w:val="18"/>
          <w:rFonts w:hint="eastAsia" w:ascii="黑体" w:hAnsi="黑体" w:eastAsia="黑体" w:cs="Times New Roman"/>
          <w:b w:val="0"/>
          <w:spacing w:val="-4"/>
          <w:sz w:val="32"/>
          <w:szCs w:val="32"/>
        </w:rPr>
      </w:pPr>
      <w:r>
        <w:rPr>
          <w:rStyle w:val="18"/>
          <w:rFonts w:hint="eastAsia" w:ascii="黑体" w:hAnsi="黑体" w:eastAsia="黑体" w:cs="Times New Roman"/>
          <w:b w:val="0"/>
          <w:spacing w:val="-4"/>
          <w:sz w:val="32"/>
          <w:szCs w:val="32"/>
          <w:lang w:val="en-US" w:eastAsia="zh-CN"/>
        </w:rPr>
        <w:t>七</w:t>
      </w:r>
      <w:r>
        <w:rPr>
          <w:rStyle w:val="18"/>
          <w:rFonts w:hint="eastAsia" w:ascii="黑体" w:hAnsi="黑体" w:eastAsia="黑体" w:cs="Times New Roman"/>
          <w:b w:val="0"/>
          <w:spacing w:val="-4"/>
          <w:sz w:val="32"/>
          <w:szCs w:val="32"/>
        </w:rPr>
        <w:t>、有关建议</w:t>
      </w:r>
    </w:p>
    <w:p w14:paraId="5CD7CD2A">
      <w:pPr>
        <w:spacing w:line="540" w:lineRule="exact"/>
        <w:ind w:firstLine="624" w:firstLineChars="200"/>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一）细化指标时，应将宏观目标分解为具体、可操作的子目标，确保每个指标都能精准反映项目或部门的核心工作内容和关键成果；对于难以量化的指标，可采用分层分类的方法，通过专家打分、公众评价等方式赋予其可衡量的数值；建立动态调整机制，根据实际情况和评价反馈，及时更新和优化指标体系，确保其始终贴合实际工作需求，有效指导绩效评价工作，提高评价的准确性和科学性。</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二）优化资金拨付流程，加强各部门间的沟通协调，确保施工单位申请、监理审核、项目管理部门确认、财务部门审查、领导审批等环节高效衔接，减少不必要的延误；建立资金拨付进度预警机制，对即将逾期的支付环节进行预警提醒，督促相关部门加快办理；强化资金使用过程的监督，定期对资金使用情况进行专项检查，确保资金专款专用，严格按照合同约定和工程建设进度支付资金，防止因资金管理不善导致的拨付延迟。</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三）通过构建覆盖项目全周期的三维绩效目标体系，建立目标分解传导机制与标准化实施规范；同步推行双周期预算管理和业财联动动态调整机制，强化资金使用进度预警及结构性优化；同时完善"三审三验"全流程监管体系，引入第三方绩效跟踪评价并将结果与预算挂钩，最终形成"目标引领—动态调控—全程监管—结果应用"的闭环管理体系，推动项目管理由合规控制向绩效导向转型升级，切实提升资金配置精准度与项目实施效益转化率。</w:t>
      </w:r>
    </w:p>
    <w:p w14:paraId="22BD566C">
      <w:pPr>
        <w:spacing w:line="540" w:lineRule="exact"/>
        <w:ind w:firstLine="624" w:firstLineChars="200"/>
        <w:rPr>
          <w:rStyle w:val="18"/>
          <w:rFonts w:hint="eastAsia" w:ascii="黑体" w:hAnsi="黑体" w:eastAsia="黑体" w:cs="Times New Roman"/>
          <w:b w:val="0"/>
          <w:spacing w:val="-4"/>
          <w:sz w:val="32"/>
          <w:szCs w:val="32"/>
          <w:lang w:val="en-US" w:eastAsia="zh-CN"/>
        </w:rPr>
      </w:pPr>
      <w:r>
        <w:rPr>
          <w:rStyle w:val="18"/>
          <w:rFonts w:hint="eastAsia" w:ascii="黑体" w:hAnsi="黑体" w:eastAsia="黑体" w:cs="Times New Roman"/>
          <w:b w:val="0"/>
          <w:spacing w:val="-4"/>
          <w:sz w:val="32"/>
          <w:szCs w:val="32"/>
          <w:lang w:val="en-US" w:eastAsia="zh-CN"/>
        </w:rPr>
        <w:t>八、其他需要说明的问题</w:t>
      </w:r>
    </w:p>
    <w:p w14:paraId="0B4EAAC2">
      <w:pPr>
        <w:spacing w:line="540" w:lineRule="exact"/>
        <w:ind w:firstLine="624" w:firstLineChars="200"/>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（一）本项目部分间接产生的效果无法准确在短期内衡量，因此很难认定项目产生的全部效果。通过指标来反映绩效，指标的科学性和全面性需要不断地完善和研究。</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（二）评价结果作为安排政府预算、完善政策和改进管理的重要依据。原则上，对评价等级为优、良的，根据情况予以支持；对评价等级为中、差的，要完善政策、改进管理，根据情况核减预算。</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（三）评价结果分别编入政府决算和部门预算，报送本级人民代表大会常务委员会，并依法予以公开。</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18"/>
          <w:rFonts w:hint="eastAsia" w:ascii="仿宋" w:hAnsi="仿宋" w:eastAsia="仿宋" w:cs="仿宋"/>
          <w:b w:val="0"/>
          <w:bCs w:val="0"/>
          <w:spacing w:val="-4"/>
          <w:sz w:val="32"/>
          <w:szCs w:val="32"/>
          <w:lang w:val="en-US" w:eastAsia="zh-CN"/>
        </w:rPr>
        <w:cr/>
      </w:r>
      <w:r>
        <w:rPr>
          <w:rStyle w:val="18"/>
          <w:rFonts w:hint="eastAsia" w:ascii="仿宋" w:hAnsi="仿宋" w:eastAsia="仿宋" w:cs="仿宋"/>
          <w:b w:val="0"/>
          <w:bCs w:val="0"/>
          <w:spacing w:val="-4"/>
          <w:sz w:val="32"/>
          <w:szCs w:val="32"/>
          <w:lang w:val="en-US" w:eastAsia="zh-CN"/>
        </w:rPr>
        <w:t xml:space="preserve">    （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591BAA5F">
      <w:pPr>
        <w:spacing w:line="540" w:lineRule="exact"/>
        <w:ind w:left="319" w:leftChars="152" w:firstLine="530" w:firstLineChars="170"/>
        <w:rPr>
          <w:rStyle w:val="18"/>
          <w:rFonts w:hint="eastAsia" w:ascii="仿宋" w:hAnsi="仿宋" w:eastAsia="仿宋" w:cs="仿宋"/>
          <w:b w:val="0"/>
          <w:bCs w:val="0"/>
          <w:spacing w:val="-4"/>
          <w:sz w:val="32"/>
          <w:szCs w:val="32"/>
          <w:lang w:val="en-US" w:eastAsia="zh-CN"/>
        </w:rPr>
      </w:pPr>
    </w:p>
    <w:sectPr>
      <w:footerReference r:id="rId3" w:type="default"/>
      <w:pgSz w:w="11906" w:h="16838"/>
      <w:pgMar w:top="1723" w:right="1446"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27C2D7C">
        <w:pPr>
          <w:pStyle w:val="12"/>
          <w:jc w:val="center"/>
        </w:pPr>
        <w:r>
          <w:fldChar w:fldCharType="begin"/>
        </w:r>
        <w:r>
          <w:instrText xml:space="preserve">PAGE   \* MERGEFORMAT</w:instrText>
        </w:r>
        <w:r>
          <w:fldChar w:fldCharType="separate"/>
        </w:r>
        <w:r>
          <w:rPr>
            <w:lang w:val="zh-CN"/>
          </w:rPr>
          <w:t>1</w:t>
        </w:r>
        <w:r>
          <w:fldChar w:fldCharType="end"/>
        </w:r>
      </w:p>
    </w:sdtContent>
  </w:sdt>
  <w:p w14:paraId="495AB18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6B5D62"/>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1C7762F"/>
    <w:rsid w:val="13916645"/>
    <w:rsid w:val="13BE561A"/>
    <w:rsid w:val="15392994"/>
    <w:rsid w:val="18FE139B"/>
    <w:rsid w:val="19D70471"/>
    <w:rsid w:val="274F6A71"/>
    <w:rsid w:val="27D84E8E"/>
    <w:rsid w:val="3029612C"/>
    <w:rsid w:val="32A221C5"/>
    <w:rsid w:val="33F20F2A"/>
    <w:rsid w:val="34C44675"/>
    <w:rsid w:val="3B5B5607"/>
    <w:rsid w:val="3CE21B3C"/>
    <w:rsid w:val="441322F5"/>
    <w:rsid w:val="4516688B"/>
    <w:rsid w:val="4D2606A1"/>
    <w:rsid w:val="51830480"/>
    <w:rsid w:val="53A616BE"/>
    <w:rsid w:val="54662BFB"/>
    <w:rsid w:val="55E26093"/>
    <w:rsid w:val="56E85FA6"/>
    <w:rsid w:val="580D3B0A"/>
    <w:rsid w:val="5A0C1B4F"/>
    <w:rsid w:val="5EC4605D"/>
    <w:rsid w:val="62051CA5"/>
    <w:rsid w:val="6C3A69EF"/>
    <w:rsid w:val="7DB12889"/>
    <w:rsid w:val="FFBF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11243</Words>
  <Characters>11760</Characters>
  <Lines>5</Lines>
  <Paragraphs>1</Paragraphs>
  <TotalTime>42</TotalTime>
  <ScaleCrop>false</ScaleCrop>
  <LinksUpToDate>false</LinksUpToDate>
  <CharactersWithSpaces>12330</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sugon</cp:lastModifiedBy>
  <cp:lastPrinted>2025-09-26T18:15:08Z</cp:lastPrinted>
  <dcterms:modified xsi:type="dcterms:W3CDTF">2025-09-26T18:16:46Z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C734C92AAAF24344A0E4232D8EB3359B</vt:lpwstr>
  </property>
  <property fmtid="{D5CDD505-2E9C-101B-9397-08002B2CF9AE}" pid="4" name="KSOTemplateDocerSaveRecord">
    <vt:lpwstr>eyJoZGlkIjoiZDgwNjkzNDQwZDcwZjk5YjhjOTc3OTcwYWRjZTcxZDIifQ==</vt:lpwstr>
  </property>
</Properties>
</file>