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1E26B1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和田地区质量与计量检测所2024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val="0"/>
          <w:bCs w:val="0"/>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_Toc31918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sz w:val="32"/>
          <w:szCs w:val="32"/>
          <w:highlight w:val="none"/>
        </w:rPr>
        <w:t>第一部分 单位概况</w:t>
      </w:r>
      <w:r>
        <w:rPr>
          <w:rFonts w:hint="eastAsia" w:ascii="仿宋_GB2312" w:hAnsi="仿宋_GB2312" w:eastAsia="仿宋_GB2312" w:cs="仿宋_GB2312"/>
          <w:b w:val="0"/>
          <w:bCs w:val="0"/>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val="0"/>
          <w:bCs w:val="0"/>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_Toc7559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sz w:val="32"/>
          <w:szCs w:val="32"/>
          <w:highlight w:val="none"/>
        </w:rPr>
        <w:t>第</w:t>
      </w:r>
      <w:r>
        <w:rPr>
          <w:rFonts w:hint="eastAsia" w:ascii="仿宋_GB2312" w:hAnsi="仿宋_GB2312" w:eastAsia="仿宋_GB2312" w:cs="仿宋_GB2312"/>
          <w:b w:val="0"/>
          <w:bCs w:val="0"/>
          <w:sz w:val="32"/>
          <w:szCs w:val="32"/>
          <w:highlight w:val="none"/>
          <w:lang w:val="en-US" w:eastAsia="zh-CN"/>
        </w:rPr>
        <w:t>二</w:t>
      </w:r>
      <w:r>
        <w:rPr>
          <w:rFonts w:hint="eastAsia" w:ascii="仿宋_GB2312" w:hAnsi="仿宋_GB2312" w:eastAsia="仿宋_GB2312" w:cs="仿宋_GB2312"/>
          <w:b w:val="0"/>
          <w:bCs w:val="0"/>
          <w:sz w:val="32"/>
          <w:szCs w:val="32"/>
          <w:highlight w:val="none"/>
        </w:rPr>
        <w:t>部分 部门决算情况说明</w:t>
      </w:r>
      <w:r>
        <w:rPr>
          <w:rFonts w:hint="eastAsia" w:ascii="仿宋_GB2312" w:hAnsi="仿宋_GB2312" w:eastAsia="仿宋_GB2312" w:cs="仿宋_GB2312"/>
          <w:b w:val="0"/>
          <w:bCs w:val="0"/>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val="0"/>
          <w:bCs w:val="0"/>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_Toc30038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sz w:val="32"/>
          <w:szCs w:val="32"/>
          <w:highlight w:val="none"/>
        </w:rPr>
        <w:t>第</w:t>
      </w:r>
      <w:r>
        <w:rPr>
          <w:rFonts w:hint="eastAsia" w:ascii="仿宋_GB2312" w:hAnsi="仿宋_GB2312" w:eastAsia="仿宋_GB2312" w:cs="仿宋_GB2312"/>
          <w:b w:val="0"/>
          <w:bCs w:val="0"/>
          <w:sz w:val="32"/>
          <w:szCs w:val="32"/>
          <w:highlight w:val="none"/>
          <w:lang w:val="en-US" w:eastAsia="zh-CN"/>
        </w:rPr>
        <w:t>三</w:t>
      </w:r>
      <w:r>
        <w:rPr>
          <w:rFonts w:hint="eastAsia" w:ascii="仿宋_GB2312" w:hAnsi="仿宋_GB2312" w:eastAsia="仿宋_GB2312" w:cs="仿宋_GB2312"/>
          <w:b w:val="0"/>
          <w:bCs w:val="0"/>
          <w:sz w:val="32"/>
          <w:szCs w:val="32"/>
          <w:highlight w:val="none"/>
        </w:rPr>
        <w:t>部分 专业名词解释</w:t>
      </w:r>
      <w:r>
        <w:rPr>
          <w:rFonts w:hint="eastAsia" w:ascii="仿宋_GB2312" w:hAnsi="仿宋_GB2312" w:eastAsia="仿宋_GB2312" w:cs="仿宋_GB2312"/>
          <w:b w:val="0"/>
          <w:bCs w:val="0"/>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_Toc6831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sz w:val="32"/>
          <w:szCs w:val="32"/>
          <w:highlight w:val="none"/>
        </w:rPr>
        <w:t>第四部分 部门决算报表（见附表）</w:t>
      </w:r>
      <w:r>
        <w:rPr>
          <w:rFonts w:hint="eastAsia" w:ascii="仿宋_GB2312" w:hAnsi="仿宋_GB2312" w:eastAsia="仿宋_GB2312" w:cs="仿宋_GB2312"/>
          <w:b w:val="0"/>
          <w:bCs w:val="0"/>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1D7CC5F">
      <w:r>
        <w:br w:type="page"/>
      </w:r>
    </w:p>
    <w:p w14:paraId="446F9FB2">
      <w:pPr>
        <w:spacing w:line="640" w:lineRule="exact"/>
        <w:jc w:val="center"/>
        <w:outlineLvl w:val="1"/>
      </w:pPr>
      <w:r>
        <w:rPr>
          <w:rFonts w:ascii="黑体" w:hAnsi="黑体" w:eastAsia="黑体"/>
          <w:sz w:val="32"/>
        </w:rPr>
        <w:t>第一部分 单位概况</w:t>
      </w:r>
    </w:p>
    <w:p w14:paraId="2E55ACF0">
      <w:pPr>
        <w:spacing w:line="640" w:lineRule="exact"/>
        <w:ind w:firstLine="640"/>
        <w:jc w:val="both"/>
        <w:outlineLvl w:val="2"/>
      </w:pPr>
      <w:r>
        <w:rPr>
          <w:rFonts w:ascii="黑体" w:hAnsi="黑体" w:eastAsia="黑体"/>
          <w:sz w:val="32"/>
        </w:rPr>
        <w:t>一、主要职能</w:t>
      </w:r>
    </w:p>
    <w:p w14:paraId="1786DB9F">
      <w:pPr>
        <w:spacing w:line="580" w:lineRule="exact"/>
        <w:ind w:firstLine="643" w:firstLineChars="200"/>
        <w:jc w:val="both"/>
        <w:rPr>
          <w:b/>
          <w:bCs/>
        </w:rPr>
      </w:pPr>
      <w:r>
        <w:rPr>
          <w:rFonts w:hint="eastAsia" w:ascii="仿宋_GB2312" w:hAnsi="仿宋_GB2312" w:eastAsia="仿宋_GB2312"/>
          <w:b/>
          <w:bCs/>
          <w:sz w:val="32"/>
          <w:lang w:eastAsia="zh-CN"/>
        </w:rPr>
        <w:t>（</w:t>
      </w:r>
      <w:r>
        <w:rPr>
          <w:rFonts w:hint="eastAsia" w:ascii="仿宋_GB2312" w:hAnsi="仿宋_GB2312" w:eastAsia="仿宋_GB2312"/>
          <w:b/>
          <w:bCs/>
          <w:sz w:val="32"/>
          <w:lang w:val="en-US" w:eastAsia="zh-CN"/>
        </w:rPr>
        <w:t>一</w:t>
      </w:r>
      <w:r>
        <w:rPr>
          <w:rFonts w:hint="eastAsia" w:ascii="仿宋_GB2312" w:hAnsi="仿宋_GB2312" w:eastAsia="仿宋_GB2312"/>
          <w:b/>
          <w:bCs/>
          <w:sz w:val="32"/>
          <w:lang w:eastAsia="zh-CN"/>
        </w:rPr>
        <w:t>）</w:t>
      </w:r>
      <w:r>
        <w:rPr>
          <w:rFonts w:ascii="仿宋_GB2312" w:hAnsi="仿宋_GB2312" w:eastAsia="仿宋_GB2312"/>
          <w:b/>
          <w:bCs/>
          <w:sz w:val="32"/>
        </w:rPr>
        <w:t>、质量检测方面。</w:t>
      </w:r>
    </w:p>
    <w:p w14:paraId="3BB7A4C1">
      <w:pPr>
        <w:spacing w:line="580" w:lineRule="exact"/>
        <w:ind w:firstLine="640"/>
        <w:jc w:val="both"/>
      </w:pPr>
      <w:r>
        <w:rPr>
          <w:rFonts w:ascii="仿宋_GB2312" w:hAnsi="仿宋_GB2312" w:eastAsia="仿宋_GB2312"/>
          <w:sz w:val="32"/>
        </w:rPr>
        <w:t>1.负责对和田地区各类产品进行质量检验检测，包括但不限于农产品、工业产品等，以确保产品符合相关质量标准。</w:t>
      </w:r>
    </w:p>
    <w:p w14:paraId="1DD0E301">
      <w:pPr>
        <w:spacing w:line="580" w:lineRule="exact"/>
        <w:ind w:firstLine="640"/>
        <w:jc w:val="both"/>
      </w:pPr>
      <w:r>
        <w:rPr>
          <w:rFonts w:ascii="仿宋_GB2312" w:hAnsi="仿宋_GB2312" w:eastAsia="仿宋_GB2312"/>
          <w:sz w:val="32"/>
        </w:rPr>
        <w:t>2.开展质量分析和评估，为企业和政府部门提供产品质量状况的准确信息，帮助企业改进产品质量，为政府决策提供依据。</w:t>
      </w:r>
    </w:p>
    <w:p w14:paraId="554FF7C7">
      <w:pPr>
        <w:spacing w:line="580" w:lineRule="exact"/>
        <w:ind w:firstLine="640"/>
        <w:jc w:val="both"/>
        <w:rPr>
          <w:b/>
          <w:bCs/>
        </w:rPr>
      </w:pPr>
      <w:r>
        <w:rPr>
          <w:rFonts w:hint="eastAsia" w:ascii="仿宋_GB2312" w:hAnsi="仿宋_GB2312" w:eastAsia="仿宋_GB2312"/>
          <w:b/>
          <w:bCs/>
          <w:sz w:val="32"/>
          <w:lang w:eastAsia="zh-CN"/>
        </w:rPr>
        <w:t>（</w:t>
      </w:r>
      <w:r>
        <w:rPr>
          <w:rFonts w:hint="eastAsia" w:ascii="仿宋_GB2312" w:hAnsi="仿宋_GB2312" w:eastAsia="仿宋_GB2312"/>
          <w:b/>
          <w:bCs/>
          <w:sz w:val="32"/>
          <w:lang w:val="en-US" w:eastAsia="zh-CN"/>
        </w:rPr>
        <w:t>二</w:t>
      </w:r>
      <w:r>
        <w:rPr>
          <w:rFonts w:hint="eastAsia" w:ascii="仿宋_GB2312" w:hAnsi="仿宋_GB2312" w:eastAsia="仿宋_GB2312"/>
          <w:b/>
          <w:bCs/>
          <w:sz w:val="32"/>
          <w:lang w:eastAsia="zh-CN"/>
        </w:rPr>
        <w:t>）</w:t>
      </w:r>
      <w:r>
        <w:rPr>
          <w:rFonts w:ascii="仿宋_GB2312" w:hAnsi="仿宋_GB2312" w:eastAsia="仿宋_GB2312"/>
          <w:b/>
          <w:bCs/>
          <w:sz w:val="32"/>
        </w:rPr>
        <w:t>、计量检测方面。</w:t>
      </w:r>
    </w:p>
    <w:p w14:paraId="17F7D82E">
      <w:pPr>
        <w:spacing w:line="580" w:lineRule="exact"/>
        <w:ind w:firstLine="640"/>
        <w:jc w:val="both"/>
      </w:pPr>
      <w:r>
        <w:rPr>
          <w:rFonts w:ascii="仿宋_GB2312" w:hAnsi="仿宋_GB2312" w:eastAsia="仿宋_GB2312"/>
          <w:sz w:val="32"/>
        </w:rPr>
        <w:t>1.对各类计量器具进行检定、校准和检测，确保计量器具的准确性和可靠性。例如，对天平、压力表、流量计等计量器具进行检测。</w:t>
      </w:r>
    </w:p>
    <w:p w14:paraId="3C184D11">
      <w:pPr>
        <w:spacing w:line="580" w:lineRule="exact"/>
        <w:ind w:firstLine="640"/>
        <w:jc w:val="both"/>
      </w:pPr>
      <w:r>
        <w:rPr>
          <w:rFonts w:ascii="仿宋_GB2312" w:hAnsi="仿宋_GB2312" w:eastAsia="仿宋_GB2312"/>
          <w:sz w:val="32"/>
        </w:rPr>
        <w:t>2.承担计量技术研究和服务工作，为企业提供计量技术咨询和培训，帮助企业提高计量管理水平。</w:t>
      </w:r>
    </w:p>
    <w:p w14:paraId="0F9AB0EC">
      <w:pPr>
        <w:spacing w:line="640" w:lineRule="exact"/>
        <w:ind w:firstLine="640"/>
        <w:jc w:val="both"/>
        <w:outlineLvl w:val="2"/>
      </w:pPr>
      <w:r>
        <w:rPr>
          <w:rFonts w:ascii="黑体" w:hAnsi="黑体" w:eastAsia="黑体"/>
          <w:sz w:val="32"/>
        </w:rPr>
        <w:t>二、机构设置及人员情况</w:t>
      </w:r>
    </w:p>
    <w:p w14:paraId="229CB9AC">
      <w:pPr>
        <w:spacing w:line="580" w:lineRule="exact"/>
        <w:ind w:firstLine="640"/>
        <w:jc w:val="both"/>
      </w:pPr>
      <w:r>
        <w:rPr>
          <w:rFonts w:ascii="仿宋_GB2312" w:hAnsi="仿宋_GB2312" w:eastAsia="仿宋_GB2312"/>
          <w:sz w:val="32"/>
        </w:rPr>
        <w:t>和田地区质量与计量检测所2024年度，实有人数76人，其中：在职人员37人，减少4人；离休人员1人，增加0人；退休人员38人,增加0人。</w:t>
      </w:r>
    </w:p>
    <w:p w14:paraId="1B74691F">
      <w:pPr>
        <w:spacing w:line="580" w:lineRule="exact"/>
        <w:ind w:firstLine="640"/>
        <w:jc w:val="both"/>
      </w:pPr>
      <w:r>
        <w:rPr>
          <w:rFonts w:ascii="仿宋_GB2312" w:hAnsi="仿宋_GB2312" w:eastAsia="仿宋_GB2312"/>
          <w:sz w:val="32"/>
        </w:rPr>
        <w:t>和田地区质量与计量检测所无下属预算单位，下设3个科室，分别是：财务室、办公室、业务室。</w:t>
      </w:r>
    </w:p>
    <w:p w14:paraId="7D21F992">
      <w:r>
        <w:br w:type="page"/>
      </w:r>
    </w:p>
    <w:p w14:paraId="464FBFFA">
      <w:pPr>
        <w:spacing w:line="240" w:lineRule="auto"/>
        <w:jc w:val="center"/>
        <w:outlineLvl w:val="1"/>
      </w:pPr>
      <w:r>
        <w:rPr>
          <w:rFonts w:ascii="黑体" w:hAnsi="黑体" w:eastAsia="黑体"/>
          <w:sz w:val="32"/>
        </w:rPr>
        <w:t>第二部分 部门决算情况说明</w:t>
      </w:r>
    </w:p>
    <w:p w14:paraId="6C2B36F0">
      <w:pPr>
        <w:spacing w:line="640" w:lineRule="exact"/>
        <w:ind w:firstLine="640"/>
        <w:jc w:val="both"/>
        <w:outlineLvl w:val="2"/>
      </w:pPr>
      <w:r>
        <w:rPr>
          <w:rFonts w:ascii="黑体" w:hAnsi="黑体" w:eastAsia="黑体"/>
          <w:sz w:val="32"/>
        </w:rPr>
        <w:t>一、收入支出决算总体情况说明</w:t>
      </w:r>
    </w:p>
    <w:p w14:paraId="648CEEDB">
      <w:pPr>
        <w:spacing w:line="580" w:lineRule="exact"/>
        <w:ind w:firstLine="640"/>
        <w:jc w:val="both"/>
      </w:pPr>
      <w:r>
        <w:rPr>
          <w:rFonts w:ascii="仿宋_GB2312" w:hAnsi="仿宋_GB2312" w:eastAsia="仿宋_GB2312"/>
          <w:b w:val="0"/>
          <w:sz w:val="32"/>
        </w:rPr>
        <w:t>2024年度收入总计1,482.75万元，其中：本年收入合计1,401.47万元，使用非财政拨款结余（含专用结余）0.00万元，年初结转和结余81.28万元。</w:t>
      </w:r>
    </w:p>
    <w:p w14:paraId="36388F1D">
      <w:pPr>
        <w:spacing w:line="580" w:lineRule="exact"/>
        <w:ind w:firstLine="640"/>
        <w:jc w:val="both"/>
      </w:pPr>
      <w:r>
        <w:rPr>
          <w:rFonts w:ascii="仿宋_GB2312" w:hAnsi="仿宋_GB2312" w:eastAsia="仿宋_GB2312"/>
          <w:b w:val="0"/>
          <w:sz w:val="32"/>
        </w:rPr>
        <w:t>2024年度支出总计1,482.75万元，其中：本年支出合计1,482.75万元，结余分配0.00万元，年末结转和结余0.00万元。</w:t>
      </w:r>
    </w:p>
    <w:p w14:paraId="494E812D">
      <w:pPr>
        <w:spacing w:line="580" w:lineRule="exact"/>
        <w:ind w:firstLine="640"/>
        <w:jc w:val="both"/>
      </w:pPr>
      <w:r>
        <w:rPr>
          <w:rFonts w:ascii="仿宋_GB2312" w:hAnsi="仿宋_GB2312" w:eastAsia="仿宋_GB2312"/>
          <w:b w:val="0"/>
          <w:sz w:val="32"/>
        </w:rPr>
        <w:t>收入支出总体与上年相比，增加58.12万元，增长4.08%，主要原因是：本年增加援疆资金-孵化基地项目，导致经费较上年增加。</w:t>
      </w:r>
    </w:p>
    <w:p w14:paraId="3EB3C594">
      <w:pPr>
        <w:spacing w:line="640" w:lineRule="exact"/>
        <w:ind w:firstLine="640"/>
        <w:jc w:val="both"/>
        <w:outlineLvl w:val="2"/>
      </w:pPr>
      <w:r>
        <w:rPr>
          <w:rFonts w:ascii="黑体" w:hAnsi="黑体" w:eastAsia="黑体"/>
          <w:sz w:val="32"/>
        </w:rPr>
        <w:t>二、收入决算情况说明</w:t>
      </w:r>
    </w:p>
    <w:p w14:paraId="58D6EDBB">
      <w:pPr>
        <w:spacing w:line="580" w:lineRule="exact"/>
        <w:ind w:firstLine="640"/>
        <w:jc w:val="both"/>
      </w:pPr>
      <w:r>
        <w:rPr>
          <w:rFonts w:ascii="仿宋_GB2312" w:hAnsi="仿宋_GB2312" w:eastAsia="仿宋_GB2312"/>
          <w:b w:val="0"/>
          <w:sz w:val="32"/>
        </w:rPr>
        <w:t>本年收入1,401.47万元，其中：财政拨款收入1,146.67万元，占81.82%；上级补助收入0.00万元，占0.00%；事业收入0.00万元，占0.00%；经营收入0.00万元，占0.00%；附属单位上缴收入0.00万元，占0.00%；其他收入254.80万元，占18.18%。</w:t>
      </w:r>
    </w:p>
    <w:p w14:paraId="17890DA6">
      <w:pPr>
        <w:spacing w:line="640" w:lineRule="exact"/>
        <w:ind w:firstLine="640"/>
        <w:jc w:val="both"/>
        <w:outlineLvl w:val="2"/>
      </w:pPr>
      <w:r>
        <w:rPr>
          <w:rFonts w:ascii="黑体" w:hAnsi="黑体" w:eastAsia="黑体"/>
          <w:sz w:val="32"/>
        </w:rPr>
        <w:t>三、支出决算情况说明</w:t>
      </w:r>
    </w:p>
    <w:p w14:paraId="2370943D">
      <w:pPr>
        <w:spacing w:line="580" w:lineRule="exact"/>
        <w:ind w:firstLine="640"/>
        <w:jc w:val="both"/>
      </w:pPr>
      <w:r>
        <w:rPr>
          <w:rFonts w:ascii="仿宋_GB2312" w:hAnsi="仿宋_GB2312" w:eastAsia="仿宋_GB2312"/>
          <w:b w:val="0"/>
          <w:sz w:val="32"/>
        </w:rPr>
        <w:t>本年支出1,482.75万元，其中：基本支出961.74万元，占64.86%；项目支出521.01万元，占35.14%；上缴上级支出0.00万元，占0.00%；经营支出0.00万元，占0.00%；对附属单位补助支出0.00万元，占0.00%。</w:t>
      </w:r>
    </w:p>
    <w:p w14:paraId="515561F9">
      <w:pPr>
        <w:spacing w:line="640" w:lineRule="exact"/>
        <w:ind w:firstLine="640"/>
        <w:jc w:val="both"/>
        <w:outlineLvl w:val="2"/>
      </w:pPr>
      <w:r>
        <w:rPr>
          <w:rFonts w:ascii="黑体" w:hAnsi="黑体" w:eastAsia="黑体"/>
          <w:sz w:val="32"/>
        </w:rPr>
        <w:t>四、财政拨款收入支出决算总体情况说明</w:t>
      </w:r>
    </w:p>
    <w:p w14:paraId="117284C6">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2024年度财政拨款收入总计1,227.95万元，其中：年初财政拨款结转和结余81.28万元，本年财政拨款收入1,146.67万元。财政拨款支出总计1,227.95万元，其中：年末财政拨款结转和结余0.00万元，本年财政拨款支出1,227.95万元。</w:t>
      </w:r>
    </w:p>
    <w:p w14:paraId="5EA17F15">
      <w:pPr>
        <w:spacing w:line="580" w:lineRule="exact"/>
        <w:ind w:firstLine="640"/>
        <w:jc w:val="both"/>
      </w:pPr>
      <w:r>
        <w:rPr>
          <w:rFonts w:ascii="仿宋_GB2312" w:hAnsi="仿宋_GB2312" w:eastAsia="仿宋_GB2312"/>
          <w:b w:val="0"/>
          <w:sz w:val="32"/>
        </w:rPr>
        <w:t>财政拨款收入支出总体与上年相比，减少69.15万元，下降5.33%，主要原因是：本年新增退休人员较上年减少，职业年金缴费较上年减少；本年在职人员减少，相关人员经费较上年减少。与年初预算相比，年初预算数1,225.55万元，决算数1,227.95万元，预决算差异率0.20%，主要原因是：年中追加人员工资、社保、公积金基数调增部分资金，导致预决算存在差异。</w:t>
      </w:r>
    </w:p>
    <w:p w14:paraId="153DE75C">
      <w:pPr>
        <w:spacing w:line="640" w:lineRule="exact"/>
        <w:ind w:firstLine="640"/>
        <w:jc w:val="both"/>
        <w:outlineLvl w:val="2"/>
      </w:pPr>
      <w:r>
        <w:rPr>
          <w:rFonts w:ascii="黑体" w:hAnsi="黑体" w:eastAsia="黑体"/>
          <w:sz w:val="32"/>
        </w:rPr>
        <w:t>五、一般公共预算财政拨款支出决算情况说明</w:t>
      </w:r>
    </w:p>
    <w:p w14:paraId="53B76FAF">
      <w:pPr>
        <w:spacing w:line="640" w:lineRule="exact"/>
        <w:ind w:firstLine="640"/>
        <w:jc w:val="both"/>
        <w:outlineLvl w:val="3"/>
      </w:pPr>
      <w:r>
        <w:rPr>
          <w:rFonts w:ascii="楷体_GB2312" w:hAnsi="楷体_GB2312" w:eastAsia="楷体_GB2312"/>
          <w:b/>
          <w:sz w:val="32"/>
        </w:rPr>
        <w:t>（一）一般公共预算财政拨款支出决算总体情况</w:t>
      </w:r>
    </w:p>
    <w:p w14:paraId="605C4154">
      <w:pPr>
        <w:spacing w:line="580" w:lineRule="exact"/>
        <w:ind w:firstLine="640"/>
        <w:jc w:val="both"/>
      </w:pPr>
      <w:r>
        <w:rPr>
          <w:rFonts w:ascii="仿宋_GB2312" w:hAnsi="仿宋_GB2312" w:eastAsia="仿宋_GB2312"/>
          <w:b w:val="0"/>
          <w:sz w:val="32"/>
        </w:rPr>
        <w:t>2024年度一般公共预算财政拨款支出1,227.95万元，占本年支出合计的82.82%。与上年相比，增加12.13万元，增长1.00%，主要原因是：本年增加检验检测业务经费项目经费，导致支出较上年增加。与年初预算相比,年初预算数1,225.55万元，决算数1,227.95万元，预决算差异率0.20%，主要原因是：年中追加人员工资、社保、公积金基数调增部分资金，导致预决算存在差异。</w:t>
      </w:r>
    </w:p>
    <w:p w14:paraId="325EDC46">
      <w:pPr>
        <w:spacing w:line="640" w:lineRule="exact"/>
        <w:ind w:firstLine="640"/>
        <w:jc w:val="both"/>
        <w:outlineLvl w:val="3"/>
      </w:pPr>
      <w:r>
        <w:rPr>
          <w:rFonts w:ascii="楷体_GB2312" w:hAnsi="楷体_GB2312" w:eastAsia="楷体_GB2312"/>
          <w:b/>
          <w:sz w:val="32"/>
        </w:rPr>
        <w:t>（二）一般公共预算财政拨款支出决算结构情况</w:t>
      </w:r>
    </w:p>
    <w:p w14:paraId="5CDC73F8">
      <w:pPr>
        <w:spacing w:line="580" w:lineRule="exact"/>
        <w:ind w:firstLine="640"/>
        <w:jc w:val="both"/>
      </w:pPr>
      <w:r>
        <w:rPr>
          <w:rFonts w:ascii="仿宋_GB2312" w:hAnsi="仿宋_GB2312" w:eastAsia="仿宋_GB2312"/>
          <w:b w:val="0"/>
          <w:sz w:val="32"/>
        </w:rPr>
        <w:t>1.一般公共服务支出(类)970.43万元,占79.03%。</w:t>
      </w:r>
    </w:p>
    <w:p w14:paraId="2B54BCD5">
      <w:pPr>
        <w:spacing w:line="580" w:lineRule="exact"/>
        <w:ind w:firstLine="640"/>
        <w:jc w:val="both"/>
      </w:pPr>
      <w:r>
        <w:rPr>
          <w:rFonts w:ascii="仿宋_GB2312" w:hAnsi="仿宋_GB2312" w:eastAsia="仿宋_GB2312"/>
          <w:b w:val="0"/>
          <w:sz w:val="32"/>
        </w:rPr>
        <w:t>2.社会保障和就业支出(类)172.81万元,占14.07%。</w:t>
      </w:r>
    </w:p>
    <w:p w14:paraId="7E4F665F">
      <w:pPr>
        <w:spacing w:line="580" w:lineRule="exact"/>
        <w:ind w:firstLine="640"/>
        <w:jc w:val="both"/>
      </w:pPr>
      <w:r>
        <w:rPr>
          <w:rFonts w:ascii="仿宋_GB2312" w:hAnsi="仿宋_GB2312" w:eastAsia="仿宋_GB2312"/>
          <w:b w:val="0"/>
          <w:sz w:val="32"/>
        </w:rPr>
        <w:t>3.卫生健康支出(类)36.44万元,占2.97%。</w:t>
      </w:r>
    </w:p>
    <w:p w14:paraId="0836A70B">
      <w:pPr>
        <w:spacing w:line="580" w:lineRule="exact"/>
        <w:ind w:firstLine="640"/>
        <w:jc w:val="both"/>
      </w:pPr>
      <w:r>
        <w:rPr>
          <w:rFonts w:ascii="仿宋_GB2312" w:hAnsi="仿宋_GB2312" w:eastAsia="仿宋_GB2312"/>
          <w:b w:val="0"/>
          <w:sz w:val="32"/>
        </w:rPr>
        <w:t>4.住房保障支出(类)48.27万元,占3.93%。</w:t>
      </w:r>
    </w:p>
    <w:p w14:paraId="1C3CCB0A">
      <w:pPr>
        <w:spacing w:line="640" w:lineRule="exact"/>
        <w:ind w:firstLine="640"/>
        <w:jc w:val="both"/>
        <w:outlineLvl w:val="3"/>
      </w:pPr>
      <w:r>
        <w:rPr>
          <w:rFonts w:ascii="楷体_GB2312" w:hAnsi="楷体_GB2312" w:eastAsia="楷体_GB2312"/>
          <w:b/>
          <w:sz w:val="32"/>
        </w:rPr>
        <w:t>（三）一般公共预算财政拨款支出决算具体情况</w:t>
      </w:r>
    </w:p>
    <w:p w14:paraId="48856F31">
      <w:pPr>
        <w:spacing w:line="580" w:lineRule="exact"/>
        <w:ind w:firstLine="640"/>
        <w:jc w:val="both"/>
      </w:pPr>
      <w:r>
        <w:rPr>
          <w:rFonts w:ascii="仿宋_GB2312" w:hAnsi="仿宋_GB2312" w:eastAsia="仿宋_GB2312"/>
          <w:b w:val="0"/>
          <w:sz w:val="32"/>
        </w:rPr>
        <w:t>1.一般公共服务支出(类)市场监督管理事务(款)事业运行(项):支出决算数为704.22万元，比上年决算减少259.29万元，下降26.91%,主要原因是：本年功能科目调整，事业单位离退休、事业单位医疗、住房公积金上年度在主科目列支，本年单独列支，导致经费较上年减少；本年在职人员减少，相关人员经费较上年减少。</w:t>
      </w:r>
    </w:p>
    <w:p w14:paraId="3D2F2B4F">
      <w:pPr>
        <w:spacing w:line="580" w:lineRule="exact"/>
        <w:ind w:firstLine="640"/>
        <w:jc w:val="both"/>
      </w:pPr>
      <w:r>
        <w:rPr>
          <w:rFonts w:ascii="仿宋_GB2312" w:hAnsi="仿宋_GB2312" w:eastAsia="仿宋_GB2312"/>
          <w:b w:val="0"/>
          <w:sz w:val="32"/>
        </w:rPr>
        <w:t>2.一般公共服务支出(类)市场监督管理事务(款)其他市场监督管理事务(项):支出决算数为266.21万元，比上年决算增加145.43万元，增长120.41%,主要原因是：本年增加检验检测业务经费项目经费，导致支出较上年增加。</w:t>
      </w:r>
    </w:p>
    <w:p w14:paraId="56C740BB">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74.80万元，比上年决算增加74.80万元，增长100.00%,主要原因是：本年功能科目调整，事业单位离退休上年度在主科目列支，本年单独列支，导致经费较上年增加。</w:t>
      </w:r>
    </w:p>
    <w:p w14:paraId="7710B43A">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88.59万元，比上年决算增加1.37万元，增长1.57%,主要原因是：本年在职人员工资基数调增，养老缴费基数上涨，相应支出增加。</w:t>
      </w:r>
    </w:p>
    <w:p w14:paraId="57B21CDE">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9.41万元，比上年决算减少34.89万元，下降78.76%,主要原因是：本年新增退休人员较上年减少，职业年金缴费较上年减少。</w:t>
      </w:r>
    </w:p>
    <w:p w14:paraId="177695F5">
      <w:pPr>
        <w:spacing w:line="580" w:lineRule="exact"/>
        <w:ind w:firstLine="640"/>
        <w:jc w:val="both"/>
      </w:pPr>
      <w:r>
        <w:rPr>
          <w:rFonts w:ascii="仿宋_GB2312" w:hAnsi="仿宋_GB2312" w:eastAsia="仿宋_GB2312"/>
          <w:b w:val="0"/>
          <w:sz w:val="32"/>
        </w:rPr>
        <w:t>6.卫生健康支出(类)行政事业单位医疗(款)事业单位医疗(项):支出决算数为36.44万元，比上年决算增加36.44万元，增长100.00%,主要原因是：本年功能科目调整，事业单位医疗支出上年度在主科目列支，本年单独列支，导致经费较上年增加。</w:t>
      </w:r>
    </w:p>
    <w:p w14:paraId="6695F94C">
      <w:pPr>
        <w:spacing w:line="580" w:lineRule="exact"/>
        <w:ind w:firstLine="640"/>
        <w:jc w:val="both"/>
      </w:pPr>
      <w:r>
        <w:rPr>
          <w:rFonts w:ascii="仿宋_GB2312" w:hAnsi="仿宋_GB2312" w:eastAsia="仿宋_GB2312"/>
          <w:b w:val="0"/>
          <w:sz w:val="32"/>
        </w:rPr>
        <w:t>7.住房保障支出(类)住房改革支出(款)住房公积金(项):支出决算数为48.27万元，比上年决算增加48.27万元，增长100.00%,主要原因是：本年功能科目调整，住房公积金上年度在主科目列支，本年单独列支，导致经费较上年增加。</w:t>
      </w:r>
    </w:p>
    <w:p w14:paraId="0A916069">
      <w:pPr>
        <w:spacing w:line="640" w:lineRule="exact"/>
        <w:ind w:firstLine="640"/>
        <w:jc w:val="both"/>
        <w:outlineLvl w:val="2"/>
      </w:pPr>
      <w:r>
        <w:rPr>
          <w:rFonts w:ascii="黑体" w:hAnsi="黑体" w:eastAsia="黑体"/>
          <w:sz w:val="32"/>
        </w:rPr>
        <w:t>六、一般公共预算财政拨款基本支出决算情况说明</w:t>
      </w:r>
    </w:p>
    <w:p w14:paraId="07833131">
      <w:pPr>
        <w:spacing w:line="580" w:lineRule="exact"/>
        <w:ind w:firstLine="640"/>
        <w:jc w:val="both"/>
      </w:pPr>
      <w:r>
        <w:rPr>
          <w:rFonts w:ascii="仿宋_GB2312" w:hAnsi="仿宋_GB2312" w:eastAsia="仿宋_GB2312"/>
          <w:b w:val="0"/>
          <w:sz w:val="32"/>
        </w:rPr>
        <w:t>2024年度一般公共预算财政拨款基本支出961.74万元，其中：人员经费900.56万元，包括：基本工资、津贴补贴、绩效工资、机关事业单位基本养老保险缴费、职业年金缴费、职工基本医疗保险缴费、其他社会保障缴费、住房公积金、离休费、退休费、抚恤金、生活补助、奖励金。</w:t>
      </w:r>
    </w:p>
    <w:p w14:paraId="7A51F1D4">
      <w:pPr>
        <w:spacing w:line="580" w:lineRule="exact"/>
        <w:ind w:firstLine="640"/>
        <w:jc w:val="both"/>
      </w:pPr>
      <w:r>
        <w:rPr>
          <w:rFonts w:ascii="仿宋_GB2312" w:hAnsi="仿宋_GB2312" w:eastAsia="仿宋_GB2312"/>
          <w:b w:val="0"/>
          <w:sz w:val="32"/>
        </w:rPr>
        <w:t>公用经费61.18万元，包括：办公费、印刷费、水费、电费、邮电费、取暖费、差旅费、维修（护）费、培训费、劳务费、委托业务费、工会经费、福利费、公务用车运行维护费、其他商品和服务支出。</w:t>
      </w:r>
    </w:p>
    <w:p w14:paraId="79876143">
      <w:pPr>
        <w:spacing w:line="640" w:lineRule="exact"/>
        <w:ind w:firstLine="640"/>
        <w:jc w:val="both"/>
        <w:outlineLvl w:val="2"/>
      </w:pPr>
      <w:r>
        <w:rPr>
          <w:rFonts w:ascii="黑体" w:hAnsi="黑体" w:eastAsia="黑体"/>
          <w:sz w:val="32"/>
        </w:rPr>
        <w:t>七、政府性基金预算财政拨款收入支出决算情况说明</w:t>
      </w:r>
    </w:p>
    <w:p w14:paraId="620CB02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D44EB2D">
      <w:pPr>
        <w:spacing w:line="640" w:lineRule="exact"/>
        <w:ind w:firstLine="640"/>
        <w:jc w:val="both"/>
        <w:outlineLvl w:val="2"/>
      </w:pPr>
      <w:r>
        <w:rPr>
          <w:rFonts w:ascii="黑体" w:hAnsi="黑体" w:eastAsia="黑体"/>
          <w:sz w:val="32"/>
        </w:rPr>
        <w:t>八、国有资本经营预算财政拨款收入支出决算情况说明</w:t>
      </w:r>
    </w:p>
    <w:p w14:paraId="5AD16F4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2B3CF7D">
      <w:pPr>
        <w:spacing w:line="640" w:lineRule="exact"/>
        <w:ind w:firstLine="640"/>
        <w:jc w:val="both"/>
        <w:outlineLvl w:val="2"/>
      </w:pPr>
      <w:r>
        <w:rPr>
          <w:rFonts w:ascii="黑体" w:hAnsi="黑体" w:eastAsia="黑体"/>
          <w:sz w:val="32"/>
        </w:rPr>
        <w:t>九、财政拨款“三公”经费支出决算情况说明</w:t>
      </w:r>
    </w:p>
    <w:p w14:paraId="62BE7FC9">
      <w:pPr>
        <w:spacing w:line="580" w:lineRule="exact"/>
        <w:ind w:firstLine="640"/>
        <w:jc w:val="both"/>
      </w:pPr>
      <w:r>
        <w:rPr>
          <w:rFonts w:ascii="仿宋_GB2312" w:hAnsi="仿宋_GB2312" w:eastAsia="仿宋_GB2312"/>
          <w:b w:val="0"/>
          <w:sz w:val="32"/>
        </w:rPr>
        <w:t>2024年度财政拨款“三公”经费支出6.00万元，比上年减少6.68万元，下降52.68%，主要原因是：严格落实中央八项规定精神，厉行节约，本年减少车辆使用次数，燃油费、过路费、车辆维修费减少，导致经费较上年减少。其中：因公出国（境）费支出0.00万元，占0.00%，比上年增加0.00万元，增长0.00%，主要原因是：2023年与2024年均未安排因公出国（境）费支出。公务用车购置及运行维护费支出6.00万元，占100.00%，比上年减少6.68万元，下降52.68%，主要原因是：严格落实中央八项规定精神，厉行节约，本年减少车辆使用次数，燃油费、过路费、车辆维修费减少，导致经费较上年减少。公务接待费支出0.00万元，占0.00%，比上年增加0.00万元，增长0.00%，主要原因是：2023年与2024年均未安排公务接待费支出。</w:t>
      </w:r>
    </w:p>
    <w:p w14:paraId="593D6905">
      <w:pPr>
        <w:spacing w:line="580" w:lineRule="exact"/>
        <w:ind w:firstLine="640"/>
        <w:jc w:val="both"/>
      </w:pPr>
      <w:r>
        <w:rPr>
          <w:rFonts w:ascii="仿宋_GB2312" w:hAnsi="仿宋_GB2312" w:eastAsia="仿宋_GB2312"/>
          <w:b/>
          <w:sz w:val="32"/>
        </w:rPr>
        <w:t>具体情况如下：</w:t>
      </w:r>
    </w:p>
    <w:p w14:paraId="358E18A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562E48E">
      <w:pPr>
        <w:spacing w:line="580" w:lineRule="exact"/>
        <w:ind w:firstLine="640"/>
        <w:jc w:val="both"/>
      </w:pPr>
      <w:r>
        <w:rPr>
          <w:rFonts w:ascii="仿宋_GB2312" w:hAnsi="仿宋_GB2312" w:eastAsia="仿宋_GB2312"/>
          <w:b w:val="0"/>
          <w:sz w:val="32"/>
        </w:rPr>
        <w:t>公务用车购置及运行维护费6.00万元，其中：公务用车购置费0.00万元，公务用车运行维护费6.00万元。公务用车运行维护费开支内容包括车辆加油费、维修费、保险费、审车费、过路费等。公务用车购置数0辆，公务用车保有量4辆。国有资产占用情况中固定资产车辆4辆，与公务用车保有量差异原因是：本单位固定资产车辆与公务用车保有量一致无差异。</w:t>
      </w:r>
    </w:p>
    <w:p w14:paraId="2A35E10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558F6B4">
      <w:pPr>
        <w:spacing w:line="580" w:lineRule="exact"/>
        <w:ind w:firstLine="640"/>
        <w:jc w:val="both"/>
      </w:pPr>
      <w:r>
        <w:rPr>
          <w:rFonts w:ascii="仿宋_GB2312" w:hAnsi="仿宋_GB2312" w:eastAsia="仿宋_GB2312"/>
          <w:b/>
          <w:bCs/>
          <w:sz w:val="32"/>
        </w:rPr>
        <w:t>与全年预算相比</w:t>
      </w:r>
      <w:r>
        <w:rPr>
          <w:rFonts w:hint="eastAsia" w:ascii="仿宋_GB2312" w:hAnsi="仿宋_GB2312" w:eastAsia="仿宋_GB2312"/>
          <w:b/>
          <w:bCs/>
          <w:sz w:val="32"/>
          <w:lang w:val="en-US" w:eastAsia="zh-CN"/>
        </w:rPr>
        <w:t>:</w:t>
      </w:r>
      <w:r>
        <w:rPr>
          <w:rFonts w:ascii="仿宋_GB2312" w:hAnsi="仿宋_GB2312" w:eastAsia="仿宋_GB2312"/>
          <w:b w:val="0"/>
          <w:sz w:val="32"/>
        </w:rPr>
        <w:t>财政拨款“三公”经费支出全年预算数6.00万元，决算数6.00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6.00万元，决算数6.00万元，预决算差异率0.00%，主要原因是：严格按照预算执行，预决算无差异。公务接待费全年预算数0.00万元，决算数0.00万元，预决算差异率0.00%，主要原因是：本单位无公务接待费。</w:t>
      </w:r>
    </w:p>
    <w:p w14:paraId="1037AE2F">
      <w:pPr>
        <w:spacing w:line="640" w:lineRule="exact"/>
        <w:ind w:firstLine="640"/>
        <w:jc w:val="both"/>
        <w:outlineLvl w:val="2"/>
      </w:pPr>
      <w:r>
        <w:rPr>
          <w:rFonts w:ascii="黑体" w:hAnsi="黑体" w:eastAsia="黑体"/>
          <w:sz w:val="32"/>
        </w:rPr>
        <w:t>十、其他重要事项的情况说明</w:t>
      </w:r>
    </w:p>
    <w:p w14:paraId="1272FB02">
      <w:pPr>
        <w:spacing w:line="640" w:lineRule="exact"/>
        <w:ind w:firstLine="640"/>
        <w:jc w:val="both"/>
        <w:outlineLvl w:val="3"/>
      </w:pPr>
      <w:r>
        <w:rPr>
          <w:rFonts w:ascii="楷体_GB2312" w:hAnsi="楷体_GB2312" w:eastAsia="楷体_GB2312"/>
          <w:b/>
          <w:sz w:val="32"/>
        </w:rPr>
        <w:t>（一）机关运行经费及公用经费支出情况</w:t>
      </w:r>
    </w:p>
    <w:p w14:paraId="698DCD23">
      <w:pPr>
        <w:spacing w:line="580" w:lineRule="exact"/>
        <w:ind w:firstLine="640"/>
        <w:jc w:val="both"/>
      </w:pPr>
      <w:r>
        <w:rPr>
          <w:rFonts w:ascii="仿宋_GB2312" w:hAnsi="仿宋_GB2312" w:eastAsia="仿宋_GB2312"/>
          <w:b w:val="0"/>
          <w:sz w:val="32"/>
        </w:rPr>
        <w:t>2024年度和田地区质量与计量检测所（事业单位）公用经费支出61.18万元，比上年减少2.08万元，下降3.29%，主要原因是：本年度水费比上年减少，导致公用经费减少。</w:t>
      </w:r>
    </w:p>
    <w:p w14:paraId="7B89B802">
      <w:pPr>
        <w:spacing w:line="640" w:lineRule="exact"/>
        <w:ind w:firstLine="640"/>
        <w:jc w:val="both"/>
        <w:outlineLvl w:val="3"/>
      </w:pPr>
      <w:r>
        <w:rPr>
          <w:rFonts w:ascii="楷体_GB2312" w:hAnsi="楷体_GB2312" w:eastAsia="楷体_GB2312"/>
          <w:b/>
          <w:sz w:val="32"/>
        </w:rPr>
        <w:t>（二）政府采购情况</w:t>
      </w:r>
    </w:p>
    <w:p w14:paraId="78C1CA82">
      <w:pPr>
        <w:spacing w:line="580" w:lineRule="exact"/>
        <w:ind w:firstLine="640"/>
        <w:jc w:val="both"/>
      </w:pPr>
      <w:r>
        <w:rPr>
          <w:rFonts w:ascii="仿宋_GB2312" w:hAnsi="仿宋_GB2312" w:eastAsia="仿宋_GB2312"/>
          <w:b w:val="0"/>
          <w:sz w:val="32"/>
        </w:rPr>
        <w:t>2024年度政府采购支出总额512.56万元，其中：政府采购货物支出510.79万元、政府采购工程支出0.00万元、政府采购服务支出1.76万元。</w:t>
      </w:r>
    </w:p>
    <w:p w14:paraId="3A974A8A">
      <w:pPr>
        <w:spacing w:line="580" w:lineRule="exact"/>
        <w:ind w:firstLine="640"/>
        <w:jc w:val="both"/>
      </w:pPr>
      <w:r>
        <w:rPr>
          <w:rFonts w:ascii="仿宋_GB2312" w:hAnsi="仿宋_GB2312" w:eastAsia="仿宋_GB2312"/>
          <w:b w:val="0"/>
          <w:sz w:val="32"/>
        </w:rPr>
        <w:t>授予中小企业合同金额512.56万元，占政府采购支出总额的100.00%，其中：授予小微企业合同金额152.19万元，占政府采购支出总额的29.69%。</w:t>
      </w:r>
    </w:p>
    <w:p w14:paraId="21A17DD4">
      <w:pPr>
        <w:spacing w:line="640" w:lineRule="exact"/>
        <w:ind w:firstLine="640"/>
        <w:jc w:val="both"/>
        <w:outlineLvl w:val="3"/>
      </w:pPr>
      <w:r>
        <w:rPr>
          <w:rFonts w:ascii="楷体_GB2312" w:hAnsi="楷体_GB2312" w:eastAsia="楷体_GB2312"/>
          <w:b/>
          <w:sz w:val="32"/>
        </w:rPr>
        <w:t>（三）国有资产占用情况说明</w:t>
      </w:r>
    </w:p>
    <w:p w14:paraId="41122510">
      <w:pPr>
        <w:spacing w:line="580" w:lineRule="exact"/>
        <w:ind w:firstLine="640"/>
        <w:jc w:val="both"/>
      </w:pPr>
      <w:r>
        <w:rPr>
          <w:rFonts w:ascii="仿宋_GB2312" w:hAnsi="仿宋_GB2312" w:eastAsia="仿宋_GB2312"/>
          <w:b w:val="0"/>
          <w:sz w:val="32"/>
        </w:rPr>
        <w:t>截至2024年12月31日，房屋6,168.46平方米，价值1,316.93万元。车辆4辆，价值118.79万元，其中：副部（省）级及以上领导用车0辆、主要负责人用车0辆、机要通信用车0辆、应急保障用车0辆、执法执勤用车</w:t>
      </w:r>
      <w:r>
        <w:rPr>
          <w:rFonts w:hint="eastAsia" w:ascii="仿宋_GB2312" w:hAnsi="仿宋_GB2312" w:eastAsia="仿宋_GB2312"/>
          <w:b w:val="0"/>
          <w:sz w:val="32"/>
          <w:lang w:val="en-US" w:eastAsia="zh-CN"/>
        </w:rPr>
        <w:t>0</w:t>
      </w:r>
      <w:r>
        <w:rPr>
          <w:rFonts w:ascii="仿宋_GB2312" w:hAnsi="仿宋_GB2312" w:eastAsia="仿宋_GB2312"/>
          <w:b w:val="0"/>
          <w:sz w:val="32"/>
        </w:rPr>
        <w:t>辆、特种专业技术用车1辆、离退休干部服务用车0辆、其他用车</w:t>
      </w:r>
      <w:r>
        <w:rPr>
          <w:rFonts w:hint="eastAsia" w:ascii="仿宋_GB2312" w:hAnsi="仿宋_GB2312" w:eastAsia="仿宋_GB2312"/>
          <w:b w:val="0"/>
          <w:sz w:val="32"/>
          <w:lang w:val="en-US" w:eastAsia="zh-CN"/>
        </w:rPr>
        <w:t>3</w:t>
      </w:r>
      <w:bookmarkStart w:id="0" w:name="_GoBack"/>
      <w:bookmarkEnd w:id="0"/>
      <w:r>
        <w:rPr>
          <w:rFonts w:ascii="仿宋_GB2312" w:hAnsi="仿宋_GB2312" w:eastAsia="仿宋_GB2312"/>
          <w:b w:val="0"/>
          <w:sz w:val="32"/>
        </w:rPr>
        <w:t>辆，其他用车主要是：一般公务用车。单价100万元（含）以上设备（不含车辆）2台（套）。</w:t>
      </w:r>
    </w:p>
    <w:p w14:paraId="7AD6260F">
      <w:pPr>
        <w:spacing w:line="640" w:lineRule="exact"/>
        <w:ind w:firstLine="640"/>
        <w:jc w:val="both"/>
        <w:outlineLvl w:val="2"/>
      </w:pPr>
      <w:r>
        <w:rPr>
          <w:rFonts w:ascii="黑体" w:hAnsi="黑体" w:eastAsia="黑体"/>
          <w:sz w:val="32"/>
        </w:rPr>
        <w:t>十一、预算绩效的情况说明</w:t>
      </w:r>
    </w:p>
    <w:p w14:paraId="11AB27C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1,482.75万元，实际执行总额1,482.75万元；预算绩效评价项目1个，全年预算数521.01万元，全年执行数521.01万元。预算绩效管理取得的成效：通过对各项业务活动进行深入分析和评估，明确了资金需求的重点领域和关键环节。使得有限的资金能够更加精准地投入到最需要的地方，提高了资金的使用效益，合理调整预算：根据绩效目标的实现情况，及时对预算进行调整。对于绩效良好的项目，适当增加投入；对于绩效不佳的项目，减少或停止资金支持。从而实现了资源的动态配置，确保每一笔资金都能发挥最大的作用</w:t>
      </w:r>
      <w:r>
        <w:rPr>
          <w:rFonts w:hint="eastAsia" w:ascii="仿宋_GB2312" w:hAnsi="仿宋_GB2312" w:eastAsia="仿宋_GB2312"/>
          <w:b w:val="0"/>
          <w:sz w:val="32"/>
          <w:lang w:eastAsia="zh-CN"/>
        </w:rPr>
        <w:t>。</w:t>
      </w:r>
      <w:r>
        <w:rPr>
          <w:rFonts w:ascii="仿宋_GB2312" w:hAnsi="仿宋_GB2312" w:eastAsia="仿宋_GB2312"/>
          <w:b w:val="0"/>
          <w:sz w:val="32"/>
        </w:rPr>
        <w:t>发现的问题及原因：1.重视程度不足：部分员工对预算绩效管理的重要性认识不够，缺乏积极参与的主动性和责任感。认为预算绩效管理只是财务部门的工作，与自己的业务关系不大。2.制度不完善：预算绩效管理的制度体系还不够健全，缺乏具体的操作规范和流程。在绩效目标设定、绩效评价指标体系构建、绩效评价方法选择等方面存在一定的随意性和不科学性。下一步改进措施：1.开展宣传教育活动，提高全体员工对预算绩效管理的认识和重视程度。让员工充分了解预算绩效管理的重要性、目标和方法，增强员工的责任感和使命感。2.组织专业培训，提高员工的预算绩效管理能力。邀请专家学者进行授课，讲解预算绩效管理的理论知识和实践经验；组织内部培训，分享成功案例和先进经验，提高员工的实际操作能力。具体附整体支出绩效自评表，项目支出绩效自评表和评价报告。</w:t>
      </w:r>
    </w:p>
    <w:p w14:paraId="6562E3C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1B916B3">
        <w:tblPrEx>
          <w:tblCellMar>
            <w:top w:w="0" w:type="dxa"/>
            <w:left w:w="108" w:type="dxa"/>
            <w:bottom w:w="0" w:type="dxa"/>
            <w:right w:w="108" w:type="dxa"/>
          </w:tblCellMar>
        </w:tblPrEx>
        <w:tc>
          <w:tcPr>
            <w:tcW w:w="8847" w:type="dxa"/>
            <w:gridSpan w:val="9"/>
            <w:vAlign w:val="center"/>
          </w:tcPr>
          <w:p w14:paraId="56CEC99B">
            <w:pPr>
              <w:jc w:val="center"/>
            </w:pPr>
            <w:r>
              <w:rPr>
                <w:rFonts w:ascii="宋体" w:hAnsi="宋体" w:eastAsia="宋体"/>
                <w:sz w:val="24"/>
              </w:rPr>
              <w:t>单位整体支出绩效自评表</w:t>
            </w:r>
          </w:p>
        </w:tc>
      </w:tr>
      <w:tr w14:paraId="7ACB1C6C">
        <w:tblPrEx>
          <w:tblCellMar>
            <w:top w:w="0" w:type="dxa"/>
            <w:left w:w="108" w:type="dxa"/>
            <w:bottom w:w="0" w:type="dxa"/>
            <w:right w:w="108" w:type="dxa"/>
          </w:tblCellMar>
        </w:tblPrEx>
        <w:tc>
          <w:tcPr>
            <w:tcW w:w="8847" w:type="dxa"/>
            <w:gridSpan w:val="9"/>
            <w:vAlign w:val="center"/>
          </w:tcPr>
          <w:p w14:paraId="4827F985">
            <w:pPr>
              <w:jc w:val="center"/>
            </w:pPr>
            <w:r>
              <w:rPr>
                <w:rFonts w:ascii="宋体" w:hAnsi="宋体" w:eastAsia="宋体"/>
                <w:sz w:val="24"/>
              </w:rPr>
              <w:t>（2024年度）</w:t>
            </w:r>
          </w:p>
        </w:tc>
      </w:tr>
      <w:tr w14:paraId="3DD927A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D597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DC015BA">
            <w:pPr>
              <w:jc w:val="center"/>
            </w:pPr>
            <w:r>
              <w:rPr>
                <w:rFonts w:ascii="宋体" w:hAnsi="宋体" w:eastAsia="宋体"/>
                <w:sz w:val="16"/>
              </w:rPr>
              <w:t>和田地区质量与计量检测所</w:t>
            </w:r>
          </w:p>
        </w:tc>
      </w:tr>
      <w:tr w14:paraId="5B85099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B72F8">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EE12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9084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8D767">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1850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1C56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3E52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7021E">
            <w:pPr>
              <w:jc w:val="center"/>
            </w:pPr>
            <w:r>
              <w:rPr>
                <w:rFonts w:ascii="宋体" w:hAnsi="宋体" w:eastAsia="宋体"/>
                <w:sz w:val="16"/>
              </w:rPr>
              <w:t>得分</w:t>
            </w:r>
          </w:p>
        </w:tc>
      </w:tr>
      <w:tr w14:paraId="256F20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8E3D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2DDB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22687">
            <w:pPr>
              <w:jc w:val="center"/>
            </w:pPr>
            <w:r>
              <w:rPr>
                <w:rFonts w:ascii="宋体" w:hAnsi="宋体" w:eastAsia="宋体"/>
                <w:sz w:val="16"/>
              </w:rPr>
              <w:t>1,225.55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2CF0B">
            <w:pPr>
              <w:jc w:val="center"/>
            </w:pPr>
            <w:r>
              <w:rPr>
                <w:rFonts w:ascii="宋体" w:hAnsi="宋体" w:eastAsia="宋体"/>
                <w:sz w:val="16"/>
              </w:rPr>
              <w:t>1,482.75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D97B1">
            <w:pPr>
              <w:jc w:val="center"/>
            </w:pPr>
            <w:r>
              <w:rPr>
                <w:rFonts w:ascii="宋体" w:hAnsi="宋体" w:eastAsia="宋体"/>
                <w:sz w:val="16"/>
              </w:rPr>
              <w:t>1,482.75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D61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FA0E6">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6688E">
            <w:pPr>
              <w:jc w:val="center"/>
            </w:pPr>
            <w:r>
              <w:rPr>
                <w:rFonts w:ascii="宋体" w:hAnsi="宋体" w:eastAsia="宋体"/>
                <w:sz w:val="16"/>
              </w:rPr>
              <w:t>10</w:t>
            </w:r>
          </w:p>
        </w:tc>
      </w:tr>
      <w:tr w14:paraId="18A70D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7539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7B72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6EC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B37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AEE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FDA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4EB6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E0D83">
            <w:pPr>
              <w:jc w:val="center"/>
            </w:pPr>
            <w:r>
              <w:rPr>
                <w:rFonts w:ascii="宋体" w:hAnsi="宋体" w:eastAsia="宋体"/>
                <w:sz w:val="16"/>
              </w:rPr>
              <w:t>—</w:t>
            </w:r>
          </w:p>
        </w:tc>
      </w:tr>
      <w:tr w14:paraId="6D525E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62DE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8033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A5BBD">
            <w:pPr>
              <w:jc w:val="center"/>
            </w:pPr>
            <w:r>
              <w:rPr>
                <w:rFonts w:ascii="宋体" w:hAnsi="宋体" w:eastAsia="宋体"/>
                <w:sz w:val="16"/>
              </w:rPr>
              <w:t>1,225.55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439F5">
            <w:pPr>
              <w:jc w:val="center"/>
            </w:pPr>
            <w:r>
              <w:rPr>
                <w:rFonts w:ascii="宋体" w:hAnsi="宋体" w:eastAsia="宋体"/>
                <w:sz w:val="16"/>
              </w:rPr>
              <w:t>1,482.75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19575">
            <w:pPr>
              <w:jc w:val="center"/>
            </w:pPr>
            <w:r>
              <w:rPr>
                <w:rFonts w:ascii="宋体" w:hAnsi="宋体" w:eastAsia="宋体"/>
                <w:sz w:val="16"/>
              </w:rPr>
              <w:t>1,482.75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26B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FE18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72308">
            <w:pPr>
              <w:jc w:val="center"/>
            </w:pPr>
            <w:r>
              <w:rPr>
                <w:rFonts w:ascii="宋体" w:hAnsi="宋体" w:eastAsia="宋体"/>
                <w:sz w:val="16"/>
              </w:rPr>
              <w:t>—</w:t>
            </w:r>
          </w:p>
        </w:tc>
      </w:tr>
      <w:tr w14:paraId="05B5CD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A3C1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30A8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214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B78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0CC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9E3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5611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8830A">
            <w:pPr>
              <w:jc w:val="center"/>
            </w:pPr>
            <w:r>
              <w:rPr>
                <w:rFonts w:ascii="宋体" w:hAnsi="宋体" w:eastAsia="宋体"/>
                <w:sz w:val="16"/>
              </w:rPr>
              <w:t>—</w:t>
            </w:r>
          </w:p>
        </w:tc>
      </w:tr>
      <w:tr w14:paraId="732E96A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E5B9F">
            <w:pPr>
              <w:jc w:val="center"/>
            </w:pPr>
            <w:r>
              <w:rPr>
                <w:rFonts w:ascii="宋体" w:hAnsi="宋体" w:eastAsia="宋体"/>
                <w:sz w:val="16"/>
              </w:rPr>
              <w:t>年度总体目标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C8052C">
            <w:pPr>
              <w:jc w:val="center"/>
            </w:pPr>
            <w:r>
              <w:rPr>
                <w:rFonts w:ascii="宋体" w:hAnsi="宋体" w:eastAsia="宋体"/>
                <w:sz w:val="16"/>
              </w:rPr>
              <w:t>预期目标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DF01AE">
            <w:pPr>
              <w:jc w:val="center"/>
            </w:pPr>
            <w:r>
              <w:rPr>
                <w:rFonts w:ascii="宋体" w:hAnsi="宋体" w:eastAsia="宋体"/>
                <w:sz w:val="16"/>
              </w:rPr>
              <w:t>实际完成目标</w:t>
            </w:r>
          </w:p>
        </w:tc>
      </w:tr>
      <w:tr w14:paraId="41450C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899BBD"/>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14FD35">
            <w:pPr>
              <w:jc w:val="both"/>
            </w:pPr>
            <w:r>
              <w:rPr>
                <w:rFonts w:ascii="宋体" w:hAnsi="宋体" w:eastAsia="宋体"/>
                <w:sz w:val="16"/>
              </w:rPr>
              <w:t>目标一、保障在职人员基本工资、津贴补贴、奖金、绩效工资的及时发放。保障单位在职、退休的机关事业单位基本养老保险缴费、城镇职工基本医疗保险缴费、公务员医疗补助缴 费、其他社会保障缴费、住房公积金、离退休费、生活补助等费用的及时支付工作。</w:t>
            </w:r>
            <w:r>
              <w:rPr>
                <w:rFonts w:ascii="宋体" w:hAnsi="宋体" w:eastAsia="宋体"/>
                <w:sz w:val="16"/>
              </w:rPr>
              <w:br w:type="textWrapping"/>
            </w:r>
            <w:r>
              <w:rPr>
                <w:rFonts w:ascii="宋体" w:hAnsi="宋体" w:eastAsia="宋体"/>
                <w:sz w:val="16"/>
              </w:rPr>
              <w:t>目标二、保障基本公用支出、交通费、办公用房取暖费、工会福利费等单位运转费用的及时支付率达到100%，年度检验检测任务数量不小于12000件，进行专业技术人员培训占单位在职人员的50%。</w:t>
            </w:r>
            <w:r>
              <w:rPr>
                <w:rFonts w:ascii="宋体" w:hAnsi="宋体" w:eastAsia="宋体"/>
                <w:sz w:val="16"/>
              </w:rPr>
              <w:br w:type="textWrapping"/>
            </w:r>
            <w:r>
              <w:rPr>
                <w:rFonts w:ascii="宋体" w:hAnsi="宋体" w:eastAsia="宋体"/>
                <w:sz w:val="16"/>
              </w:rPr>
              <w:t>目标三、根据地区市场监督管理局的具体要求和质计所工作实际出发，建立了全地区企业联系制度，同时与企业建立了相互协作、共谋发展的良好沟通渠道，使质量与计量检测工作服务进一步前移，对企业及服务对象落实靠前、靠优、全方位服务；为各方企业和组织的需求，提供优美的环境和优质技术服务。目标四、合理安排项目资金，保障单位项目的正常完成。</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3C8E61">
            <w:pPr>
              <w:jc w:val="both"/>
            </w:pPr>
            <w:r>
              <w:rPr>
                <w:rFonts w:hint="eastAsia" w:ascii="宋体" w:hAnsi="宋体"/>
                <w:sz w:val="16"/>
                <w:lang w:eastAsia="zh-CN"/>
              </w:rPr>
              <w:t>截至2024</w:t>
            </w:r>
            <w:r>
              <w:rPr>
                <w:rFonts w:ascii="宋体" w:hAnsi="宋体" w:eastAsia="宋体"/>
                <w:sz w:val="16"/>
              </w:rPr>
              <w:t>年12月31日，本单位实际完成16.44万个年度总检验检测任务，培训人数占50%，检验检测能力参数达到1364项，检验检测工作覆盖率达到98%，实际形成支出1482.75万元，通过完成以上工作，实现了提升社会群众身体健康安全的效益，受益客户满意度达到98%。</w:t>
            </w:r>
          </w:p>
        </w:tc>
      </w:tr>
      <w:tr w14:paraId="1A93C3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30DE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ACFE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C44B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E339D">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815D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FF48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990E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7746F">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9564F">
            <w:pPr>
              <w:jc w:val="center"/>
            </w:pPr>
            <w:r>
              <w:rPr>
                <w:rFonts w:ascii="宋体" w:hAnsi="宋体" w:eastAsia="宋体"/>
                <w:sz w:val="16"/>
              </w:rPr>
              <w:t>得分</w:t>
            </w:r>
          </w:p>
        </w:tc>
      </w:tr>
      <w:tr w14:paraId="2CD63CA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7626C">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EA63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9C52A">
            <w:pPr>
              <w:jc w:val="center"/>
            </w:pPr>
            <w:r>
              <w:rPr>
                <w:rFonts w:ascii="宋体" w:hAnsi="宋体" w:eastAsia="宋体"/>
                <w:sz w:val="16"/>
              </w:rPr>
              <w:t>单位正常运行成本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D4849">
            <w:pPr>
              <w:jc w:val="center"/>
            </w:pPr>
            <w:r>
              <w:rPr>
                <w:rFonts w:hint="default" w:ascii="Arial" w:hAnsi="Arial" w:eastAsia="宋体" w:cs="Arial"/>
                <w:sz w:val="16"/>
              </w:rPr>
              <w:t>≤</w:t>
            </w:r>
            <w:r>
              <w:rPr>
                <w:rFonts w:ascii="宋体" w:hAnsi="宋体" w:eastAsia="宋体"/>
                <w:sz w:val="16"/>
              </w:rPr>
              <w:t>1225.55万元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5C021">
            <w:pPr>
              <w:jc w:val="center"/>
            </w:pPr>
            <w:r>
              <w:rPr>
                <w:rFonts w:ascii="宋体" w:hAnsi="宋体" w:eastAsia="宋体"/>
                <w:sz w:val="16"/>
              </w:rPr>
              <w:t>和地财预〔2024〕1号文件,2023年度工作计划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102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3B478">
            <w:pPr>
              <w:jc w:val="center"/>
            </w:pPr>
            <w:r>
              <w:rPr>
                <w:rFonts w:ascii="宋体" w:hAnsi="宋体" w:eastAsia="宋体"/>
                <w:sz w:val="16"/>
              </w:rPr>
              <w:t>1482.75万元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3222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9AEE5">
            <w:pPr>
              <w:jc w:val="center"/>
            </w:pPr>
            <w:r>
              <w:rPr>
                <w:rFonts w:ascii="宋体" w:hAnsi="宋体" w:eastAsia="宋体"/>
                <w:sz w:val="16"/>
              </w:rPr>
              <w:t>0</w:t>
            </w:r>
          </w:p>
        </w:tc>
      </w:tr>
      <w:tr w14:paraId="65930F3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244E1">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2224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73B91">
            <w:pPr>
              <w:jc w:val="center"/>
            </w:pPr>
            <w:r>
              <w:rPr>
                <w:rFonts w:ascii="宋体" w:hAnsi="宋体" w:eastAsia="宋体"/>
                <w:sz w:val="16"/>
              </w:rPr>
              <w:t>年度总检验检测任务数量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093D2">
            <w:pPr>
              <w:jc w:val="center"/>
            </w:pPr>
            <w:r>
              <w:rPr>
                <w:rFonts w:hint="default" w:ascii="Arial" w:hAnsi="Arial" w:eastAsia="宋体" w:cs="Arial"/>
                <w:sz w:val="16"/>
              </w:rPr>
              <w:t>≥</w:t>
            </w:r>
            <w:r>
              <w:rPr>
                <w:rFonts w:ascii="宋体" w:hAnsi="宋体" w:eastAsia="宋体"/>
                <w:sz w:val="16"/>
              </w:rPr>
              <w:t>3.20万个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FFE9C">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A16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7A060">
            <w:pPr>
              <w:jc w:val="center"/>
            </w:pPr>
            <w:r>
              <w:rPr>
                <w:rFonts w:ascii="宋体" w:hAnsi="宋体" w:eastAsia="宋体"/>
                <w:sz w:val="16"/>
              </w:rPr>
              <w:t>16.44万个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CACC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DC375">
            <w:pPr>
              <w:jc w:val="center"/>
            </w:pPr>
            <w:r>
              <w:rPr>
                <w:rFonts w:ascii="宋体" w:hAnsi="宋体" w:eastAsia="宋体"/>
                <w:sz w:val="16"/>
              </w:rPr>
              <w:t>10</w:t>
            </w:r>
          </w:p>
        </w:tc>
      </w:tr>
      <w:tr w14:paraId="3F3F84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1F51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5C33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9E730">
            <w:pPr>
              <w:jc w:val="center"/>
            </w:pPr>
            <w:r>
              <w:rPr>
                <w:rFonts w:ascii="宋体" w:hAnsi="宋体" w:eastAsia="宋体"/>
                <w:sz w:val="16"/>
              </w:rPr>
              <w:t>培训人数占比</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83498">
            <w:pPr>
              <w:jc w:val="center"/>
            </w:pPr>
            <w:r>
              <w:rPr>
                <w:rFonts w:hint="default" w:ascii="Arial" w:hAnsi="Arial" w:eastAsia="宋体" w:cs="Arial"/>
                <w:sz w:val="16"/>
              </w:rPr>
              <w:t>≥</w:t>
            </w: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8A34D">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CD2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44873">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0DF0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C91AD">
            <w:pPr>
              <w:jc w:val="center"/>
            </w:pPr>
            <w:r>
              <w:rPr>
                <w:rFonts w:ascii="宋体" w:hAnsi="宋体" w:eastAsia="宋体"/>
                <w:sz w:val="16"/>
              </w:rPr>
              <w:t>10</w:t>
            </w:r>
          </w:p>
        </w:tc>
      </w:tr>
      <w:tr w14:paraId="725353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A0A0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639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CC393">
            <w:pPr>
              <w:jc w:val="center"/>
            </w:pPr>
            <w:r>
              <w:rPr>
                <w:rFonts w:ascii="宋体" w:hAnsi="宋体" w:eastAsia="宋体"/>
                <w:sz w:val="16"/>
              </w:rPr>
              <w:t>检验检测能力参数数量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7DF7E">
            <w:pPr>
              <w:jc w:val="center"/>
            </w:pPr>
            <w:r>
              <w:rPr>
                <w:rFonts w:hint="default" w:ascii="Arial" w:hAnsi="Arial" w:eastAsia="宋体" w:cs="Arial"/>
                <w:sz w:val="16"/>
              </w:rPr>
              <w:t>≥</w:t>
            </w:r>
            <w:r>
              <w:rPr>
                <w:rFonts w:ascii="宋体" w:hAnsi="宋体" w:eastAsia="宋体"/>
                <w:sz w:val="16"/>
              </w:rPr>
              <w:t>1364项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DD524">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822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E42DF">
            <w:pPr>
              <w:jc w:val="center"/>
            </w:pPr>
            <w:r>
              <w:rPr>
                <w:rFonts w:ascii="宋体" w:hAnsi="宋体" w:eastAsia="宋体"/>
                <w:sz w:val="16"/>
              </w:rPr>
              <w:t>1364项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8812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56F02">
            <w:pPr>
              <w:jc w:val="center"/>
            </w:pPr>
            <w:r>
              <w:rPr>
                <w:rFonts w:ascii="宋体" w:hAnsi="宋体" w:eastAsia="宋体"/>
                <w:sz w:val="16"/>
              </w:rPr>
              <w:t>10</w:t>
            </w:r>
          </w:p>
        </w:tc>
      </w:tr>
      <w:tr w14:paraId="0F52F8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9EAA9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C14A0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535BF">
            <w:pPr>
              <w:jc w:val="center"/>
            </w:pPr>
            <w:r>
              <w:rPr>
                <w:rFonts w:ascii="宋体" w:hAnsi="宋体" w:eastAsia="宋体"/>
                <w:sz w:val="16"/>
              </w:rPr>
              <w:t>检验检测工作覆盖率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5391D">
            <w:pPr>
              <w:jc w:val="center"/>
            </w:pPr>
            <w:r>
              <w:rPr>
                <w:rFonts w:hint="default" w:ascii="Arial" w:hAnsi="Arial" w:eastAsia="宋体" w:cs="Arial"/>
                <w:sz w:val="16"/>
              </w:rPr>
              <w:t>≥</w:t>
            </w: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7CD3D">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D99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49931">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C81B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A1B1B">
            <w:pPr>
              <w:jc w:val="center"/>
            </w:pPr>
            <w:r>
              <w:rPr>
                <w:rFonts w:ascii="宋体" w:hAnsi="宋体" w:eastAsia="宋体"/>
                <w:sz w:val="16"/>
              </w:rPr>
              <w:t>10</w:t>
            </w:r>
          </w:p>
        </w:tc>
      </w:tr>
      <w:tr w14:paraId="78476E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5884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2AF4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BD241">
            <w:pPr>
              <w:jc w:val="center"/>
            </w:pPr>
            <w:r>
              <w:rPr>
                <w:rFonts w:ascii="宋体" w:hAnsi="宋体" w:eastAsia="宋体"/>
                <w:sz w:val="16"/>
              </w:rPr>
              <w:t>参加培训人员合格率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2A5E2">
            <w:pPr>
              <w:jc w:val="center"/>
            </w:pPr>
            <w:r>
              <w:rPr>
                <w:rFonts w:hint="default" w:ascii="Arial" w:hAnsi="Arial" w:eastAsia="宋体" w:cs="Arial"/>
                <w:sz w:val="16"/>
              </w:rPr>
              <w:t>≥</w:t>
            </w: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52754">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877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80606">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FEDF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7C1FA">
            <w:pPr>
              <w:jc w:val="center"/>
            </w:pPr>
            <w:r>
              <w:rPr>
                <w:rFonts w:ascii="宋体" w:hAnsi="宋体" w:eastAsia="宋体"/>
                <w:sz w:val="16"/>
              </w:rPr>
              <w:t>10</w:t>
            </w:r>
          </w:p>
        </w:tc>
      </w:tr>
      <w:tr w14:paraId="7E8BB2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756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9298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F862A">
            <w:pPr>
              <w:jc w:val="center"/>
            </w:pPr>
            <w:r>
              <w:rPr>
                <w:rFonts w:ascii="宋体" w:hAnsi="宋体" w:eastAsia="宋体"/>
                <w:sz w:val="16"/>
              </w:rPr>
              <w:t>年度检验检测任务按时完成率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C9B1F">
            <w:pPr>
              <w:jc w:val="center"/>
            </w:pPr>
            <w:r>
              <w:rPr>
                <w:rFonts w:hint="default" w:ascii="Arial" w:hAnsi="Arial" w:eastAsia="宋体" w:cs="Arial"/>
                <w:sz w:val="16"/>
              </w:rPr>
              <w:t>≥</w:t>
            </w: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BC2FB">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9C5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B218E">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165E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0F2F4">
            <w:pPr>
              <w:jc w:val="center"/>
            </w:pPr>
            <w:r>
              <w:rPr>
                <w:rFonts w:ascii="宋体" w:hAnsi="宋体" w:eastAsia="宋体"/>
                <w:sz w:val="16"/>
              </w:rPr>
              <w:t>10</w:t>
            </w:r>
          </w:p>
        </w:tc>
      </w:tr>
      <w:tr w14:paraId="56D863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03DEA">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3646F">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59127">
            <w:pPr>
              <w:jc w:val="center"/>
            </w:pPr>
            <w:r>
              <w:rPr>
                <w:rFonts w:ascii="宋体" w:hAnsi="宋体" w:eastAsia="宋体"/>
                <w:sz w:val="16"/>
              </w:rPr>
              <w:t>检验检测结果对社会群众的身体健康安全效益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16F4A">
            <w:pPr>
              <w:jc w:val="center"/>
            </w:pPr>
            <w:r>
              <w:rPr>
                <w:rFonts w:hint="default" w:ascii="Arial" w:hAnsi="Arial" w:eastAsia="宋体" w:cs="Arial"/>
                <w:sz w:val="16"/>
              </w:rPr>
              <w:t>≥</w:t>
            </w: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6C83C">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9F8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440DF">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7369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97C5A">
            <w:pPr>
              <w:jc w:val="center"/>
            </w:pPr>
            <w:r>
              <w:rPr>
                <w:rFonts w:ascii="宋体" w:hAnsi="宋体" w:eastAsia="宋体"/>
                <w:sz w:val="16"/>
              </w:rPr>
              <w:t>10</w:t>
            </w:r>
          </w:p>
        </w:tc>
      </w:tr>
      <w:tr w14:paraId="0A6B91F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B894E">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A6DF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16C4E">
            <w:pPr>
              <w:jc w:val="center"/>
            </w:pPr>
            <w:r>
              <w:rPr>
                <w:rFonts w:ascii="宋体" w:hAnsi="宋体" w:eastAsia="宋体"/>
                <w:sz w:val="16"/>
              </w:rPr>
              <w:t>客户满意度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A9294">
            <w:pPr>
              <w:jc w:val="center"/>
            </w:pPr>
            <w:r>
              <w:rPr>
                <w:rFonts w:hint="default" w:ascii="Arial" w:hAnsi="Arial" w:eastAsia="宋体" w:cs="Arial"/>
                <w:sz w:val="16"/>
              </w:rPr>
              <w:t>≥</w:t>
            </w: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F48A4">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979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ABE49">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2FDC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1C9E6">
            <w:pPr>
              <w:jc w:val="center"/>
            </w:pPr>
            <w:r>
              <w:rPr>
                <w:rFonts w:ascii="宋体" w:hAnsi="宋体" w:eastAsia="宋体"/>
                <w:sz w:val="16"/>
              </w:rPr>
              <w:t>10</w:t>
            </w:r>
          </w:p>
        </w:tc>
      </w:tr>
    </w:tbl>
    <w:p w14:paraId="072A9EF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A61B53F">
        <w:tblPrEx>
          <w:tblCellMar>
            <w:top w:w="0" w:type="dxa"/>
            <w:left w:w="108" w:type="dxa"/>
            <w:bottom w:w="0" w:type="dxa"/>
            <w:right w:w="108" w:type="dxa"/>
          </w:tblCellMar>
        </w:tblPrEx>
        <w:tc>
          <w:tcPr>
            <w:tcW w:w="8847" w:type="dxa"/>
            <w:gridSpan w:val="9"/>
            <w:vAlign w:val="center"/>
          </w:tcPr>
          <w:p w14:paraId="38F22D50">
            <w:pPr>
              <w:jc w:val="center"/>
            </w:pPr>
            <w:r>
              <w:rPr>
                <w:rFonts w:ascii="宋体" w:hAnsi="宋体" w:eastAsia="宋体"/>
                <w:sz w:val="24"/>
              </w:rPr>
              <w:t>项目支出绩效自评表</w:t>
            </w:r>
          </w:p>
        </w:tc>
      </w:tr>
      <w:tr w14:paraId="1285849D">
        <w:tblPrEx>
          <w:tblCellMar>
            <w:top w:w="0" w:type="dxa"/>
            <w:left w:w="108" w:type="dxa"/>
            <w:bottom w:w="0" w:type="dxa"/>
            <w:right w:w="108" w:type="dxa"/>
          </w:tblCellMar>
        </w:tblPrEx>
        <w:tc>
          <w:tcPr>
            <w:tcW w:w="8847" w:type="dxa"/>
            <w:gridSpan w:val="9"/>
            <w:vAlign w:val="center"/>
          </w:tcPr>
          <w:p w14:paraId="3EB21B35">
            <w:pPr>
              <w:jc w:val="center"/>
            </w:pPr>
            <w:r>
              <w:rPr>
                <w:rFonts w:ascii="宋体" w:hAnsi="宋体" w:eastAsia="宋体"/>
                <w:sz w:val="24"/>
              </w:rPr>
              <w:t>(2024年度)</w:t>
            </w:r>
          </w:p>
        </w:tc>
      </w:tr>
      <w:tr w14:paraId="1A39E77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AF21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53A012C">
            <w:pPr>
              <w:jc w:val="center"/>
            </w:pPr>
            <w:r>
              <w:rPr>
                <w:rFonts w:ascii="宋体" w:hAnsi="宋体" w:eastAsia="宋体"/>
                <w:sz w:val="16"/>
              </w:rPr>
              <w:t>2024年检验检测业务经费</w:t>
            </w:r>
          </w:p>
        </w:tc>
      </w:tr>
      <w:tr w14:paraId="0389FA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9EB0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677B53">
            <w:pPr>
              <w:jc w:val="center"/>
            </w:pPr>
            <w:r>
              <w:rPr>
                <w:rFonts w:ascii="宋体" w:hAnsi="宋体" w:eastAsia="宋体"/>
                <w:sz w:val="16"/>
              </w:rPr>
              <w:t>和田地区质量与计量检测所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949E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8FAA2D">
            <w:pPr>
              <w:jc w:val="center"/>
            </w:pPr>
            <w:r>
              <w:rPr>
                <w:rFonts w:ascii="宋体" w:hAnsi="宋体" w:eastAsia="宋体"/>
                <w:sz w:val="16"/>
              </w:rPr>
              <w:t>和田地区质量与计量检测所</w:t>
            </w:r>
          </w:p>
        </w:tc>
      </w:tr>
      <w:tr w14:paraId="39FA15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962A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CC9D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48D5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DED8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6C65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FAB1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54C8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706F2">
            <w:pPr>
              <w:jc w:val="center"/>
            </w:pPr>
            <w:r>
              <w:rPr>
                <w:rFonts w:ascii="宋体" w:hAnsi="宋体" w:eastAsia="宋体"/>
                <w:sz w:val="16"/>
              </w:rPr>
              <w:t>得分</w:t>
            </w:r>
          </w:p>
        </w:tc>
      </w:tr>
      <w:tr w14:paraId="7DA52C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0DF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89B6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720DA">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18D1E">
            <w:pPr>
              <w:jc w:val="center"/>
            </w:pPr>
            <w:r>
              <w:rPr>
                <w:rFonts w:ascii="宋体" w:hAnsi="宋体" w:eastAsia="宋体"/>
                <w:sz w:val="16"/>
              </w:rPr>
              <w:t>521.01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3D62F">
            <w:pPr>
              <w:jc w:val="center"/>
            </w:pPr>
            <w:r>
              <w:rPr>
                <w:rFonts w:ascii="宋体" w:hAnsi="宋体" w:eastAsia="宋体"/>
                <w:sz w:val="16"/>
              </w:rPr>
              <w:t>521.01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46D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7619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1A37B">
            <w:pPr>
              <w:jc w:val="center"/>
            </w:pPr>
            <w:r>
              <w:rPr>
                <w:rFonts w:ascii="宋体" w:hAnsi="宋体" w:eastAsia="宋体"/>
                <w:sz w:val="16"/>
              </w:rPr>
              <w:t>10.00分</w:t>
            </w:r>
          </w:p>
        </w:tc>
      </w:tr>
      <w:tr w14:paraId="714DF4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BA04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2D60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84757">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82A50">
            <w:pPr>
              <w:jc w:val="center"/>
            </w:pPr>
            <w:r>
              <w:rPr>
                <w:rFonts w:ascii="宋体" w:hAnsi="宋体" w:eastAsia="宋体"/>
                <w:sz w:val="16"/>
              </w:rPr>
              <w:t>521.01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462BD">
            <w:pPr>
              <w:jc w:val="center"/>
            </w:pPr>
            <w:r>
              <w:rPr>
                <w:rFonts w:ascii="宋体" w:hAnsi="宋体" w:eastAsia="宋体"/>
                <w:sz w:val="16"/>
              </w:rPr>
              <w:t>521.01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E95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F6F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9004C">
            <w:pPr>
              <w:jc w:val="center"/>
            </w:pPr>
            <w:r>
              <w:rPr>
                <w:rFonts w:ascii="宋体" w:hAnsi="宋体" w:eastAsia="宋体"/>
                <w:sz w:val="16"/>
              </w:rPr>
              <w:t>—</w:t>
            </w:r>
          </w:p>
        </w:tc>
      </w:tr>
      <w:tr w14:paraId="6DB61B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15A3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AA21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A68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524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2D5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B51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0EB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CFEA3">
            <w:pPr>
              <w:jc w:val="center"/>
            </w:pPr>
            <w:r>
              <w:rPr>
                <w:rFonts w:ascii="宋体" w:hAnsi="宋体" w:eastAsia="宋体"/>
                <w:sz w:val="16"/>
              </w:rPr>
              <w:t>—</w:t>
            </w:r>
          </w:p>
        </w:tc>
      </w:tr>
      <w:tr w14:paraId="4B9B9A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444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C402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7C0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A66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B73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3B2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40D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30E7C">
            <w:pPr>
              <w:jc w:val="center"/>
            </w:pPr>
            <w:r>
              <w:rPr>
                <w:rFonts w:ascii="宋体" w:hAnsi="宋体" w:eastAsia="宋体"/>
                <w:sz w:val="16"/>
              </w:rPr>
              <w:t>—</w:t>
            </w:r>
          </w:p>
        </w:tc>
      </w:tr>
      <w:tr w14:paraId="1CABCF0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3D67B">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6F607E">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F7CFF3">
            <w:pPr>
              <w:jc w:val="center"/>
            </w:pPr>
            <w:r>
              <w:rPr>
                <w:rFonts w:ascii="宋体" w:hAnsi="宋体" w:eastAsia="宋体"/>
                <w:sz w:val="16"/>
              </w:rPr>
              <w:t>实际完成情况</w:t>
            </w:r>
          </w:p>
        </w:tc>
      </w:tr>
      <w:tr w14:paraId="0303D3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B5B85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B2705E">
            <w:pPr>
              <w:jc w:val="both"/>
            </w:pPr>
            <w:r>
              <w:rPr>
                <w:rFonts w:ascii="宋体" w:hAnsi="宋体" w:eastAsia="宋体"/>
                <w:sz w:val="16"/>
              </w:rPr>
              <w:t>2024年计划在去年计划的基础上进一步</w:t>
            </w:r>
            <w:r>
              <w:rPr>
                <w:rFonts w:hint="eastAsia" w:ascii="宋体" w:hAnsi="宋体"/>
                <w:sz w:val="16"/>
                <w:lang w:eastAsia="zh-CN"/>
              </w:rPr>
              <w:t>完善</w:t>
            </w:r>
            <w:r>
              <w:rPr>
                <w:rFonts w:ascii="宋体" w:hAnsi="宋体" w:eastAsia="宋体"/>
                <w:sz w:val="16"/>
              </w:rPr>
              <w:t>提高和田地区的质量与计量检测工作，确保广大群众质检方面的安全质量。2024年计划如下：参加专业技术培训人员数保持单位在职人员的50%1、检验检测数量目标提高至12000个2、检验检测合格率提高98%3、参加培训人员合格率提高98%4、项目完成时间2023年12月31日之前5、参加培训人员培训费及差旅费</w:t>
            </w:r>
            <w:r>
              <w:rPr>
                <w:rFonts w:hint="eastAsia" w:ascii="宋体" w:hAnsi="宋体"/>
                <w:sz w:val="16"/>
                <w:lang w:eastAsia="zh-CN"/>
              </w:rPr>
              <w:t>减少</w:t>
            </w:r>
            <w:r>
              <w:rPr>
                <w:rFonts w:ascii="宋体" w:hAnsi="宋体" w:eastAsia="宋体"/>
                <w:sz w:val="16"/>
              </w:rPr>
              <w:t>在20万元以内6、临聘人员工资与见习生生活补贴、办公费以及其他单位运转费尽量</w:t>
            </w:r>
            <w:r>
              <w:rPr>
                <w:rFonts w:hint="eastAsia" w:ascii="宋体" w:hAnsi="宋体"/>
                <w:sz w:val="16"/>
                <w:lang w:eastAsia="zh-CN"/>
              </w:rPr>
              <w:t>保持</w:t>
            </w:r>
            <w:r>
              <w:rPr>
                <w:rFonts w:ascii="宋体" w:hAnsi="宋体" w:eastAsia="宋体"/>
                <w:sz w:val="16"/>
              </w:rPr>
              <w:t>不超过180万元7、保障本地区各类食品质量安全以及计量工具准确性长期保障8、受益群众满意度提高98%</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13DD00">
            <w:pPr>
              <w:jc w:val="both"/>
            </w:pPr>
            <w:r>
              <w:rPr>
                <w:rFonts w:hint="eastAsia" w:ascii="宋体" w:hAnsi="宋体"/>
                <w:sz w:val="16"/>
                <w:lang w:eastAsia="zh-CN"/>
              </w:rPr>
              <w:t>截至</w:t>
            </w:r>
            <w:r>
              <w:rPr>
                <w:rFonts w:ascii="宋体" w:hAnsi="宋体" w:eastAsia="宋体"/>
                <w:sz w:val="16"/>
              </w:rPr>
              <w:t>2024年12月31日，本项目实际形成支出521.01万元，已完成检验检测1.2万个，参加专业技术培训人员占50%，达到了保障本地区各类食品质量安全以及计量工具准确性，受益群众满意度达到100%。</w:t>
            </w:r>
          </w:p>
        </w:tc>
      </w:tr>
      <w:tr w14:paraId="24A654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379BD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131F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4AC9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EA7A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A5B7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32F0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C2CE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DACB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FC672">
            <w:pPr>
              <w:jc w:val="center"/>
            </w:pPr>
            <w:r>
              <w:rPr>
                <w:rFonts w:ascii="宋体" w:hAnsi="宋体" w:eastAsia="宋体"/>
                <w:sz w:val="16"/>
              </w:rPr>
              <w:t>偏差原因分析及改进措施</w:t>
            </w:r>
          </w:p>
        </w:tc>
      </w:tr>
      <w:tr w14:paraId="0FEAF4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3250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9081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2FB4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D2291">
            <w:pPr>
              <w:jc w:val="center"/>
            </w:pPr>
            <w:r>
              <w:rPr>
                <w:rFonts w:ascii="宋体" w:hAnsi="宋体" w:eastAsia="宋体"/>
                <w:sz w:val="16"/>
              </w:rPr>
              <w:t>参加专业技术培训人员数占比</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D93C0">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360FD">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23CB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3194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2D907">
            <w:pPr>
              <w:jc w:val="center"/>
            </w:pPr>
          </w:p>
        </w:tc>
      </w:tr>
      <w:tr w14:paraId="00678F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396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34DA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12F2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DDFD3">
            <w:pPr>
              <w:jc w:val="center"/>
            </w:pPr>
            <w:r>
              <w:rPr>
                <w:rFonts w:ascii="宋体" w:hAnsi="宋体" w:eastAsia="宋体"/>
                <w:sz w:val="16"/>
              </w:rPr>
              <w:t>检验检测数量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50DD9">
            <w:pPr>
              <w:jc w:val="center"/>
            </w:pPr>
            <w:r>
              <w:rPr>
                <w:rFonts w:ascii="宋体" w:hAnsi="宋体" w:eastAsia="宋体"/>
                <w:sz w:val="16"/>
              </w:rPr>
              <w:t>≥1.2万个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4ABBE">
            <w:pPr>
              <w:jc w:val="center"/>
            </w:pPr>
            <w:r>
              <w:rPr>
                <w:rFonts w:ascii="宋体" w:hAnsi="宋体" w:eastAsia="宋体"/>
                <w:sz w:val="16"/>
              </w:rPr>
              <w:t>=1.2万个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24ED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B792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06D3F">
            <w:pPr>
              <w:jc w:val="center"/>
            </w:pPr>
          </w:p>
        </w:tc>
      </w:tr>
      <w:tr w14:paraId="312D9A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1480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B32EF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DDF6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FA341">
            <w:pPr>
              <w:jc w:val="center"/>
            </w:pPr>
            <w:r>
              <w:rPr>
                <w:rFonts w:ascii="宋体" w:hAnsi="宋体" w:eastAsia="宋体"/>
                <w:sz w:val="16"/>
              </w:rPr>
              <w:t>检验检测合格率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05458">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7A374">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F571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4585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CC499">
            <w:pPr>
              <w:jc w:val="center"/>
            </w:pPr>
          </w:p>
        </w:tc>
      </w:tr>
      <w:tr w14:paraId="41A69A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B43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8EC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8B4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13DD1">
            <w:pPr>
              <w:jc w:val="center"/>
            </w:pPr>
            <w:r>
              <w:rPr>
                <w:rFonts w:ascii="宋体" w:hAnsi="宋体" w:eastAsia="宋体"/>
                <w:sz w:val="16"/>
              </w:rPr>
              <w:t>参加培训人员合格率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C389D">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4714B">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60B4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2EC2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D8E9A">
            <w:pPr>
              <w:jc w:val="center"/>
            </w:pPr>
          </w:p>
        </w:tc>
      </w:tr>
      <w:tr w14:paraId="166B14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5D43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96FB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399D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1EB4C">
            <w:pPr>
              <w:jc w:val="center"/>
            </w:pPr>
            <w:r>
              <w:rPr>
                <w:rFonts w:ascii="宋体" w:hAnsi="宋体" w:eastAsia="宋体"/>
                <w:sz w:val="16"/>
              </w:rPr>
              <w:t>项目按时完成率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8CC04">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33DD6">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E0EB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2628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802FC">
            <w:pPr>
              <w:jc w:val="center"/>
            </w:pPr>
          </w:p>
        </w:tc>
      </w:tr>
      <w:tr w14:paraId="177F3F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671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7B75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2095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3CA75">
            <w:pPr>
              <w:jc w:val="center"/>
            </w:pPr>
            <w:r>
              <w:rPr>
                <w:rFonts w:ascii="宋体" w:hAnsi="宋体" w:eastAsia="宋体"/>
                <w:sz w:val="16"/>
              </w:rPr>
              <w:t>参加培训人员培训费及差旅费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E338F">
            <w:pPr>
              <w:jc w:val="center"/>
            </w:pPr>
            <w:r>
              <w:rPr>
                <w:rFonts w:ascii="宋体" w:hAnsi="宋体" w:eastAsia="宋体"/>
                <w:sz w:val="16"/>
              </w:rPr>
              <w:t>≤521.01万元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F54B0">
            <w:pPr>
              <w:jc w:val="center"/>
            </w:pPr>
            <w:r>
              <w:rPr>
                <w:rFonts w:ascii="宋体" w:hAnsi="宋体" w:eastAsia="宋体"/>
                <w:sz w:val="16"/>
              </w:rPr>
              <w:t>=521.01万元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ED81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147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C15E7">
            <w:pPr>
              <w:jc w:val="center"/>
            </w:pPr>
          </w:p>
        </w:tc>
      </w:tr>
      <w:tr w14:paraId="199131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AF7A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434A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D618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854D9">
            <w:pPr>
              <w:jc w:val="center"/>
            </w:pPr>
            <w:r>
              <w:rPr>
                <w:rFonts w:ascii="宋体" w:hAnsi="宋体" w:eastAsia="宋体"/>
                <w:sz w:val="16"/>
              </w:rPr>
              <w:t>保障本地区各类食品质量安全以及计量工具准确性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07100">
            <w:pPr>
              <w:jc w:val="center"/>
            </w:pPr>
            <w:r>
              <w:rPr>
                <w:rFonts w:ascii="宋体" w:hAnsi="宋体" w:eastAsia="宋体"/>
                <w:sz w:val="16"/>
              </w:rPr>
              <w:t>长期保障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A3769">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F782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0959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D3BAB">
            <w:pPr>
              <w:jc w:val="center"/>
            </w:pPr>
          </w:p>
        </w:tc>
      </w:tr>
      <w:tr w14:paraId="78B5A5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02A3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0D93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1652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DE9FB">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0A81B">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A75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C1C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F3E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94C7E">
            <w:pPr>
              <w:jc w:val="center"/>
            </w:pPr>
          </w:p>
        </w:tc>
      </w:tr>
      <w:tr w14:paraId="4B702FF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C0EAC">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4844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58664">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34F1F3">
            <w:pPr>
              <w:jc w:val="center"/>
            </w:pPr>
            <w:r>
              <w:rPr>
                <w:rFonts w:ascii="宋体" w:hAnsi="宋体" w:eastAsia="宋体"/>
                <w:sz w:val="16"/>
              </w:rPr>
              <w:t>100分</w:t>
            </w:r>
          </w:p>
        </w:tc>
      </w:tr>
    </w:tbl>
    <w:p w14:paraId="1BE20BE3">
      <w:pPr>
        <w:ind w:firstLine="640" w:firstLineChars="200"/>
        <w:rPr>
          <w:rFonts w:ascii="黑体" w:hAnsi="黑体" w:eastAsia="黑体"/>
          <w:sz w:val="32"/>
        </w:rPr>
      </w:pPr>
    </w:p>
    <w:p w14:paraId="36D61965">
      <w:pPr>
        <w:ind w:firstLine="640" w:firstLineChars="200"/>
        <w:rPr>
          <w:rFonts w:ascii="黑体" w:hAnsi="黑体" w:eastAsia="黑体"/>
          <w:sz w:val="32"/>
        </w:rPr>
      </w:pPr>
    </w:p>
    <w:p w14:paraId="3BD50595">
      <w:pPr>
        <w:ind w:firstLine="640" w:firstLineChars="200"/>
        <w:rPr>
          <w:rFonts w:ascii="黑体" w:hAnsi="黑体" w:eastAsia="黑体"/>
          <w:sz w:val="32"/>
        </w:rPr>
      </w:pPr>
    </w:p>
    <w:p w14:paraId="43AB3901">
      <w:pPr>
        <w:ind w:firstLine="640" w:firstLineChars="200"/>
        <w:rPr>
          <w:rFonts w:ascii="黑体" w:hAnsi="黑体" w:eastAsia="黑体"/>
          <w:sz w:val="32"/>
        </w:rPr>
      </w:pPr>
    </w:p>
    <w:p w14:paraId="2FED63D2">
      <w:pPr>
        <w:ind w:firstLine="640" w:firstLineChars="200"/>
        <w:rPr>
          <w:rFonts w:ascii="黑体" w:hAnsi="黑体" w:eastAsia="黑体"/>
          <w:sz w:val="32"/>
        </w:rPr>
      </w:pPr>
    </w:p>
    <w:p w14:paraId="6C7AB64E">
      <w:pPr>
        <w:ind w:firstLine="640" w:firstLineChars="200"/>
        <w:rPr>
          <w:rFonts w:ascii="黑体" w:hAnsi="黑体" w:eastAsia="黑体"/>
          <w:sz w:val="32"/>
        </w:rPr>
      </w:pPr>
    </w:p>
    <w:p w14:paraId="7BC2928C">
      <w:pPr>
        <w:ind w:firstLine="640" w:firstLineChars="200"/>
        <w:rPr>
          <w:rFonts w:ascii="黑体" w:hAnsi="黑体" w:eastAsia="黑体"/>
          <w:sz w:val="32"/>
        </w:rPr>
      </w:pPr>
    </w:p>
    <w:p w14:paraId="2B07EA14">
      <w:pPr>
        <w:ind w:firstLine="640" w:firstLineChars="200"/>
        <w:rPr>
          <w:rFonts w:ascii="黑体" w:hAnsi="黑体" w:eastAsia="黑体"/>
          <w:sz w:val="32"/>
        </w:rPr>
      </w:pPr>
    </w:p>
    <w:p w14:paraId="63DDC117">
      <w:pPr>
        <w:ind w:firstLine="640" w:firstLineChars="200"/>
        <w:rPr>
          <w:rFonts w:ascii="黑体" w:hAnsi="黑体" w:eastAsia="黑体"/>
          <w:sz w:val="32"/>
        </w:rPr>
      </w:pPr>
    </w:p>
    <w:p w14:paraId="7C19CBFB">
      <w:pPr>
        <w:ind w:firstLine="640" w:firstLineChars="200"/>
        <w:rPr>
          <w:rFonts w:ascii="黑体" w:hAnsi="黑体" w:eastAsia="黑体"/>
          <w:sz w:val="32"/>
        </w:rPr>
      </w:pPr>
    </w:p>
    <w:p w14:paraId="79CAAB55">
      <w:pPr>
        <w:ind w:firstLine="640" w:firstLineChars="200"/>
        <w:rPr>
          <w:rFonts w:ascii="黑体" w:hAnsi="黑体" w:eastAsia="黑体"/>
          <w:sz w:val="32"/>
        </w:rPr>
      </w:pPr>
    </w:p>
    <w:p w14:paraId="0FBF38A5">
      <w:pPr>
        <w:ind w:firstLine="640" w:firstLineChars="200"/>
        <w:rPr>
          <w:rFonts w:ascii="黑体" w:hAnsi="黑体" w:eastAsia="黑体"/>
          <w:sz w:val="32"/>
        </w:rPr>
      </w:pPr>
    </w:p>
    <w:p w14:paraId="141AA795">
      <w:pPr>
        <w:ind w:firstLine="640" w:firstLineChars="200"/>
        <w:rPr>
          <w:rFonts w:ascii="黑体" w:hAnsi="黑体" w:eastAsia="黑体"/>
          <w:sz w:val="32"/>
        </w:rPr>
      </w:pPr>
    </w:p>
    <w:p w14:paraId="42F903DC">
      <w:pPr>
        <w:ind w:firstLine="640" w:firstLineChars="200"/>
      </w:pPr>
      <w:r>
        <w:rPr>
          <w:rFonts w:ascii="黑体" w:hAnsi="黑体" w:eastAsia="黑体"/>
          <w:sz w:val="32"/>
        </w:rPr>
        <w:t>十二、其他需说明的事项</w:t>
      </w:r>
    </w:p>
    <w:p w14:paraId="36F06A29">
      <w:pPr>
        <w:spacing w:line="580" w:lineRule="exact"/>
        <w:ind w:firstLine="640"/>
        <w:jc w:val="both"/>
      </w:pPr>
      <w:r>
        <w:rPr>
          <w:rFonts w:ascii="仿宋_GB2312" w:hAnsi="仿宋_GB2312" w:eastAsia="仿宋_GB2312"/>
          <w:b w:val="0"/>
          <w:sz w:val="32"/>
        </w:rPr>
        <w:t>本单位无其他需说明的事项。</w:t>
      </w:r>
    </w:p>
    <w:p w14:paraId="42206AA3">
      <w:r>
        <w:br w:type="page"/>
      </w:r>
    </w:p>
    <w:p w14:paraId="4306C22C">
      <w:pPr>
        <w:spacing w:line="240" w:lineRule="auto"/>
        <w:jc w:val="center"/>
        <w:outlineLvl w:val="1"/>
      </w:pPr>
      <w:r>
        <w:rPr>
          <w:rFonts w:ascii="黑体" w:hAnsi="黑体" w:eastAsia="黑体"/>
          <w:sz w:val="32"/>
        </w:rPr>
        <w:t>第三部分 专业名词解释</w:t>
      </w:r>
    </w:p>
    <w:p w14:paraId="15112D3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64E74D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A44C1E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C4960C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48CDFB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B0B321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64B3D5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ED9DCB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CE94D5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E728FF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401099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DE1FB4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E02BA8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5FDB51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7D842B9">
      <w:r>
        <w:br w:type="page"/>
      </w:r>
    </w:p>
    <w:p w14:paraId="5CD906BD">
      <w:pPr>
        <w:spacing w:line="240" w:lineRule="auto"/>
        <w:jc w:val="center"/>
        <w:outlineLvl w:val="1"/>
      </w:pPr>
      <w:r>
        <w:rPr>
          <w:rFonts w:ascii="黑体" w:hAnsi="黑体" w:eastAsia="黑体"/>
          <w:sz w:val="32"/>
        </w:rPr>
        <w:t>第四部分 部门决算报表（见附表）</w:t>
      </w:r>
    </w:p>
    <w:p w14:paraId="06A675AD">
      <w:pPr>
        <w:spacing w:line="240" w:lineRule="auto"/>
        <w:ind w:firstLine="640"/>
        <w:jc w:val="both"/>
      </w:pPr>
      <w:r>
        <w:rPr>
          <w:rFonts w:ascii="仿宋_GB2312" w:hAnsi="仿宋_GB2312" w:eastAsia="仿宋_GB2312"/>
          <w:b w:val="0"/>
          <w:sz w:val="32"/>
        </w:rPr>
        <w:t>一、《收入支出决算总表》</w:t>
      </w:r>
    </w:p>
    <w:p w14:paraId="6B6FB2F2">
      <w:pPr>
        <w:spacing w:line="240" w:lineRule="auto"/>
        <w:ind w:firstLine="640"/>
        <w:jc w:val="both"/>
      </w:pPr>
      <w:r>
        <w:rPr>
          <w:rFonts w:ascii="仿宋_GB2312" w:hAnsi="仿宋_GB2312" w:eastAsia="仿宋_GB2312"/>
          <w:b w:val="0"/>
          <w:sz w:val="32"/>
        </w:rPr>
        <w:t>二、《收入决算表》</w:t>
      </w:r>
    </w:p>
    <w:p w14:paraId="16980E52">
      <w:pPr>
        <w:spacing w:line="240" w:lineRule="auto"/>
        <w:ind w:firstLine="640"/>
        <w:jc w:val="both"/>
      </w:pPr>
      <w:r>
        <w:rPr>
          <w:rFonts w:ascii="仿宋_GB2312" w:hAnsi="仿宋_GB2312" w:eastAsia="仿宋_GB2312"/>
          <w:b w:val="0"/>
          <w:sz w:val="32"/>
        </w:rPr>
        <w:t>三、《支出决算表》</w:t>
      </w:r>
    </w:p>
    <w:p w14:paraId="72C428B1">
      <w:pPr>
        <w:spacing w:line="240" w:lineRule="auto"/>
        <w:ind w:firstLine="640"/>
        <w:jc w:val="both"/>
      </w:pPr>
      <w:r>
        <w:rPr>
          <w:rFonts w:ascii="仿宋_GB2312" w:hAnsi="仿宋_GB2312" w:eastAsia="仿宋_GB2312"/>
          <w:b w:val="0"/>
          <w:sz w:val="32"/>
        </w:rPr>
        <w:t>四、《财政拨款收入支出决算总表》</w:t>
      </w:r>
    </w:p>
    <w:p w14:paraId="0FC34343">
      <w:pPr>
        <w:spacing w:line="240" w:lineRule="auto"/>
        <w:ind w:firstLine="640"/>
        <w:jc w:val="both"/>
      </w:pPr>
      <w:r>
        <w:rPr>
          <w:rFonts w:ascii="仿宋_GB2312" w:hAnsi="仿宋_GB2312" w:eastAsia="仿宋_GB2312"/>
          <w:b w:val="0"/>
          <w:sz w:val="32"/>
        </w:rPr>
        <w:t>五、《一般公共预算财政拨款支出决算表》</w:t>
      </w:r>
    </w:p>
    <w:p w14:paraId="0B016D7A">
      <w:pPr>
        <w:spacing w:line="240" w:lineRule="auto"/>
        <w:ind w:firstLine="640"/>
        <w:jc w:val="both"/>
      </w:pPr>
      <w:r>
        <w:rPr>
          <w:rFonts w:ascii="仿宋_GB2312" w:hAnsi="仿宋_GB2312" w:eastAsia="仿宋_GB2312"/>
          <w:b w:val="0"/>
          <w:sz w:val="32"/>
        </w:rPr>
        <w:t>六、《一般公共预算财政拨款基本支出决算表》</w:t>
      </w:r>
    </w:p>
    <w:p w14:paraId="18E1A7E6">
      <w:pPr>
        <w:spacing w:line="240" w:lineRule="auto"/>
        <w:ind w:firstLine="640"/>
        <w:jc w:val="both"/>
      </w:pPr>
      <w:r>
        <w:rPr>
          <w:rFonts w:ascii="仿宋_GB2312" w:hAnsi="仿宋_GB2312" w:eastAsia="仿宋_GB2312"/>
          <w:b w:val="0"/>
          <w:sz w:val="32"/>
        </w:rPr>
        <w:t>七、《政府性基金预算财政拨款收入支出决算表》</w:t>
      </w:r>
    </w:p>
    <w:p w14:paraId="3E6F73C8">
      <w:pPr>
        <w:spacing w:line="240" w:lineRule="auto"/>
        <w:ind w:firstLine="640"/>
        <w:jc w:val="both"/>
      </w:pPr>
      <w:r>
        <w:rPr>
          <w:rFonts w:ascii="仿宋_GB2312" w:hAnsi="仿宋_GB2312" w:eastAsia="仿宋_GB2312"/>
          <w:b w:val="0"/>
          <w:sz w:val="32"/>
        </w:rPr>
        <w:t>八、《国有资本经营预算财政拨款收入支出决算表》</w:t>
      </w:r>
    </w:p>
    <w:p w14:paraId="366F4F64">
      <w:pPr>
        <w:spacing w:line="240" w:lineRule="auto"/>
        <w:ind w:firstLine="640"/>
        <w:jc w:val="both"/>
      </w:pPr>
      <w:r>
        <w:rPr>
          <w:rFonts w:ascii="仿宋_GB2312" w:hAnsi="仿宋_GB2312" w:eastAsia="仿宋_GB2312"/>
          <w:b w:val="0"/>
          <w:sz w:val="32"/>
        </w:rPr>
        <w:t>九、《财政拨款“三公”经费支出决算表》</w:t>
      </w:r>
    </w:p>
    <w:p w14:paraId="623CDE39">
      <w:pPr>
        <w:spacing w:line="240" w:lineRule="auto"/>
        <w:ind w:firstLine="640"/>
        <w:jc w:val="both"/>
      </w:pPr>
    </w:p>
    <w:p w14:paraId="57105B25">
      <w:pPr>
        <w:spacing w:line="240" w:lineRule="auto"/>
        <w:ind w:firstLine="640"/>
        <w:jc w:val="both"/>
      </w:pPr>
    </w:p>
    <w:p w14:paraId="4A4B12B8">
      <w:pPr>
        <w:spacing w:line="240" w:lineRule="auto"/>
        <w:ind w:firstLine="640"/>
        <w:jc w:val="both"/>
      </w:pPr>
    </w:p>
    <w:p w14:paraId="4F4A5578">
      <w:pPr>
        <w:spacing w:line="240" w:lineRule="auto"/>
        <w:ind w:firstLine="640"/>
        <w:jc w:val="both"/>
      </w:pPr>
    </w:p>
    <w:p w14:paraId="5705A3E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293E81"/>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D65B6A"/>
    <w:rsid w:val="2FD27414"/>
    <w:rsid w:val="313F1D52"/>
    <w:rsid w:val="318029AB"/>
    <w:rsid w:val="31C63837"/>
    <w:rsid w:val="320F03AD"/>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7962C0"/>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FEFF70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4823</Words>
  <Characters>5529</Characters>
  <Lines>0</Lines>
  <Paragraphs>0</Paragraphs>
  <TotalTime>6</TotalTime>
  <ScaleCrop>false</ScaleCrop>
  <LinksUpToDate>false</LinksUpToDate>
  <CharactersWithSpaces>5541</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2025-10-13T18:34:37Z</cp:lastPrinted>
  <dcterms:modified xsi:type="dcterms:W3CDTF">2025-10-13T18:34:51Z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