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70D56"/>
    <w:p w14:paraId="1C5EA0A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C97C6A9">
      <w:pPr>
        <w:spacing w:line="540" w:lineRule="exact"/>
        <w:jc w:val="center"/>
        <w:rPr>
          <w:rFonts w:ascii="华文中宋" w:hAnsi="华文中宋" w:eastAsia="华文中宋" w:cs="宋体"/>
          <w:b/>
          <w:kern w:val="0"/>
          <w:sz w:val="52"/>
          <w:szCs w:val="52"/>
        </w:rPr>
      </w:pPr>
    </w:p>
    <w:p w14:paraId="510AD606">
      <w:pPr>
        <w:spacing w:line="540" w:lineRule="exact"/>
        <w:jc w:val="center"/>
        <w:rPr>
          <w:rFonts w:ascii="华文中宋" w:hAnsi="华文中宋" w:eastAsia="华文中宋" w:cs="宋体"/>
          <w:b/>
          <w:kern w:val="0"/>
          <w:sz w:val="52"/>
          <w:szCs w:val="52"/>
        </w:rPr>
      </w:pPr>
    </w:p>
    <w:p w14:paraId="7DEE9207">
      <w:pPr>
        <w:spacing w:line="540" w:lineRule="exact"/>
        <w:jc w:val="center"/>
        <w:rPr>
          <w:rFonts w:ascii="华文中宋" w:hAnsi="华文中宋" w:eastAsia="华文中宋" w:cs="宋体"/>
          <w:b/>
          <w:kern w:val="0"/>
          <w:sz w:val="52"/>
          <w:szCs w:val="52"/>
        </w:rPr>
      </w:pPr>
    </w:p>
    <w:p w14:paraId="601494F3">
      <w:pPr>
        <w:spacing w:line="540" w:lineRule="exact"/>
        <w:jc w:val="center"/>
        <w:rPr>
          <w:rFonts w:ascii="华文中宋" w:hAnsi="华文中宋" w:eastAsia="华文中宋" w:cs="宋体"/>
          <w:b/>
          <w:kern w:val="0"/>
          <w:sz w:val="52"/>
          <w:szCs w:val="52"/>
        </w:rPr>
      </w:pPr>
    </w:p>
    <w:p w14:paraId="045EF6D9">
      <w:pPr>
        <w:spacing w:line="540" w:lineRule="exact"/>
        <w:jc w:val="center"/>
        <w:rPr>
          <w:rFonts w:ascii="华文中宋" w:hAnsi="华文中宋" w:eastAsia="华文中宋" w:cs="宋体"/>
          <w:b/>
          <w:kern w:val="0"/>
          <w:sz w:val="52"/>
          <w:szCs w:val="52"/>
        </w:rPr>
      </w:pPr>
    </w:p>
    <w:p w14:paraId="6F7EDF55">
      <w:pPr>
        <w:spacing w:line="540" w:lineRule="exact"/>
        <w:jc w:val="center"/>
        <w:rPr>
          <w:rFonts w:ascii="华文中宋" w:hAnsi="华文中宋" w:eastAsia="华文中宋" w:cs="宋体"/>
          <w:b/>
          <w:kern w:val="0"/>
          <w:sz w:val="52"/>
          <w:szCs w:val="52"/>
        </w:rPr>
      </w:pPr>
    </w:p>
    <w:p w14:paraId="2D75B98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682D18C">
      <w:pPr>
        <w:spacing w:line="540" w:lineRule="exact"/>
        <w:jc w:val="center"/>
        <w:rPr>
          <w:rFonts w:ascii="华文中宋" w:hAnsi="华文中宋" w:eastAsia="华文中宋" w:cs="宋体"/>
          <w:b/>
          <w:kern w:val="0"/>
          <w:sz w:val="52"/>
          <w:szCs w:val="52"/>
        </w:rPr>
      </w:pPr>
    </w:p>
    <w:p w14:paraId="663F924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E7CECBA">
      <w:pPr>
        <w:spacing w:line="540" w:lineRule="exact"/>
        <w:jc w:val="center"/>
        <w:rPr>
          <w:rFonts w:hAnsi="宋体" w:eastAsia="仿宋_GB2312" w:cs="宋体"/>
          <w:kern w:val="0"/>
          <w:sz w:val="30"/>
          <w:szCs w:val="30"/>
        </w:rPr>
      </w:pPr>
    </w:p>
    <w:p w14:paraId="7E1BFB12">
      <w:pPr>
        <w:spacing w:line="540" w:lineRule="exact"/>
        <w:jc w:val="center"/>
        <w:rPr>
          <w:rFonts w:hAnsi="宋体" w:eastAsia="仿宋_GB2312" w:cs="宋体"/>
          <w:kern w:val="0"/>
          <w:sz w:val="30"/>
          <w:szCs w:val="30"/>
        </w:rPr>
      </w:pPr>
    </w:p>
    <w:p w14:paraId="58D38C4A">
      <w:pPr>
        <w:spacing w:line="540" w:lineRule="exact"/>
        <w:jc w:val="center"/>
        <w:rPr>
          <w:rFonts w:hAnsi="宋体" w:eastAsia="仿宋_GB2312" w:cs="宋体"/>
          <w:kern w:val="0"/>
          <w:sz w:val="30"/>
          <w:szCs w:val="30"/>
        </w:rPr>
      </w:pPr>
    </w:p>
    <w:p w14:paraId="3EEB8D39">
      <w:pPr>
        <w:spacing w:line="540" w:lineRule="exact"/>
        <w:jc w:val="center"/>
        <w:rPr>
          <w:rFonts w:hAnsi="宋体" w:eastAsia="仿宋_GB2312" w:cs="宋体"/>
          <w:kern w:val="0"/>
          <w:sz w:val="30"/>
          <w:szCs w:val="30"/>
        </w:rPr>
      </w:pPr>
    </w:p>
    <w:p w14:paraId="41ECAA8F">
      <w:pPr>
        <w:spacing w:line="540" w:lineRule="exact"/>
        <w:jc w:val="center"/>
        <w:rPr>
          <w:rFonts w:hAnsi="宋体" w:eastAsia="仿宋_GB2312" w:cs="宋体"/>
          <w:kern w:val="0"/>
          <w:sz w:val="30"/>
          <w:szCs w:val="30"/>
        </w:rPr>
      </w:pPr>
    </w:p>
    <w:p w14:paraId="2A482569">
      <w:pPr>
        <w:spacing w:line="540" w:lineRule="exact"/>
        <w:jc w:val="center"/>
        <w:rPr>
          <w:rFonts w:hAnsi="宋体" w:eastAsia="仿宋_GB2312" w:cs="宋体"/>
          <w:kern w:val="0"/>
          <w:sz w:val="30"/>
          <w:szCs w:val="30"/>
        </w:rPr>
      </w:pPr>
    </w:p>
    <w:p w14:paraId="34D6AC6C">
      <w:pPr>
        <w:spacing w:line="540" w:lineRule="exact"/>
        <w:rPr>
          <w:rFonts w:hAnsi="宋体" w:eastAsia="仿宋_GB2312" w:cs="宋体"/>
          <w:kern w:val="0"/>
          <w:sz w:val="30"/>
          <w:szCs w:val="30"/>
        </w:rPr>
      </w:pPr>
    </w:p>
    <w:p w14:paraId="08E22A3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E6CDAC">
      <w:pPr>
        <w:spacing w:line="700" w:lineRule="exact"/>
        <w:ind w:firstLine="900" w:firstLineChars="250"/>
        <w:jc w:val="left"/>
        <w:rPr>
          <w:rFonts w:hint="eastAsia" w:ascii="仿宋" w:hAnsi="仿宋" w:eastAsia="仿宋" w:cs="仿宋"/>
          <w:b w:val="0"/>
          <w:bCs w:val="0"/>
          <w:kern w:val="0"/>
          <w:sz w:val="36"/>
          <w:szCs w:val="36"/>
        </w:rPr>
      </w:pPr>
      <w:r>
        <w:rPr>
          <w:rFonts w:hint="eastAsia" w:ascii="仿宋" w:hAnsi="仿宋" w:eastAsia="仿宋" w:cs="仿宋"/>
          <w:b w:val="0"/>
          <w:bCs w:val="0"/>
          <w:kern w:val="0"/>
          <w:sz w:val="36"/>
          <w:szCs w:val="36"/>
        </w:rPr>
        <w:t>项目名称：</w:t>
      </w:r>
      <w:r>
        <w:rPr>
          <w:rStyle w:val="19"/>
          <w:rFonts w:hint="eastAsia" w:ascii="仿宋" w:hAnsi="仿宋" w:eastAsia="仿宋" w:cs="仿宋"/>
          <w:b w:val="0"/>
          <w:bCs w:val="0"/>
          <w:spacing w:val="-4"/>
          <w:sz w:val="32"/>
          <w:szCs w:val="32"/>
        </w:rPr>
        <w:t>2024年检验检测业务经费</w:t>
      </w:r>
    </w:p>
    <w:p w14:paraId="17D32479">
      <w:pPr>
        <w:spacing w:line="540" w:lineRule="exact"/>
        <w:ind w:firstLine="567"/>
        <w:rPr>
          <w:rFonts w:hint="eastAsia" w:ascii="仿宋" w:hAnsi="仿宋" w:eastAsia="仿宋" w:cs="仿宋"/>
          <w:b w:val="0"/>
          <w:bCs w:val="0"/>
          <w:spacing w:val="-4"/>
          <w:sz w:val="32"/>
          <w:szCs w:val="32"/>
        </w:rPr>
      </w:pPr>
      <w:r>
        <w:rPr>
          <w:rFonts w:hint="eastAsia" w:ascii="仿宋" w:hAnsi="仿宋" w:eastAsia="仿宋" w:cs="仿宋"/>
          <w:b w:val="0"/>
          <w:bCs w:val="0"/>
          <w:kern w:val="0"/>
          <w:sz w:val="36"/>
          <w:szCs w:val="36"/>
        </w:rPr>
        <w:t xml:space="preserve">  实施单位（公章）：</w:t>
      </w:r>
      <w:r>
        <w:rPr>
          <w:rStyle w:val="19"/>
          <w:rFonts w:hint="eastAsia" w:ascii="仿宋" w:hAnsi="仿宋" w:eastAsia="仿宋" w:cs="仿宋"/>
          <w:b w:val="0"/>
          <w:bCs w:val="0"/>
          <w:spacing w:val="-4"/>
          <w:sz w:val="28"/>
          <w:szCs w:val="28"/>
        </w:rPr>
        <w:t>和田地区质量与计量检测所</w:t>
      </w:r>
    </w:p>
    <w:p w14:paraId="090BB03F">
      <w:pPr>
        <w:spacing w:line="540" w:lineRule="exact"/>
        <w:ind w:firstLine="900" w:firstLineChars="250"/>
        <w:rPr>
          <w:rFonts w:hint="eastAsia" w:ascii="仿宋" w:hAnsi="仿宋" w:eastAsia="仿宋" w:cs="仿宋"/>
          <w:b w:val="0"/>
          <w:bCs w:val="0"/>
          <w:spacing w:val="-4"/>
          <w:sz w:val="28"/>
          <w:szCs w:val="28"/>
        </w:rPr>
      </w:pPr>
      <w:r>
        <w:rPr>
          <w:rFonts w:hint="eastAsia" w:ascii="仿宋" w:hAnsi="仿宋" w:eastAsia="仿宋" w:cs="仿宋"/>
          <w:b w:val="0"/>
          <w:bCs w:val="0"/>
          <w:kern w:val="0"/>
          <w:sz w:val="36"/>
          <w:szCs w:val="36"/>
        </w:rPr>
        <w:t>主管部门（公章）：</w:t>
      </w:r>
      <w:r>
        <w:rPr>
          <w:rStyle w:val="19"/>
          <w:rFonts w:hint="eastAsia" w:ascii="仿宋" w:hAnsi="仿宋" w:eastAsia="仿宋" w:cs="仿宋"/>
          <w:b w:val="0"/>
          <w:bCs w:val="0"/>
          <w:spacing w:val="-4"/>
          <w:sz w:val="28"/>
          <w:szCs w:val="28"/>
        </w:rPr>
        <w:t>和田地区质量与计量检测所</w:t>
      </w:r>
    </w:p>
    <w:p w14:paraId="361455A7">
      <w:pPr>
        <w:spacing w:line="540" w:lineRule="exact"/>
        <w:ind w:firstLine="900" w:firstLineChars="250"/>
        <w:rPr>
          <w:rFonts w:hint="eastAsia" w:ascii="仿宋" w:hAnsi="仿宋" w:eastAsia="仿宋" w:cs="仿宋"/>
          <w:b w:val="0"/>
          <w:bCs w:val="0"/>
          <w:spacing w:val="-4"/>
          <w:sz w:val="32"/>
          <w:szCs w:val="32"/>
        </w:rPr>
      </w:pPr>
      <w:r>
        <w:rPr>
          <w:rFonts w:hint="eastAsia" w:ascii="仿宋" w:hAnsi="仿宋" w:eastAsia="仿宋" w:cs="仿宋"/>
          <w:b w:val="0"/>
          <w:bCs w:val="0"/>
          <w:kern w:val="0"/>
          <w:sz w:val="36"/>
          <w:szCs w:val="36"/>
        </w:rPr>
        <w:t>项目负责人（签章）：</w:t>
      </w:r>
      <w:r>
        <w:rPr>
          <w:rStyle w:val="19"/>
          <w:rFonts w:hint="eastAsia" w:ascii="仿宋" w:hAnsi="仿宋" w:eastAsia="仿宋" w:cs="仿宋"/>
          <w:b w:val="0"/>
          <w:bCs w:val="0"/>
          <w:spacing w:val="-4"/>
          <w:sz w:val="32"/>
          <w:szCs w:val="32"/>
        </w:rPr>
        <w:t>邢江峰</w:t>
      </w:r>
    </w:p>
    <w:p w14:paraId="54A5FCA2">
      <w:pPr>
        <w:spacing w:line="540" w:lineRule="exact"/>
        <w:ind w:left="273" w:firstLine="567"/>
        <w:rPr>
          <w:rStyle w:val="19"/>
          <w:rFonts w:hint="eastAsia" w:ascii="仿宋" w:hAnsi="仿宋" w:eastAsia="仿宋" w:cs="仿宋"/>
          <w:b w:val="0"/>
          <w:bCs w:val="0"/>
          <w:spacing w:val="-4"/>
          <w:sz w:val="32"/>
          <w:szCs w:val="32"/>
        </w:rPr>
      </w:pPr>
      <w:r>
        <w:rPr>
          <w:rFonts w:hint="eastAsia" w:ascii="仿宋" w:hAnsi="仿宋" w:eastAsia="仿宋" w:cs="仿宋"/>
          <w:b w:val="0"/>
          <w:bCs w:val="0"/>
          <w:kern w:val="0"/>
          <w:sz w:val="36"/>
          <w:szCs w:val="36"/>
        </w:rPr>
        <w:t>填报时间：</w:t>
      </w:r>
      <w:r>
        <w:rPr>
          <w:rStyle w:val="19"/>
          <w:rFonts w:hint="eastAsia" w:ascii="仿宋" w:hAnsi="仿宋" w:eastAsia="仿宋" w:cs="仿宋"/>
          <w:b w:val="0"/>
          <w:bCs w:val="0"/>
          <w:spacing w:val="-4"/>
          <w:sz w:val="32"/>
          <w:szCs w:val="32"/>
        </w:rPr>
        <w:t>2025年03月13日</w:t>
      </w:r>
    </w:p>
    <w:p w14:paraId="4431F5CA">
      <w:pPr>
        <w:spacing w:line="540" w:lineRule="exact"/>
        <w:rPr>
          <w:rStyle w:val="19"/>
          <w:rFonts w:ascii="黑体" w:hAnsi="黑体" w:eastAsia="黑体"/>
          <w:b w:val="0"/>
          <w:spacing w:val="-4"/>
          <w:sz w:val="32"/>
          <w:szCs w:val="32"/>
        </w:rPr>
      </w:pPr>
    </w:p>
    <w:p w14:paraId="6C25C746">
      <w:pPr>
        <w:numPr>
          <w:ilvl w:val="0"/>
          <w:numId w:val="1"/>
        </w:numPr>
        <w:spacing w:line="540" w:lineRule="exact"/>
        <w:ind w:firstLine="627" w:firstLineChars="200"/>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基本情况</w:t>
      </w:r>
    </w:p>
    <w:p w14:paraId="533E8854">
      <w:pPr>
        <w:numPr>
          <w:ilvl w:val="0"/>
          <w:numId w:val="0"/>
        </w:numPr>
        <w:spacing w:line="540" w:lineRule="exact"/>
        <w:ind w:firstLine="627" w:firstLineChars="200"/>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（一）项目概况</w:t>
      </w:r>
    </w:p>
    <w:p w14:paraId="5D7B918A">
      <w:pPr>
        <w:spacing w:line="540" w:lineRule="exact"/>
        <w:ind w:firstLine="627" w:firstLineChars="200"/>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1.项目背景</w:t>
      </w:r>
    </w:p>
    <w:p w14:paraId="697EA305">
      <w:p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在当今社会，我单位实施检验检测项目具有极其重要的意义。项目实施前，社会实际中存在着诸多状况和待解决的问题。</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一方面，市场上产品质量参差不齐，假冒伪劣产品时有出现，这不仅损害了消费者的权益，也影响了整个市场的健康发展。消费者在面对众多商品时，难以准确判断其质量和安全性，导致购买决策存在较大风险。</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另一方面，各行业缺乏统一的质量标准和规范的检测手段，使得企业在生产过程中缺乏明确的指引，容易导致产品质量不稳定。同时，一些企业为了降低成本而忽视质量控制，进一步加剧了质量问题的严重性。在计量领域，不准确的计量器具可能导致贸易纠纷、资源浪费等问题，影响社会公平和经济秩序。而本单位检验检测项目的实施，可以有效改善这些问题。首先，通过严格的检测，可以将不合格产品阻挡在市场之外，保障消费者的人身安全和财产安全，提升消费者对市场的信心，促进消费增长。其次，为企业提供了明确的质量标准和检测依据，有助于企业提升产品质量，增强市场竞争力，推动产业升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解决这些问题后，能带来多方面的积极影响。从消费者角度看，能享受到更高质量、更安全可靠的产品和服务，生活品质得到提升。从企业角度看，有助于塑造良好的品牌形象，提高企业的经济效益。对于整个社会而言，有利于营造公平竞争的市场环境，促进经济的可持续发展。同时，准确的计量检测能确保资源的合理分配和公平交易，维护社会的和谐稳定。</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总之，本单位检验检测项目的实施是应对社会现实问题的重要举措，对改善产品质量、保障消费者权益、推动经济发展和社会进步都具有不可替代的作用，特此设立本项目。</w:t>
      </w:r>
    </w:p>
    <w:p w14:paraId="140971B6">
      <w:pPr>
        <w:numPr>
          <w:ilvl w:val="0"/>
          <w:numId w:val="0"/>
        </w:numPr>
        <w:spacing w:line="540" w:lineRule="exact"/>
        <w:ind w:leftChars="304"/>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lang w:val="en-US" w:eastAsia="zh-CN"/>
        </w:rPr>
        <w:t>2.</w:t>
      </w:r>
      <w:r>
        <w:rPr>
          <w:rStyle w:val="19"/>
          <w:rFonts w:hint="eastAsia" w:ascii="仿宋" w:hAnsi="仿宋" w:eastAsia="仿宋" w:cs="仿宋"/>
          <w:b/>
          <w:bCs/>
          <w:spacing w:val="-4"/>
          <w:sz w:val="32"/>
          <w:szCs w:val="32"/>
        </w:rPr>
        <w:t>主要内容</w:t>
      </w:r>
    </w:p>
    <w:p w14:paraId="00739D47">
      <w:pPr>
        <w:numPr>
          <w:ilvl w:val="0"/>
          <w:numId w:val="0"/>
        </w:num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严格按照国家标准、行业标准和企业标准，对产品的物理性能、化学性能、机械性能、电气性能等进行全面检测。例如对食品的营养成分、污染物含量进行分析；对机械产品的强度、精度进行测试；对电子设备的电磁兼容性进行评估等。在计量方面，对各种计量器具进行校准和检定，确保量值的准确可靠。同时，还开展质量认证、体系审核等相关服务，帮助企业建立完善的质量管理体系。此外，不断跟踪国内外最新的技术标准和检测方法，及时更新自身的技术能力和服务水平，以适应市场和行业的不断发展变化。</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3.实施情况</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实施主体：</w:t>
      </w:r>
      <w:r>
        <w:rPr>
          <w:rStyle w:val="19"/>
          <w:rFonts w:hint="eastAsia" w:ascii="仿宋" w:hAnsi="仿宋" w:eastAsia="仿宋" w:cs="仿宋"/>
          <w:b w:val="0"/>
          <w:bCs w:val="0"/>
          <w:spacing w:val="-4"/>
          <w:sz w:val="32"/>
          <w:szCs w:val="32"/>
        </w:rPr>
        <w:t>和田地区质量与计量检测所</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实施时间：</w:t>
      </w:r>
      <w:r>
        <w:rPr>
          <w:rStyle w:val="19"/>
          <w:rFonts w:hint="eastAsia" w:ascii="仿宋" w:hAnsi="仿宋" w:eastAsia="仿宋" w:cs="仿宋"/>
          <w:b w:val="0"/>
          <w:bCs w:val="0"/>
          <w:spacing w:val="-4"/>
          <w:sz w:val="32"/>
          <w:szCs w:val="32"/>
        </w:rPr>
        <w:t>本项目实施期限为2024年1月—2024年12月。</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实施情况：</w:t>
      </w:r>
      <w:r>
        <w:rPr>
          <w:rStyle w:val="19"/>
          <w:rFonts w:hint="eastAsia" w:ascii="仿宋" w:hAnsi="仿宋" w:eastAsia="仿宋" w:cs="仿宋"/>
          <w:b w:val="0"/>
          <w:bCs w:val="0"/>
          <w:spacing w:val="-4"/>
          <w:sz w:val="32"/>
          <w:szCs w:val="32"/>
        </w:rPr>
        <w:t>本项目的实施符合根据新《中华人民共和国预算法》和《中华人民共和国预算法实施条例》的有关规定，为体现综合预算的思想，和和田地区财政局《关于下达2023年部门预算批复的通知》（和地财预〔2023〕1号）相关政策要求,保障本单位50.00%以上专业技术人员的培训费及差旅费用；和田地区质量与计量检测所和田县检测中心招录临聘人员并保障临聘人员工资；和田地区质量与计量检测所和田县检测中心水、电费；常态化疫情防控消毒专用物资费用；用于保障正常开展质量与计量检测工作，更好地承担全地区医疗卫生、安全防护、环境监测、贸易结算等领域计量器具的检定、校准工作，使全地区计量器具受检率达95%以上。在质检工作方面，年检验各类产品质量3000多批次，为我地区经济社会发展做出了积极贡献。</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4.资金投入和使用情况</w:t>
      </w:r>
    </w:p>
    <w:p w14:paraId="625E0672">
      <w:pPr>
        <w:numPr>
          <w:ilvl w:val="0"/>
          <w:numId w:val="2"/>
        </w:numPr>
        <w:spacing w:line="540" w:lineRule="exact"/>
        <w:ind w:left="951" w:leftChars="304" w:hanging="313" w:hangingChars="100"/>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项目资金安排落实、总投入等情况分析</w:t>
      </w:r>
    </w:p>
    <w:p w14:paraId="7E9C7BD2">
      <w:pPr>
        <w:numPr>
          <w:ilvl w:val="0"/>
          <w:numId w:val="0"/>
        </w:num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本项目预算安排总额为184.92万元，资金来源为本级部门预算，其中：财政资金184.92万元，其他资金0万元，2024年实际收到预算资金184.92万元，预算资金到位率为100%。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（2）项目资金实际使用情况分析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本项目实际支付资金184.92万元，预算执行率100%。本项目资金主要用于支付参加培训人员培训费及单位工作人员差旅费50万元、临聘人员工资、办公费以及其他单位运转费134.92万元。</w:t>
      </w:r>
    </w:p>
    <w:p w14:paraId="53B5AE08">
      <w:pPr>
        <w:spacing w:line="540" w:lineRule="exact"/>
        <w:ind w:firstLine="567"/>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（二）项目绩效目标</w:t>
      </w:r>
    </w:p>
    <w:p w14:paraId="2D112908">
      <w:pPr>
        <w:spacing w:line="540" w:lineRule="exact"/>
        <w:ind w:firstLine="627" w:firstLineChars="200"/>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1.总体目标</w:t>
      </w:r>
    </w:p>
    <w:p w14:paraId="59B82F1B">
      <w:p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资金184.92万元，其中：184.92万元，其他资金0.00万元。1.50.00%以上专业技术人员的培训费及差旅费用；2.和田地区质量与计量检测所和田县检测中心招录临聘人员；3.和田地区质量与计量检测所和田县检测中心水、电费。在质检工作方面，年检验各类产品质量3000多批次，为我地区经济社会发展做出了积极贡献。</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2.阶段性目标</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项目前期准备工作：</w:t>
      </w:r>
      <w:r>
        <w:rPr>
          <w:rStyle w:val="19"/>
          <w:rFonts w:hint="eastAsia" w:ascii="仿宋" w:hAnsi="仿宋" w:eastAsia="仿宋" w:cs="仿宋"/>
          <w:b w:val="0"/>
          <w:bCs w:val="0"/>
          <w:spacing w:val="-4"/>
          <w:sz w:val="32"/>
          <w:szCs w:val="32"/>
        </w:rPr>
        <w:t>2024 年1月至2024 年3月，完成项目启动、需求分析、可行性论证及资源调配。</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项目实施：</w:t>
      </w:r>
      <w:r>
        <w:rPr>
          <w:rStyle w:val="19"/>
          <w:rFonts w:hint="eastAsia" w:ascii="仿宋" w:hAnsi="仿宋" w:eastAsia="仿宋" w:cs="仿宋"/>
          <w:b w:val="0"/>
          <w:bCs w:val="0"/>
          <w:spacing w:val="-4"/>
          <w:sz w:val="32"/>
          <w:szCs w:val="32"/>
        </w:rPr>
        <w:t>2024年4月至2024年10月，按计划推进检验检测业务的顺利进行，确保质量与进度双达标。</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项目完成：</w:t>
      </w:r>
      <w:r>
        <w:rPr>
          <w:rStyle w:val="19"/>
          <w:rFonts w:hint="eastAsia" w:ascii="仿宋" w:hAnsi="仿宋" w:eastAsia="仿宋" w:cs="仿宋"/>
          <w:b w:val="0"/>
          <w:bCs w:val="0"/>
          <w:spacing w:val="-4"/>
          <w:sz w:val="32"/>
          <w:szCs w:val="32"/>
        </w:rPr>
        <w:t>2024年11月2024年12月，完成验收交付、成果总结与长效机制建立。在质检工作方面，年检验各类产品质量3000多批次，为我地区经济社会发展做出了积极贡献。</w:t>
      </w:r>
    </w:p>
    <w:p w14:paraId="685D8E22">
      <w:pPr>
        <w:spacing w:line="540" w:lineRule="exact"/>
        <w:ind w:firstLine="640"/>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二、绩效评价工作开展情况</w:t>
      </w:r>
    </w:p>
    <w:p w14:paraId="5ED17A67">
      <w:pPr>
        <w:spacing w:line="540" w:lineRule="exact"/>
        <w:ind w:firstLine="627" w:firstLineChars="200"/>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（一）绩效评价目的、对象和范围</w:t>
      </w:r>
    </w:p>
    <w:p w14:paraId="6AC45E2C">
      <w:pPr>
        <w:spacing w:line="540" w:lineRule="exact"/>
        <w:ind w:firstLine="627" w:firstLineChars="200"/>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1.绩效评价的目的</w:t>
      </w:r>
    </w:p>
    <w:p w14:paraId="152F462F">
      <w:p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检验检测业务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一是：</w:t>
      </w:r>
      <w:r>
        <w:rPr>
          <w:rStyle w:val="19"/>
          <w:rFonts w:hint="eastAsia" w:ascii="仿宋" w:hAnsi="仿宋" w:eastAsia="仿宋" w:cs="仿宋"/>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二是：</w:t>
      </w:r>
      <w:r>
        <w:rPr>
          <w:rStyle w:val="19"/>
          <w:rFonts w:hint="eastAsia" w:ascii="仿宋" w:hAnsi="仿宋" w:eastAsia="仿宋" w:cs="仿宋"/>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三是：</w:t>
      </w:r>
      <w:r>
        <w:rPr>
          <w:rStyle w:val="19"/>
          <w:rFonts w:hint="eastAsia" w:ascii="仿宋" w:hAnsi="仿宋" w:eastAsia="仿宋" w:cs="仿宋"/>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E777691">
      <w:pPr>
        <w:spacing w:line="540" w:lineRule="exact"/>
        <w:ind w:firstLine="627"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四是：</w:t>
      </w:r>
      <w:r>
        <w:rPr>
          <w:rStyle w:val="19"/>
          <w:rFonts w:hint="eastAsia" w:ascii="仿宋" w:hAnsi="仿宋" w:eastAsia="仿宋" w:cs="仿宋"/>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2.绩效评价对象</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此次我单位根据《财政支出绩效评价管理暂行办法》（财预〔2020〕10号）文件要求实施评价工作，本次评价对象为检验检测业务经费项目开展本次部门项目，评价核心为项目的资金投入、产出及效益。</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3.绩效评价范围</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B6EEE29">
      <w:pPr>
        <w:spacing w:line="540" w:lineRule="exact"/>
        <w:ind w:firstLine="627" w:firstLineChars="200"/>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（二）绩效评价原则、评价指标体系、评价方法、评价标准</w:t>
      </w:r>
    </w:p>
    <w:p w14:paraId="51E115FD">
      <w:pPr>
        <w:spacing w:line="540" w:lineRule="exact"/>
        <w:ind w:firstLine="627" w:firstLineChars="200"/>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1.绩效评价原则</w:t>
      </w:r>
    </w:p>
    <w:p w14:paraId="11A8DDBA">
      <w:p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依据《中华人民共和国预算法》《中共中央</w:t>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（1）科学公正。</w:t>
      </w:r>
      <w:r>
        <w:rPr>
          <w:rStyle w:val="19"/>
          <w:rFonts w:hint="eastAsia" w:ascii="仿宋" w:hAnsi="仿宋" w:eastAsia="仿宋" w:cs="仿宋"/>
          <w:b w:val="0"/>
          <w:bCs w:val="0"/>
          <w:spacing w:val="-4"/>
          <w:sz w:val="32"/>
          <w:szCs w:val="32"/>
        </w:rPr>
        <w:t>绩效评价应当运用科学合理的方法，按照规范的程序，对项目绩效进行客观、公正地反映。</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（2）统筹兼顾。</w:t>
      </w:r>
      <w:r>
        <w:rPr>
          <w:rStyle w:val="19"/>
          <w:rFonts w:hint="eastAsia" w:ascii="仿宋" w:hAnsi="仿宋" w:eastAsia="仿宋" w:cs="仿宋"/>
          <w:b w:val="0"/>
          <w:bCs w:val="0"/>
          <w:spacing w:val="-4"/>
          <w:sz w:val="32"/>
          <w:szCs w:val="32"/>
        </w:rPr>
        <w:t>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（3）激励约束。</w:t>
      </w:r>
      <w:r>
        <w:rPr>
          <w:rStyle w:val="19"/>
          <w:rFonts w:hint="eastAsia" w:ascii="仿宋" w:hAnsi="仿宋" w:eastAsia="仿宋" w:cs="仿宋"/>
          <w:b w:val="0"/>
          <w:bCs w:val="0"/>
          <w:spacing w:val="-4"/>
          <w:sz w:val="32"/>
          <w:szCs w:val="32"/>
        </w:rPr>
        <w:t>绩效评价结果应与预算安排、政策调整、改进管理实质性挂钩，体现奖优罚劣和激励相容导向，有效要安排、低效要压减、无效要问责。</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（4）公开透明。</w:t>
      </w:r>
      <w:r>
        <w:rPr>
          <w:rStyle w:val="19"/>
          <w:rFonts w:hint="eastAsia" w:ascii="仿宋" w:hAnsi="仿宋" w:eastAsia="仿宋" w:cs="仿宋"/>
          <w:b w:val="0"/>
          <w:bCs w:val="0"/>
          <w:spacing w:val="-4"/>
          <w:sz w:val="32"/>
          <w:szCs w:val="32"/>
        </w:rPr>
        <w:t>绩效评价结果应依法依规公开，并自觉接受社会监督。</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根据以上原则，绩效评价应遵循如下要求:</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（2）保证评价结果的真实性、公正性，提高评价报告的公信力。</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2.绩效评价指标体系</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 w:hAnsi="仿宋" w:eastAsia="仿宋" w:cs="仿宋"/>
          <w:b w:val="0"/>
          <w:bCs w:val="0"/>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3.评价方法</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定量指标分析环节：</w:t>
      </w:r>
      <w:r>
        <w:rPr>
          <w:rStyle w:val="19"/>
          <w:rFonts w:hint="eastAsia" w:ascii="仿宋" w:hAnsi="仿宋" w:eastAsia="仿宋" w:cs="仿宋"/>
          <w:b w:val="0"/>
          <w:bCs w:val="0"/>
          <w:spacing w:val="-4"/>
          <w:sz w:val="32"/>
          <w:szCs w:val="32"/>
        </w:rPr>
        <w:t>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立项依据充分性：</w:t>
      </w:r>
      <w:r>
        <w:rPr>
          <w:rStyle w:val="19"/>
          <w:rFonts w:hint="eastAsia" w:ascii="仿宋" w:hAnsi="仿宋" w:eastAsia="仿宋" w:cs="仿宋"/>
          <w:b w:val="0"/>
          <w:bCs w:val="0"/>
          <w:spacing w:val="-4"/>
          <w:sz w:val="32"/>
          <w:szCs w:val="32"/>
        </w:rPr>
        <w:t>比较法、文献法，查找法律法规政策以及规划，对比实际执行内容和政策支持内容是否匹配。</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绩效目标合理性：</w:t>
      </w:r>
      <w:r>
        <w:rPr>
          <w:rStyle w:val="19"/>
          <w:rFonts w:hint="eastAsia" w:ascii="仿宋" w:hAnsi="仿宋" w:eastAsia="仿宋" w:cs="仿宋"/>
          <w:b w:val="0"/>
          <w:bCs w:val="0"/>
          <w:spacing w:val="-4"/>
          <w:sz w:val="32"/>
          <w:szCs w:val="32"/>
        </w:rPr>
        <w:t>比较法，对比分析年初编制项目支出绩效目标表与项目内容的相关性、资金的匹配性等。</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绩效指标明确性：比较法，比较分析年初编制项目支出绩效目标表是否符合双七原则，是否可衡量。</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预算编制科学性：</w:t>
      </w:r>
      <w:r>
        <w:rPr>
          <w:rStyle w:val="19"/>
          <w:rFonts w:hint="eastAsia" w:ascii="仿宋" w:hAnsi="仿宋" w:eastAsia="仿宋" w:cs="仿宋"/>
          <w:b w:val="0"/>
          <w:bCs w:val="0"/>
          <w:spacing w:val="-4"/>
          <w:sz w:val="32"/>
          <w:szCs w:val="32"/>
        </w:rPr>
        <w:t>成本效益分析法，分析在产出一定的情况下，成本取值是否有依据，是否经过询价，是否按照市场最低成本编制。</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资金分配合理性：</w:t>
      </w:r>
      <w:r>
        <w:rPr>
          <w:rStyle w:val="19"/>
          <w:rFonts w:hint="eastAsia" w:ascii="仿宋" w:hAnsi="仿宋" w:eastAsia="仿宋" w:cs="仿宋"/>
          <w:b w:val="0"/>
          <w:bCs w:val="0"/>
          <w:spacing w:val="-4"/>
          <w:sz w:val="32"/>
          <w:szCs w:val="32"/>
        </w:rPr>
        <w:t>因素分析法，综合分析资金的分配依据是否充分，分配金额是否与项目实施单位需求金额一致，</w:t>
      </w:r>
    </w:p>
    <w:p w14:paraId="7D6134E3">
      <w:pPr>
        <w:spacing w:line="540" w:lineRule="exact"/>
        <w:ind w:left="638" w:leftChars="304" w:firstLine="0" w:firstLineChars="0"/>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资金到位率：</w:t>
      </w:r>
      <w:r>
        <w:rPr>
          <w:rStyle w:val="19"/>
          <w:rFonts w:hint="eastAsia" w:ascii="仿宋" w:hAnsi="仿宋" w:eastAsia="仿宋" w:cs="仿宋"/>
          <w:b w:val="0"/>
          <w:bCs w:val="0"/>
          <w:spacing w:val="-4"/>
          <w:sz w:val="32"/>
          <w:szCs w:val="32"/>
        </w:rPr>
        <w:t>比较法，资金到位率预期指标值应为100%</w:t>
      </w:r>
    </w:p>
    <w:p w14:paraId="535168DD">
      <w:p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通过实际计算，分析实际完成值和预期指标值之间的差距和原因。</w:t>
      </w:r>
    </w:p>
    <w:p w14:paraId="20B7C717">
      <w:pPr>
        <w:spacing w:line="540" w:lineRule="exact"/>
        <w:ind w:firstLine="624" w:firstLineChars="200"/>
        <w:rPr>
          <w:rStyle w:val="19"/>
          <w:rFonts w:hint="eastAsia" w:ascii="仿宋" w:hAnsi="仿宋" w:eastAsia="仿宋" w:cs="仿宋"/>
          <w:b w:val="0"/>
          <w:bCs w:val="0"/>
          <w:spacing w:val="-4"/>
          <w:sz w:val="32"/>
          <w:szCs w:val="32"/>
        </w:rPr>
      </w:pP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预算执行率：</w:t>
      </w:r>
      <w:r>
        <w:rPr>
          <w:rStyle w:val="19"/>
          <w:rFonts w:hint="eastAsia" w:ascii="仿宋" w:hAnsi="仿宋" w:eastAsia="仿宋" w:cs="仿宋"/>
          <w:b w:val="0"/>
          <w:bCs w:val="0"/>
          <w:spacing w:val="-4"/>
          <w:sz w:val="32"/>
          <w:szCs w:val="32"/>
        </w:rPr>
        <w:t>比较法，预算执行率预期指标值应为100%，通过实际计算，分析实际完成值和预期指标值之间的差距和原因。</w:t>
      </w:r>
    </w:p>
    <w:p w14:paraId="36A36EDC">
      <w:pPr>
        <w:spacing w:line="540" w:lineRule="exact"/>
        <w:ind w:firstLine="627" w:firstLineChars="200"/>
        <w:rPr>
          <w:rStyle w:val="19"/>
          <w:rFonts w:hint="eastAsia" w:ascii="仿宋" w:hAnsi="仿宋" w:eastAsia="仿宋" w:cs="仿宋"/>
          <w:b/>
          <w:bCs/>
          <w:spacing w:val="-4"/>
          <w:sz w:val="32"/>
          <w:szCs w:val="32"/>
        </w:rPr>
      </w:pP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资金使用合规性：</w:t>
      </w:r>
      <w:r>
        <w:rPr>
          <w:rStyle w:val="19"/>
          <w:rFonts w:hint="eastAsia" w:ascii="仿宋" w:hAnsi="仿宋" w:eastAsia="仿宋" w:cs="仿宋"/>
          <w:b w:val="0"/>
          <w:bCs w:val="0"/>
          <w:spacing w:val="-4"/>
          <w:sz w:val="32"/>
          <w:szCs w:val="32"/>
        </w:rPr>
        <w:t>文献法、实地勘察法，一是查找资金管理办法，包括专项资金管理办法和单位自有资金管理办法；二是通过查账了解具体开支情况，是否专款专用，是否按照标准支出。</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管理制度健全性：</w:t>
      </w:r>
      <w:r>
        <w:rPr>
          <w:rStyle w:val="19"/>
          <w:rFonts w:hint="eastAsia" w:ascii="仿宋" w:hAnsi="仿宋" w:eastAsia="仿宋" w:cs="仿宋"/>
          <w:b w:val="0"/>
          <w:bCs w:val="0"/>
          <w:spacing w:val="-4"/>
          <w:sz w:val="32"/>
          <w:szCs w:val="32"/>
        </w:rPr>
        <w:t>文献法、比较法，查阅项目实施人员提供的财务和业务管理制度，将已建立的制度与现行的法律法规和政策要求进行对比，分析项目制度的合法性、合规性、完整性。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制度执行有效性：</w:t>
      </w:r>
      <w:r>
        <w:rPr>
          <w:rStyle w:val="19"/>
          <w:rFonts w:hint="eastAsia" w:ascii="仿宋" w:hAnsi="仿宋" w:eastAsia="仿宋" w:cs="仿宋"/>
          <w:b w:val="0"/>
          <w:bCs w:val="0"/>
          <w:spacing w:val="-4"/>
          <w:sz w:val="32"/>
          <w:szCs w:val="32"/>
        </w:rPr>
        <w:t>比较法，结合项目实际实施过程性文件，根据已建设的财务管理制度和项目管理制度综合分析制度执行的有效性。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定量指标：</w:t>
      </w:r>
      <w:r>
        <w:rPr>
          <w:rStyle w:val="19"/>
          <w:rFonts w:hint="eastAsia" w:ascii="仿宋" w:hAnsi="仿宋" w:eastAsia="仿宋" w:cs="仿宋"/>
          <w:b w:val="0"/>
          <w:bCs w:val="0"/>
          <w:spacing w:val="-4"/>
          <w:sz w:val="32"/>
          <w:szCs w:val="32"/>
        </w:rPr>
        <w:t>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定性指标：</w:t>
      </w:r>
      <w:r>
        <w:rPr>
          <w:rStyle w:val="19"/>
          <w:rFonts w:hint="eastAsia" w:ascii="仿宋" w:hAnsi="仿宋" w:eastAsia="仿宋" w:cs="仿宋"/>
          <w:b w:val="0"/>
          <w:bCs w:val="0"/>
          <w:spacing w:val="-4"/>
          <w:sz w:val="32"/>
          <w:szCs w:val="32"/>
        </w:rPr>
        <w:t>公众评判法，通过问卷及抽样调查等方式评本</w:t>
      </w:r>
      <w:r>
        <w:rPr>
          <w:rStyle w:val="19"/>
          <w:rFonts w:hint="eastAsia" w:ascii="仿宋" w:hAnsi="仿宋" w:eastAsia="仿宋" w:cs="仿宋"/>
          <w:b w:val="0"/>
          <w:bCs w:val="0"/>
          <w:spacing w:val="-4"/>
          <w:sz w:val="32"/>
          <w:szCs w:val="32"/>
          <w:lang w:eastAsia="zh-CN"/>
        </w:rPr>
        <w:t>评</w:t>
      </w:r>
      <w:r>
        <w:rPr>
          <w:rStyle w:val="19"/>
          <w:rFonts w:hint="eastAsia" w:ascii="仿宋" w:hAnsi="仿宋" w:eastAsia="仿宋" w:cs="仿宋"/>
          <w:b w:val="0"/>
          <w:bCs w:val="0"/>
          <w:spacing w:val="-4"/>
          <w:sz w:val="32"/>
          <w:szCs w:val="32"/>
        </w:rPr>
        <w:t>项目实施后社会公众对于其实施效果的满意程度。</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4.评价标准</w:t>
      </w:r>
    </w:p>
    <w:p w14:paraId="7EAEE4B6">
      <w:p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6A3E2F1">
      <w:pPr>
        <w:spacing w:line="540" w:lineRule="exact"/>
        <w:ind w:firstLine="567" w:firstLineChars="181"/>
        <w:rPr>
          <w:rStyle w:val="19"/>
          <w:rFonts w:hint="eastAsia" w:ascii="仿宋" w:hAnsi="仿宋" w:eastAsia="仿宋" w:cs="仿宋"/>
          <w:spacing w:val="-4"/>
          <w:sz w:val="32"/>
          <w:szCs w:val="32"/>
        </w:rPr>
      </w:pPr>
      <w:r>
        <w:rPr>
          <w:rStyle w:val="19"/>
          <w:rFonts w:hint="eastAsia" w:ascii="仿宋" w:hAnsi="仿宋" w:eastAsia="仿宋" w:cs="仿宋"/>
          <w:spacing w:val="-4"/>
          <w:sz w:val="32"/>
          <w:szCs w:val="32"/>
        </w:rPr>
        <w:t>（三）绩效评价工作过程</w:t>
      </w:r>
    </w:p>
    <w:p w14:paraId="184D49F6">
      <w:pPr>
        <w:spacing w:line="540" w:lineRule="exact"/>
        <w:ind w:firstLine="627" w:firstLineChars="200"/>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1.前期准备</w:t>
      </w:r>
    </w:p>
    <w:p w14:paraId="01FCC9CF">
      <w:pPr>
        <w:spacing w:line="540" w:lineRule="exact"/>
        <w:ind w:firstLine="624" w:firstLineChars="200"/>
        <w:rPr>
          <w:rStyle w:val="19"/>
          <w:rFonts w:hint="eastAsia" w:ascii="仿宋" w:hAnsi="仿宋" w:eastAsia="仿宋" w:cs="仿宋"/>
          <w:b/>
          <w:bCs/>
          <w:spacing w:val="-4"/>
          <w:sz w:val="32"/>
          <w:szCs w:val="32"/>
        </w:rPr>
      </w:pPr>
      <w:r>
        <w:rPr>
          <w:rStyle w:val="19"/>
          <w:rFonts w:hint="eastAsia" w:ascii="仿宋" w:hAnsi="仿宋" w:eastAsia="仿宋" w:cs="仿宋"/>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李乐康：主要负责全面领导和统筹绩效自评工作，审批绩效自评工作方案和计划，对自评工作的整体进度和质量进行监督和把控，协调解决自评工作中出现的重大问题和争议。蕾湘铃：主要负责协助提供与财务相关的绩效数据和指标信息。对涉及财务方面的绩效评价标准进行解释和说明。审核绩效自评中涉及财务数据的准确性和合理性。从财务角度提出绩效改进的建议和意见。阿卜杜合力力，贾丽娜，罗倩：主要负责按照分工具体负责各自领域或部门的绩效自评工作实施。收集、整理相关绩效数据和资料。对所属业务的绩效情况进行分析和评估，参与制定改进措施和后续行动计划。</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2.组织实施</w:t>
      </w:r>
    </w:p>
    <w:p w14:paraId="72FCDF33">
      <w:p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3.分析评价</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4.撰写与提交评价报告</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5.问题整改</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6.档案整理</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建立和落实档案管理制度，将项目相关资料存档，包括</w:t>
      </w:r>
    </w:p>
    <w:p w14:paraId="07FA3378">
      <w:pPr>
        <w:spacing w:line="540" w:lineRule="exact"/>
        <w:rPr>
          <w:rStyle w:val="19"/>
          <w:rFonts w:hint="eastAsia" w:ascii="仿宋" w:hAnsi="仿宋" w:eastAsia="仿宋" w:cs="仿宋"/>
          <w:b w:val="0"/>
          <w:bCs w:val="0"/>
          <w:spacing w:val="-4"/>
          <w:sz w:val="32"/>
          <w:szCs w:val="32"/>
          <w:lang w:eastAsia="zh-CN"/>
        </w:rPr>
      </w:pPr>
      <w:r>
        <w:rPr>
          <w:rStyle w:val="19"/>
          <w:rFonts w:hint="eastAsia" w:ascii="仿宋" w:hAnsi="仿宋" w:eastAsia="仿宋" w:cs="仿宋"/>
          <w:b w:val="0"/>
          <w:bCs w:val="0"/>
          <w:spacing w:val="-4"/>
          <w:sz w:val="32"/>
          <w:szCs w:val="32"/>
        </w:rPr>
        <w:t>但不限于：评价项目基本情况和相关文件、评价实施方案</w:t>
      </w:r>
      <w:r>
        <w:rPr>
          <w:rStyle w:val="19"/>
          <w:rFonts w:hint="eastAsia" w:ascii="仿宋" w:hAnsi="仿宋" w:eastAsia="仿宋" w:cs="仿宋"/>
          <w:b w:val="0"/>
          <w:bCs w:val="0"/>
          <w:spacing w:val="-4"/>
          <w:sz w:val="32"/>
          <w:szCs w:val="32"/>
          <w:lang w:eastAsia="zh-CN"/>
        </w:rPr>
        <w:t>、</w:t>
      </w:r>
    </w:p>
    <w:p w14:paraId="01EDFD5A">
      <w:pPr>
        <w:spacing w:line="540" w:lineRule="exact"/>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项目支付资料等相关档案。</w:t>
      </w:r>
    </w:p>
    <w:p w14:paraId="73B837B2">
      <w:pPr>
        <w:spacing w:line="540" w:lineRule="exact"/>
        <w:ind w:firstLine="640"/>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三、综合评价情况及评价结论</w:t>
      </w:r>
    </w:p>
    <w:p w14:paraId="205A5800">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bCs w:val="0"/>
          <w:spacing w:val="-4"/>
          <w:sz w:val="32"/>
          <w:szCs w:val="32"/>
        </w:rPr>
        <w:t>（一）综合评价情况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经评价，本项目达成年初设立的绩效目标，在实施过程中取得了良好的成效，具体表现在以下三方面：</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一是：</w:t>
      </w:r>
      <w:r>
        <w:rPr>
          <w:rStyle w:val="19"/>
          <w:rFonts w:hint="eastAsia" w:ascii="仿宋" w:hAnsi="仿宋" w:eastAsia="仿宋" w:cs="仿宋"/>
          <w:b w:val="0"/>
          <w:bCs w:val="0"/>
          <w:spacing w:val="-4"/>
          <w:sz w:val="32"/>
          <w:szCs w:val="32"/>
        </w:rPr>
        <w:t>在项目执行效率方面，项目团队严格按照预定计划推进各项工作，各个环节紧密衔接，没有出现拖延或停滞的情况，确保了项目按时高质量完成。所有任务均在规定时间内顺利交付，为后续工作的开展奠定了坚实基础。</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二是：</w:t>
      </w:r>
      <w:r>
        <w:rPr>
          <w:rStyle w:val="19"/>
          <w:rFonts w:hint="eastAsia" w:ascii="仿宋" w:hAnsi="仿宋" w:eastAsia="仿宋" w:cs="仿宋"/>
          <w:b w:val="0"/>
          <w:bCs w:val="0"/>
          <w:spacing w:val="-4"/>
          <w:sz w:val="32"/>
          <w:szCs w:val="32"/>
        </w:rPr>
        <w:t>在检验检测项目完成成果方面表现卓越。所产出的成果无论是在技术指标、功能完整性还是客户满意度等方面，都达到了极高的水平。每一件样品经过严格的检测和验证，完全符合国家质量与计量检测相关标准和要求，得到了企业和受益人民的广泛认可和好评。</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三是：</w:t>
      </w:r>
      <w:r>
        <w:rPr>
          <w:rStyle w:val="19"/>
          <w:rFonts w:hint="eastAsia" w:ascii="仿宋" w:hAnsi="仿宋" w:eastAsia="仿宋" w:cs="仿宋"/>
          <w:b w:val="0"/>
          <w:bCs w:val="0"/>
          <w:spacing w:val="-4"/>
          <w:sz w:val="32"/>
          <w:szCs w:val="32"/>
        </w:rPr>
        <w:t>在效益实现方面成绩显著。通过本项目的实施，不仅为单位带来了直接的经济效益，还产生了广泛的社会效益。项目成果的应用推动了整个和田地区对质量与计量检测行业的发展和进步，确保了产品符合相关标准和要求，保障了消费者的权益和安全。同时，为企业提供了产品质量评估的科学依据，助力企业优化生产工艺和提升产品质量。在贸易领域，为公平交易提供了保障，避免因质量纠纷导致的经济损失。在产业发展中，引导了行业朝着高质量、高标准的方向发展，推动了产业升级和创新。</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（二）评价结论</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项目决策类指标共设置6个，满分指标6个，权重分21分，得分21分，得分率100%；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过程管理类指标共设置5个，满分指标5个，权重分19分，得分19分，得分率100%；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项目产出类指标共设置7个，满分指标7个，权重分20分，得分20分，得分率100.00%；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项目效益类指标共设置2个，满分指标2个，权重分40分，得分40分，得分率100.00%，详细情况见“附件2：项目综合得分表”。</w:t>
      </w:r>
    </w:p>
    <w:p w14:paraId="57BD35E5">
      <w:pPr>
        <w:spacing w:line="540" w:lineRule="exact"/>
        <w:ind w:firstLine="640"/>
        <w:rPr>
          <w:rStyle w:val="19"/>
          <w:rFonts w:hint="eastAsia" w:ascii="仿宋" w:hAnsi="仿宋" w:eastAsia="仿宋" w:cs="仿宋"/>
        </w:rPr>
      </w:pPr>
      <w:r>
        <w:rPr>
          <w:rStyle w:val="19"/>
          <w:rFonts w:hint="eastAsia" w:ascii="仿宋" w:hAnsi="仿宋" w:eastAsia="仿宋" w:cs="仿宋"/>
          <w:b/>
          <w:bCs w:val="0"/>
          <w:spacing w:val="-4"/>
          <w:sz w:val="32"/>
          <w:szCs w:val="32"/>
        </w:rPr>
        <w:t>四、绩效评价指标分析</w:t>
      </w:r>
      <w:r>
        <w:rPr>
          <w:rStyle w:val="19"/>
          <w:rFonts w:hint="eastAsia" w:ascii="仿宋" w:hAnsi="仿宋" w:eastAsia="仿宋" w:cs="仿宋"/>
        </w:rPr>
        <w:t xml:space="preserve"> </w:t>
      </w:r>
    </w:p>
    <w:p w14:paraId="3B3C0B0D">
      <w:pPr>
        <w:spacing w:line="540" w:lineRule="exact"/>
        <w:ind w:firstLine="567" w:firstLineChars="181"/>
        <w:rPr>
          <w:rFonts w:hint="eastAsia" w:ascii="仿宋" w:hAnsi="仿宋" w:eastAsia="仿宋" w:cs="仿宋"/>
          <w:b/>
          <w:spacing w:val="-4"/>
          <w:sz w:val="32"/>
          <w:szCs w:val="32"/>
        </w:rPr>
      </w:pPr>
      <w:r>
        <w:rPr>
          <w:rFonts w:hint="eastAsia" w:ascii="仿宋" w:hAnsi="仿宋" w:eastAsia="仿宋" w:cs="仿宋"/>
          <w:b/>
          <w:spacing w:val="-4"/>
          <w:sz w:val="32"/>
          <w:szCs w:val="32"/>
        </w:rPr>
        <w:t>（一）</w:t>
      </w:r>
      <w:r>
        <w:rPr>
          <w:rStyle w:val="19"/>
          <w:rFonts w:hint="eastAsia" w:ascii="仿宋" w:hAnsi="仿宋" w:eastAsia="仿宋" w:cs="仿宋"/>
          <w:spacing w:val="-4"/>
          <w:sz w:val="32"/>
          <w:szCs w:val="32"/>
        </w:rPr>
        <w:t>项目决策情况</w:t>
      </w:r>
    </w:p>
    <w:p w14:paraId="22366839">
      <w:pPr>
        <w:tabs>
          <w:tab w:val="center" w:pos="4295"/>
        </w:tabs>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项目决策类指标由3个二级指标和6个三级指标构成，权重分21分，实际得分21分。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1.项目立项情况分析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（1）立项依据充分性</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立项符合《中华人民共和国标准化法》《中华人民共和国产品质量法》《中华人民共和国计量法》中相关规定；本项目立项符合新疆维吾尔自治区和田地区财政局颁发的《关于下达2023年度部门预算批复的通知》（和地财预〔2023〕1号）文件中相关内容，符合行业发展规划和政策要求；本项目立项符合《和田地区质量与计量检测所单位配置内设机构和人员编制规定》中职责范围中“依法承担本地区计量器具强制检定、非强制检定、仲裁检定、校准、型式评价和商品量检测”，属于我单位履职所需；根据《财政资金直接支付申请书》，本项目资金性质为“公共财政预算”功能分类为“其他市场监督管理支出”经济分类为“办公费”属于公共财政支持范围，符合中央、地方事权支出责任划分原则；经检查我单位财政应用平台指标，本项目不存在重复。</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综上所述，本指标满分为5分，根据评分标准得5分，本项目立项依据充分。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（2）立项程序规范性</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完全按照规定的程序申请设立，审批文件、材料符合相关要求，项目立项过程中产生的文件均符合相关要求。本项目为经费类项目，属于经常性项目，项目预算金额为184.92万元，不涉及事前绩效评估和风险评估。</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综上所述，本指标满分为3分，根据评分标准得3分，本项目立项程序规范。</w:t>
      </w:r>
    </w:p>
    <w:p w14:paraId="448A2B64">
      <w:pPr>
        <w:numPr>
          <w:ilvl w:val="0"/>
          <w:numId w:val="0"/>
        </w:numPr>
        <w:tabs>
          <w:tab w:val="center" w:pos="4295"/>
        </w:tabs>
        <w:spacing w:line="540" w:lineRule="exact"/>
        <w:ind w:firstLine="627" w:firstLineChars="200"/>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lang w:val="en-US" w:eastAsia="zh-CN"/>
        </w:rPr>
        <w:t>2.</w:t>
      </w:r>
      <w:r>
        <w:rPr>
          <w:rStyle w:val="19"/>
          <w:rFonts w:hint="eastAsia" w:ascii="仿宋" w:hAnsi="仿宋" w:eastAsia="仿宋" w:cs="仿宋"/>
          <w:b/>
          <w:bCs/>
          <w:spacing w:val="-4"/>
          <w:sz w:val="32"/>
          <w:szCs w:val="32"/>
        </w:rPr>
        <w:t>绩效目标情况分析</w:t>
      </w:r>
    </w:p>
    <w:p w14:paraId="6D641CBF">
      <w:pPr>
        <w:numPr>
          <w:ilvl w:val="0"/>
          <w:numId w:val="0"/>
        </w:numPr>
        <w:tabs>
          <w:tab w:val="center" w:pos="4295"/>
        </w:tabs>
        <w:spacing w:line="540" w:lineRule="exact"/>
        <w:ind w:firstLine="627" w:firstLineChars="200"/>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（1）绩效目标合理性</w:t>
      </w:r>
    </w:p>
    <w:p w14:paraId="381A81C3">
      <w:pPr>
        <w:numPr>
          <w:ilvl w:val="0"/>
          <w:numId w:val="0"/>
        </w:numPr>
        <w:tabs>
          <w:tab w:val="center" w:pos="4295"/>
        </w:tabs>
        <w:spacing w:line="540" w:lineRule="exact"/>
        <w:ind w:firstLine="624" w:firstLineChars="200"/>
        <w:rPr>
          <w:rStyle w:val="19"/>
          <w:rFonts w:hint="eastAsia" w:ascii="仿宋" w:hAnsi="仿宋" w:eastAsia="仿宋" w:cs="仿宋"/>
          <w:b w:val="0"/>
          <w:bCs w:val="0"/>
          <w:spacing w:val="-4"/>
          <w:sz w:val="32"/>
          <w:szCs w:val="32"/>
          <w:lang w:eastAsia="zh-CN"/>
        </w:rPr>
      </w:pPr>
      <w:r>
        <w:rPr>
          <w:rStyle w:val="19"/>
          <w:rFonts w:hint="eastAsia" w:ascii="仿宋" w:hAnsi="仿宋" w:eastAsia="仿宋" w:cs="仿宋"/>
          <w:b w:val="0"/>
          <w:bCs w:val="0"/>
          <w:spacing w:val="-4"/>
          <w:sz w:val="32"/>
          <w:szCs w:val="32"/>
        </w:rPr>
        <w:t>本项目已设置年度绩效目标，具体内容为“项目资金184.92万元，其中：财政资金184.92万元，其他资金0.00万元。50.00%以上专业技术人员的培训费及差旅费用；2、和田地区质量与计量检测所和田县检测中心招录临聘人员”；本项目实际工作内容为：截至2024年12月31日，本项目实际支出资金184.92万元，预算执行率为100.00%。绩效目标与实际工作内容一致，两者具有相关性;本项目按照绩效目标完成了数量指标、质量指标、时效指标、成本指标，绩效目标完成，预期产出效益和效果符合正常的业绩水平。</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综上所述，本指标满分为4分，根据评分标准得4分，本项目绩效目标设置合理。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（2）绩效指标明确性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量化率达70.00%以上。</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综上所述，本指标满分为3分，根据评分标准得3分，本项目所设置绩效指标明确。</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3.资金投入情况分析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（1）预算编制科学性</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本项目预算编制通过我单位汇总工作开展实施内容及经费需求，过会后编制实施方案及资金申请报告上报至财政局申请项目资金，即预算编制较科学且经过论证；</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预算申请内容为支付专业技术人员工资及差旅费、办公费及其他运转经费，项目实际内容为支付专业技术人员工资及差旅费、办公费及其他运转经费，预算申请与《和田地区质量与计量检测所检验检测经费项目实施方案》中涉及的项目内容匹配；</w:t>
      </w:r>
      <w:r>
        <w:rPr>
          <w:rStyle w:val="19"/>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本项目预算申请资金</w:t>
      </w:r>
      <w:r>
        <w:rPr>
          <w:rStyle w:val="19"/>
          <w:rFonts w:hint="eastAsia" w:ascii="仿宋" w:hAnsi="仿宋" w:eastAsia="仿宋" w:cs="仿宋"/>
          <w:b w:val="0"/>
          <w:bCs w:val="0"/>
          <w:spacing w:val="-4"/>
          <w:sz w:val="32"/>
          <w:szCs w:val="32"/>
        </w:rPr>
        <w:t>184.92万元，我单位在预算申请中严格按照单位标准和数量进行核算。本项目预算额度测算依据充分，严格按照标准编制，预算确定资金量与实际工作任务相匹配；</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综上所述，</w:t>
      </w:r>
      <w:r>
        <w:rPr>
          <w:rStyle w:val="19"/>
          <w:rFonts w:hint="eastAsia" w:ascii="仿宋" w:hAnsi="仿宋" w:eastAsia="仿宋" w:cs="仿宋"/>
          <w:b w:val="0"/>
          <w:bCs w:val="0"/>
          <w:spacing w:val="-4"/>
          <w:sz w:val="32"/>
          <w:szCs w:val="32"/>
        </w:rPr>
        <w:t>本指标满分为4分，根据评分标准4分，本项目预算编制科学。</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（2）资金分配合理性</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实际分配资金以《关于申请检验检测业务经费项目资金的请示》和《和田地区质量与计量检测所项目实施方案》为依据进行资金分配，预算资金分配依据充分。根据《和财预（2025年）1号》文件显示本项目实际到位资金136.77万元，实际分配资金与我单位提交申请的资金额度一致，资金分配额度合理，与我单位实际需求相适应。</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综上所述，本指标满分为2分，根据评分标准得2分，本项目资金分配合理。</w:t>
      </w:r>
      <w:r>
        <w:rPr>
          <w:rStyle w:val="19"/>
          <w:rFonts w:hint="eastAsia" w:ascii="仿宋" w:hAnsi="仿宋" w:eastAsia="仿宋" w:cs="仿宋"/>
          <w:b w:val="0"/>
          <w:bCs w:val="0"/>
          <w:spacing w:val="-4"/>
          <w:sz w:val="32"/>
          <w:szCs w:val="32"/>
          <w:lang w:eastAsia="zh-CN"/>
        </w:rPr>
        <w:tab/>
      </w:r>
    </w:p>
    <w:p w14:paraId="2FC552BD">
      <w:pPr>
        <w:spacing w:line="540" w:lineRule="exact"/>
        <w:ind w:firstLine="567" w:firstLineChars="181"/>
        <w:rPr>
          <w:rStyle w:val="19"/>
          <w:rFonts w:hint="eastAsia" w:ascii="仿宋" w:hAnsi="仿宋" w:eastAsia="仿宋" w:cs="仿宋"/>
          <w:b/>
          <w:spacing w:val="-4"/>
          <w:sz w:val="32"/>
          <w:szCs w:val="32"/>
        </w:rPr>
      </w:pP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二</w:t>
      </w:r>
      <w:r>
        <w:rPr>
          <w:rFonts w:hint="eastAsia" w:ascii="仿宋" w:hAnsi="仿宋" w:eastAsia="仿宋" w:cs="仿宋"/>
          <w:b/>
          <w:spacing w:val="-4"/>
          <w:sz w:val="32"/>
          <w:szCs w:val="32"/>
        </w:rPr>
        <w:t>）</w:t>
      </w:r>
      <w:r>
        <w:rPr>
          <w:rStyle w:val="19"/>
          <w:rFonts w:hint="eastAsia" w:ascii="仿宋" w:hAnsi="仿宋" w:eastAsia="仿宋" w:cs="仿宋"/>
          <w:spacing w:val="-4"/>
          <w:sz w:val="32"/>
          <w:szCs w:val="32"/>
        </w:rPr>
        <w:t>项目过程情况</w:t>
      </w:r>
    </w:p>
    <w:p w14:paraId="24BF8F4F">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项目过程管理类指标由2个二级指标和5个三级指标构成，权重分19分，实际得分19分。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1.资金管理情况分析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（1）资金到位率</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本项目预算资金为184.92万元，其中：本级财政安排资金184.92万元，其他资金0万元，实际到位资金184.92万元，资金到位率=（实际到位资金/预算资金）×100%=（184.92万元/184.92万元）*100%=100%。得分=资金到位率*分值=100%*4=4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综上所述，本指标满分为4分，根据评分标准得4分，本项目资金分配合理。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（2）预算执行率</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本项目实际支出资金184.92万元，预算执行率=（实际支出资金/实际到位资金）×100%=（184.92/184.92）*100%=100%。得分=预算执行率*分值=100%*5=5分。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综上所述，本指标满分为5分，根据评分标准得5分，本项目资金分配合理。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（3）资金使用合规性</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通过检查本项目签订的合同、资金申请文件、发票等财务付款凭证，得出本项目资金支出符合国家财经法规、《政府会计制度》以及《和田地区质量与计量检测所资金管理办法》《和田地区质量与计量检测所专项资金管理办法》，资金的拨付有完整的审批程序和手续，资金实际使用方向与预算批复用途一致，不存在截留、挤占、挪用、虚列支出的情况。</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综上所述，本指标满分为4分，根据评分标准得4分，资金支出符合我单位财务管理制度规定。</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2.组织实施情况分析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（1）管理制度健全性</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我单位已制定《和田地区质量与计量检测所资金管理办法》《和田地区质量与计量检测所收支业务管理制度》《和田地区质量与计量检测所政府采购业务管理制度》《和田地区质量与计量检测所合同管理制度》，上述已建立的制度均符合行政事业单位内控管理要求，财务和业务管理制度合法、合规、完整，本项目执行符合上述制度规定。</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综上所述，本指标满分为2分，根据评分标准得2分，项目制度建设健全。</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（2）制度执行有效性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 w:hAnsi="仿宋" w:eastAsia="仿宋" w:cs="仿宋"/>
          <w:b w:val="0"/>
          <w:bCs w:val="0"/>
          <w:spacing w:val="-4"/>
          <w:sz w:val="32"/>
          <w:szCs w:val="32"/>
        </w:rPr>
        <w:t>以及本单位资金管理办法执行，项目启动实施后，为了加快本项目的实施，成立了检验检测经费项目工作领导小组，由党组书记阿卜杜合力力，组长，负责项目的组织工作；罗倩任副组长，负责项目的实施工作；组员包括：吴伟星，主要负责项目监督管理、验收以及资金核拨等工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综上所述，本指标满分为4分，根据评分标准得4分，本项目所建立制度执行有效。</w:t>
      </w:r>
    </w:p>
    <w:p w14:paraId="2CF3AE23">
      <w:pPr>
        <w:spacing w:line="540" w:lineRule="exact"/>
        <w:ind w:firstLine="567" w:firstLineChars="181"/>
        <w:rPr>
          <w:rFonts w:hint="eastAsia" w:ascii="仿宋" w:hAnsi="仿宋" w:eastAsia="仿宋" w:cs="仿宋"/>
          <w:b/>
          <w:spacing w:val="-4"/>
          <w:sz w:val="32"/>
          <w:szCs w:val="32"/>
        </w:rPr>
      </w:pP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三</w:t>
      </w:r>
      <w:r>
        <w:rPr>
          <w:rFonts w:hint="eastAsia" w:ascii="仿宋" w:hAnsi="仿宋" w:eastAsia="仿宋" w:cs="仿宋"/>
          <w:b/>
          <w:spacing w:val="-4"/>
          <w:sz w:val="32"/>
          <w:szCs w:val="32"/>
        </w:rPr>
        <w:t>）</w:t>
      </w:r>
      <w:r>
        <w:rPr>
          <w:rStyle w:val="19"/>
          <w:rFonts w:hint="eastAsia" w:ascii="仿宋" w:hAnsi="仿宋" w:eastAsia="仿宋" w:cs="仿宋"/>
          <w:spacing w:val="-4"/>
          <w:sz w:val="32"/>
          <w:szCs w:val="32"/>
        </w:rPr>
        <w:t>项目产出情况</w:t>
      </w:r>
    </w:p>
    <w:p w14:paraId="0F897AB9">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项目产出类指标由4个二级指标和7个三级指标构成，权重分20分，实际得分20分。</w:t>
      </w:r>
      <w:r>
        <w:rPr>
          <w:rFonts w:hint="eastAsia" w:ascii="仿宋" w:hAnsi="仿宋" w:eastAsia="仿宋" w:cs="仿宋"/>
          <w:b w:val="0"/>
          <w:bCs w:val="0"/>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1.数量指标完成情况分析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“参加专业技术培训人员数”指标:预期指标值为≥21人，实际完成值为21人,指标完成率为100.00%。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“检验检测数量”指标:预期指标值为≥1.2万个，实际完成值为1.2万个,指标完成率为100.00%。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2.质量指标完成情况分析</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“检验检测合格率”指标:预期指标值为≥95.00%，实际完成值为100.00%,指标完成率为100.00%。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“参加培训人员合格率”指标:预期指标值为≥95.00%，实际完成值为100.00%,指标完成率为100.00%。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3.时效指标完成情况分析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“项目完成时间”指标:预期指标值为2024年12月31日之前，实际完成值为2024年12月31日,指标完成率为100.00%。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4.成本指标完成情况分析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“参加培训人员培训费及差旅费”指标:预期指标值为≤50万元，实际完成值为50万元,指标完成率为100.00%。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“专业技术人员工资、办公费以及其他单位运转费”指标:预期指标值为&lt;=144.47万元，实际完成值为144.47万元,指标完成率为100.00%。</w:t>
      </w:r>
    </w:p>
    <w:p w14:paraId="79D9D27B">
      <w:pPr>
        <w:spacing w:line="540" w:lineRule="exact"/>
        <w:ind w:firstLine="567" w:firstLineChars="181"/>
        <w:rPr>
          <w:rFonts w:hint="eastAsia" w:ascii="仿宋" w:hAnsi="仿宋" w:eastAsia="仿宋" w:cs="仿宋"/>
          <w:b/>
          <w:spacing w:val="-4"/>
          <w:sz w:val="32"/>
          <w:szCs w:val="32"/>
        </w:rPr>
      </w:pPr>
      <w:r>
        <w:rPr>
          <w:rFonts w:hint="eastAsia" w:ascii="仿宋" w:hAnsi="仿宋" w:eastAsia="仿宋" w:cs="仿宋"/>
          <w:b/>
          <w:spacing w:val="-4"/>
          <w:sz w:val="32"/>
          <w:szCs w:val="32"/>
        </w:rPr>
        <w:t>（</w:t>
      </w:r>
      <w:r>
        <w:rPr>
          <w:rFonts w:hint="eastAsia" w:ascii="仿宋" w:hAnsi="仿宋" w:eastAsia="仿宋" w:cs="仿宋"/>
          <w:b/>
          <w:spacing w:val="-4"/>
          <w:sz w:val="32"/>
          <w:szCs w:val="32"/>
          <w:lang w:val="en-US" w:eastAsia="zh-CN"/>
        </w:rPr>
        <w:t>四</w:t>
      </w:r>
      <w:r>
        <w:rPr>
          <w:rFonts w:hint="eastAsia" w:ascii="仿宋" w:hAnsi="仿宋" w:eastAsia="仿宋" w:cs="仿宋"/>
          <w:b/>
          <w:spacing w:val="-4"/>
          <w:sz w:val="32"/>
          <w:szCs w:val="32"/>
        </w:rPr>
        <w:t>）</w:t>
      </w:r>
      <w:r>
        <w:rPr>
          <w:rStyle w:val="19"/>
          <w:rFonts w:hint="eastAsia" w:ascii="仿宋" w:hAnsi="仿宋" w:eastAsia="仿宋" w:cs="仿宋"/>
          <w:spacing w:val="-4"/>
          <w:sz w:val="32"/>
          <w:szCs w:val="32"/>
        </w:rPr>
        <w:t>项目效益情况</w:t>
      </w:r>
    </w:p>
    <w:p w14:paraId="574AC2C8">
      <w:pPr>
        <w:spacing w:line="540" w:lineRule="exact"/>
        <w:ind w:firstLine="567"/>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项目效益类指标由2个二级指标和2个三级指标构成，权重分40.00分，实际得分40.00分。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1.经济效益完成情况分析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无。</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2.社会效益完成情况分析</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“保障本地区各类食品质量安全以及计量工具准确性”指标:预期指标值为长期保障，实际完成值为基本达成目标,指标完成率为100.00%。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3.生态效益完成情况分析</w:t>
      </w:r>
      <w:r>
        <w:rPr>
          <w:rFonts w:hint="eastAsia" w:ascii="仿宋" w:hAnsi="仿宋" w:eastAsia="仿宋" w:cs="仿宋"/>
          <w:b/>
          <w:bCs/>
          <w:spacing w:val="-4"/>
          <w:sz w:val="32"/>
          <w:szCs w:val="32"/>
        </w:rPr>
        <w:br w:type="textWrapping"/>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val="0"/>
          <w:bCs w:val="0"/>
          <w:spacing w:val="-4"/>
          <w:sz w:val="32"/>
          <w:szCs w:val="32"/>
        </w:rPr>
        <w:t>无。</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Fonts w:hint="eastAsia" w:ascii="仿宋" w:hAnsi="仿宋" w:eastAsia="仿宋" w:cs="仿宋"/>
          <w:b/>
          <w:bCs/>
          <w:spacing w:val="-4"/>
          <w:sz w:val="32"/>
          <w:szCs w:val="32"/>
          <w:lang w:val="en-US" w:eastAsia="zh-CN"/>
        </w:rPr>
        <w:t xml:space="preserve"> </w:t>
      </w:r>
      <w:r>
        <w:rPr>
          <w:rStyle w:val="19"/>
          <w:rFonts w:hint="eastAsia" w:ascii="仿宋" w:hAnsi="仿宋" w:eastAsia="仿宋" w:cs="仿宋"/>
          <w:b/>
          <w:bCs/>
          <w:spacing w:val="-4"/>
          <w:sz w:val="32"/>
          <w:szCs w:val="32"/>
        </w:rPr>
        <w:t>4.可持续影响完成情况分析</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无。</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5.满意度指标完成情况分析</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“受益群众满意度”指标:预期指标值为≥95.00%，实际完成值为100.00%,指标完成率为100.00%。</w:t>
      </w:r>
    </w:p>
    <w:p w14:paraId="2726721D">
      <w:pPr>
        <w:spacing w:line="540" w:lineRule="exact"/>
        <w:ind w:firstLine="640"/>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五、预算执行进度与绩效指标偏差</w:t>
      </w:r>
    </w:p>
    <w:p w14:paraId="58690554">
      <w:pPr>
        <w:spacing w:line="540" w:lineRule="exact"/>
        <w:ind w:firstLine="567"/>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本项目年初预算资金总额为521.01万元，全年预算数为521.01万元，全年执行数为521.01万元，预算执行率为100%。</w:t>
      </w:r>
      <w:r>
        <w:rPr>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本项目共设置三级指标数量8个，满分指标数量8个，扣分指标数量0个，经分析计算所有三级指标完成率得出，本项目总体完成率为100%。</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综上所述本项目预算执行率与总体完成率之间的偏差为0%。</w:t>
      </w:r>
    </w:p>
    <w:p w14:paraId="7B90A637">
      <w:pPr>
        <w:spacing w:line="540" w:lineRule="exact"/>
        <w:ind w:firstLine="640"/>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六、主要经验及做法、存在的问题及原因分析</w:t>
      </w:r>
    </w:p>
    <w:p w14:paraId="7332C64D">
      <w:pPr>
        <w:spacing w:line="540" w:lineRule="exact"/>
        <w:ind w:firstLine="627" w:firstLineChars="200"/>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rPr>
        <w:t>（一）主要经验及做法</w:t>
      </w:r>
    </w:p>
    <w:p w14:paraId="6674C00C">
      <w:pPr>
        <w:spacing w:line="540" w:lineRule="exact"/>
        <w:ind w:firstLine="624" w:firstLineChars="200"/>
        <w:rPr>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本年度，我单位进一步加强项目立项的科学性。在立项阶段，进一步规范项目申报程序，加强申报材料中有关绩效目标设置的合理性与可考核性、项目建设内容与建设目标、预算资金总量的匹配性、合理性等方面的设置与落实，提升项目立项的科学性。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bCs/>
          <w:spacing w:val="-4"/>
          <w:sz w:val="32"/>
          <w:szCs w:val="32"/>
        </w:rPr>
        <w:t>（二）存在的问题及原因分析</w:t>
      </w:r>
      <w:r>
        <w:rPr>
          <w:rFonts w:hint="eastAsia" w:ascii="仿宋" w:hAnsi="仿宋" w:eastAsia="仿宋" w:cs="仿宋"/>
          <w:b/>
          <w:bCs/>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1.对各项指标和指标值需进一步优化、完善，主要在细化、量化上改进。</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2.自评价工作还存在自我审定的局限性，会影响评价质量；缺少带着问题去评价的意识；现场评价的工作量少，后续效益评价具体措施和方法较少。</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14:paraId="738F4292">
      <w:pPr>
        <w:spacing w:line="540" w:lineRule="exact"/>
        <w:ind w:firstLine="640"/>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lang w:val="en-US" w:eastAsia="zh-CN"/>
        </w:rPr>
        <w:t>七</w:t>
      </w:r>
      <w:r>
        <w:rPr>
          <w:rStyle w:val="19"/>
          <w:rFonts w:hint="eastAsia" w:ascii="仿宋" w:hAnsi="仿宋" w:eastAsia="仿宋" w:cs="仿宋"/>
          <w:b/>
          <w:bCs w:val="0"/>
          <w:spacing w:val="-4"/>
          <w:sz w:val="32"/>
          <w:szCs w:val="32"/>
        </w:rPr>
        <w:t>、有关建议</w:t>
      </w:r>
    </w:p>
    <w:p w14:paraId="053C4F39">
      <w:pPr>
        <w:spacing w:line="540" w:lineRule="exact"/>
        <w:ind w:firstLine="567"/>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5D85FAD3">
      <w:pPr>
        <w:spacing w:line="540" w:lineRule="exact"/>
        <w:ind w:firstLine="640"/>
        <w:rPr>
          <w:rStyle w:val="19"/>
          <w:rFonts w:hint="eastAsia" w:ascii="仿宋" w:hAnsi="仿宋" w:eastAsia="仿宋" w:cs="仿宋"/>
          <w:b/>
          <w:bCs w:val="0"/>
          <w:spacing w:val="-4"/>
          <w:sz w:val="32"/>
          <w:szCs w:val="32"/>
        </w:rPr>
      </w:pPr>
      <w:r>
        <w:rPr>
          <w:rStyle w:val="19"/>
          <w:rFonts w:hint="eastAsia" w:ascii="仿宋" w:hAnsi="仿宋" w:eastAsia="仿宋" w:cs="仿宋"/>
          <w:b/>
          <w:bCs w:val="0"/>
          <w:spacing w:val="-4"/>
          <w:sz w:val="32"/>
          <w:szCs w:val="32"/>
          <w:lang w:val="en-US" w:eastAsia="zh-CN"/>
        </w:rPr>
        <w:t>八</w:t>
      </w:r>
      <w:r>
        <w:rPr>
          <w:rStyle w:val="19"/>
          <w:rFonts w:hint="eastAsia" w:ascii="仿宋" w:hAnsi="仿宋" w:eastAsia="仿宋" w:cs="仿宋"/>
          <w:b/>
          <w:bCs w:val="0"/>
          <w:spacing w:val="-4"/>
          <w:sz w:val="32"/>
          <w:szCs w:val="32"/>
        </w:rPr>
        <w:t>、其他需要说明的问题</w:t>
      </w:r>
    </w:p>
    <w:p w14:paraId="664B6811">
      <w:pPr>
        <w:spacing w:line="540" w:lineRule="exact"/>
        <w:ind w:firstLine="567"/>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（三）评价结果分别编入政府决算和部门预算，报送本级人民代表大会常务委员会，并依法予以公开。</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ED39EDD">
      <w:pPr>
        <w:spacing w:line="540" w:lineRule="exact"/>
        <w:ind w:firstLine="567"/>
        <w:rPr>
          <w:rStyle w:val="19"/>
          <w:rFonts w:hint="eastAsia" w:ascii="仿宋" w:hAnsi="仿宋" w:eastAsia="仿宋" w:cs="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3CDD648">
        <w:pPr>
          <w:pStyle w:val="12"/>
          <w:jc w:val="center"/>
        </w:pPr>
        <w:r>
          <w:fldChar w:fldCharType="begin"/>
        </w:r>
        <w:r>
          <w:instrText xml:space="preserve">PAGE   \* MERGEFORMAT</w:instrText>
        </w:r>
        <w:r>
          <w:fldChar w:fldCharType="separate"/>
        </w:r>
        <w:r>
          <w:rPr>
            <w:lang w:val="zh-CN"/>
          </w:rPr>
          <w:t>1</w:t>
        </w:r>
        <w:r>
          <w:fldChar w:fldCharType="end"/>
        </w:r>
      </w:p>
    </w:sdtContent>
  </w:sdt>
  <w:p w14:paraId="64E958B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6B1B0B"/>
    <w:multiLevelType w:val="singleLevel"/>
    <w:tmpl w:val="F16B1B0B"/>
    <w:lvl w:ilvl="0" w:tentative="0">
      <w:start w:val="1"/>
      <w:numFmt w:val="decimal"/>
      <w:suff w:val="nothing"/>
      <w:lvlText w:val="（%1）"/>
      <w:lvlJc w:val="left"/>
    </w:lvl>
  </w:abstractNum>
  <w:abstractNum w:abstractNumId="1">
    <w:nsid w:val="F3CDF501"/>
    <w:multiLevelType w:val="singleLevel"/>
    <w:tmpl w:val="F3CDF501"/>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79657C"/>
    <w:rsid w:val="28F2285F"/>
    <w:rsid w:val="3042568F"/>
    <w:rsid w:val="33BB2D61"/>
    <w:rsid w:val="3E824AA2"/>
    <w:rsid w:val="5A6A7559"/>
    <w:rsid w:val="5F216F4A"/>
    <w:rsid w:val="62FF6427"/>
    <w:rsid w:val="70504999"/>
    <w:rsid w:val="71CC5DA1"/>
    <w:rsid w:val="DEFBF5D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name="KSOProductBuildVer" pid="2">
    <vt:lpwstr xmlns:vt="http://schemas.openxmlformats.org/officeDocument/2006/docPropsVTypes">2052-11.1.0.11365</vt:lpwstr>
  </property>
  <property xmlns="http://schemas.openxmlformats.org/officeDocument/2006/custom-properties" fmtid="{D5CDD505-2E9C-101B-9397-08002B2CF9AE}" name="ICV"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b03e08a6-8286-4081-9879-289dde63b70b}">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3</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2025-10-13T18:38:41Z</cp:lastPrinted>
  <dcterms:modified xsi:type="dcterms:W3CDTF">2025-10-13T18:38:50Z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